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jc w:val="center"/>
      </w:pPr>
      <w:r>
        <w:rPr>
          <w:b/>
          <w:bCs/>
          <w:sz w:val="40"/>
          <w:szCs w:val="40"/>
        </w:rPr>
        <w:t xml:space="preserve">Type 2 Diabetes and Metabolic Syndrome</w:t>
      </w:r>
    </w:p>
    <w:p>
      <w:pPr>
        <w:spacing w:before="0" w:after="80" w:line="276"/>
        <w:jc w:val="center"/>
      </w:pPr>
      <w:r>
        <w:rPr>
          <w:i/>
          <w:iCs/>
          <w:sz w:val="26"/>
          <w:szCs w:val="26"/>
        </w:rPr>
        <w:t xml:space="preserve">Insulin Signaling Gate Failure, Ectopic Lipid Accumulation, and the Dual Threshold Structure of Metabolic Disease</w:t>
      </w:r>
    </w:p>
    <w:p>
      <w:pPr>
        <w:spacing w:before="0" w:after="100" w:line="276"/>
        <w:jc w:val="center"/>
      </w:pPr>
      <w:r>
        <w:rPr>
          <w:color w:val="555555"/>
          <w:sz w:val="20"/>
          <w:szCs w:val="20"/>
        </w:rPr>
        <w:t xml:space="preserve">Hypothalamic Appetite Circuit | GLP-1/GIP Central Mechanisms | Pancreatic Clock and Circadian Disruption | E2 and Insulin Sensitivity | PCOS | Mesolimbic Dopamine | 2024 Clinical Evidence</w:t>
      </w:r>
    </w:p>
    <w:p>
      <w:pPr>
        <w:spacing w:before="0" w:after="40" w:line="276"/>
        <w:jc w:val="center"/>
      </w:pPr>
      <w:r>
        <w:rPr>
          <w:b/>
          <w:bCs/>
          <w:sz w:val="22"/>
          <w:szCs w:val="22"/>
        </w:rPr>
        <w:t xml:space="preserve">M. Finnegan</w:t>
      </w:r>
    </w:p>
    <w:p>
      <w:pPr>
        <w:spacing w:before="0" w:after="40" w:line="276"/>
        <w:jc w:val="center"/>
      </w:pPr>
      <w:r>
        <w:rPr>
          <w:b w:val="false"/>
          <w:bCs w:val="false"/>
          <w:i w:val="false"/>
          <w:iCs w:val="false"/>
        </w:rPr>
        <w:t xml:space="preserve">Independent Researcher, Lewes, DE, USA  ·  ORCID: 0009-0009-4921-7722  ·  sykopompos@gmail.com</w:t>
      </w:r>
    </w:p>
    <w:p>
      <w:pPr>
        <w:spacing w:before="0" w:after="200" w:line="276"/>
        <w:jc w:val="center"/>
      </w:pPr>
      <w:r>
        <w:rPr>
          <w:i/>
          <w:iCs/>
          <w:color w:val="666666"/>
          <w:sz w:val="20"/>
          <w:szCs w:val="20"/>
        </w:rPr>
        <w:t xml:space="preserve">Preprint — March 2026  ·  Not yet peer reviewed  ·  v2.1</w:t>
      </w:r>
    </w:p>
    <w:p>
      <w:pPr>
        <w:pStyle w:val="Heading1"/>
      </w:pPr>
      <w:r>
        <w:rPr>
          <w:b/>
          <w:bCs/>
        </w:rPr>
        <w:t xml:space="preserve">Abstract</w:t>
      </w:r>
    </w:p>
    <w:p>
      <w:pPr>
        <w:spacing w:before="80" w:after="80" w:line="276"/>
        <w:jc w:val="both"/>
      </w:pPr>
      <w:r>
        <w:rPr>
          <w:b w:val="false"/>
          <w:bCs w:val="false"/>
          <w:i w:val="false"/>
          <w:iCs w:val="false"/>
        </w:rPr>
        <w:t xml:space="preserve">Type 2 diabetes (T2D) is mechanistically distinct from Type 1. Where T1D is autoimmune destruction of beta-cell mass, T2D is a progressive desensitisation of the insulin signalling gate combined with beta-cell compensatory failure under chronic metabolic overload. The disease has a dual threshold structure: peripheral insulin resistance followed by beta-cell exhaustion, with clinical diabetes emerging when both are sufficiently impaired [DeFronzo09]. The primary driver of insulin resistance is not body weight per se but ectopic lipid accumulation — intramyocellular lipid, hepatic steatosis (MASLD), and pancreatic fat — which activates the IRS-1 serine phosphorylation cascade decoupling the insulin receptor from glucose transport [SamuelShulman16]. This ectopic lipid hypothesis unifies the metabolic syndrome constellation as expressions of a single upstream overflow state.</w:t>
      </w:r>
    </w:p>
    <w:p>
      <w:pPr>
        <w:spacing w:before="80" w:after="80" w:line="276"/>
        <w:jc w:val="both"/>
      </w:pPr>
      <w:r>
        <w:rPr>
          <w:b w:val="false"/>
          <w:bCs w:val="false"/>
          <w:i w:val="false"/>
          <w:iCs w:val="false"/>
        </w:rPr>
        <w:t xml:space="preserve">The central nervous system is the primary integrator of energy balance signals. The hypothalamic appetite gate (NPY/AgRP versus POMC/CART) integrates hormonal, metabolic, and circadian inputs to set and adjust energy balance [Schwartz00]; mesolimbic dopamine D2 downregulation from chronic hedonic eating raises the reward threshold [Kenny11]. GLP-1 receptor agonists work through both the pancreatic gate and central circuits simultaneously [Drucker06]. Tirzepatide's dual GLP-1/GIP agonism adds a non-redundant central pathway through GIPR-expressing median eminence oligodendrocytes, potentiating the GLP-1 anorectic effect synergistically (Proposed: rodent models with supporting human GIPR expression data) [Zhang21_GIPR, Jastreboff22, SURMOUNT5_2025].</w:t>
      </w:r>
    </w:p>
    <w:p>
      <w:pPr>
        <w:spacing w:before="80" w:after="80" w:line="276"/>
        <w:jc w:val="both"/>
      </w:pPr>
      <w:r>
        <w:rPr>
          <w:b w:val="false"/>
          <w:bCs w:val="false"/>
          <w:i w:val="false"/>
          <w:iCs w:val="false"/>
        </w:rPr>
        <w:t xml:space="preserve">Sleep, circadian disruption, and stress constitute a further mechanistic tier — beyond the primary ectopic lipid cascade, central appetite dysregulation, and hormonal modulation — that activates the same insulin signalling failure cascade through three distinct entry points: the pancreatic beta-cell's autonomous circadian clock (CLOCK/BMAL1) drives rhythmic transcription of the insulin secretory machinery and its disruption specifically impairs first-phase insulin secretion in rodent models [Marcheva10, Perelis15]; sleep deprivation dysregulates ghrelin and leptin and activates the HPA axis [Spiegel04, StOnge23]; and obstructive sleep apnea generates nightly FFA and cortisol surges via intermittent hypoxia [Chopra17].</w:t>
      </w:r>
    </w:p>
    <w:p>
      <w:pPr>
        <w:spacing w:before="80" w:after="80" w:line="276"/>
        <w:jc w:val="both"/>
      </w:pPr>
      <w:r>
        <w:rPr>
          <w:b w:val="false"/>
          <w:bCs w:val="false"/>
          <w:i w:val="false"/>
          <w:iCs w:val="false"/>
        </w:rPr>
        <w:t xml:space="preserve">T2D is an ectopic fat problem that produces a glucose symptom — a framing that applies most directly to the majority of T2D cases in individuals with overweight or obesity; lean T2D, affecting approximately 20–25% of cases, involves overlapping mechanisms including primary beta-cell reserve insufficiency and requires separate characterisation. Six testable predictions are derived.</w:t>
      </w:r>
    </w:p>
    <w:p>
      <w:pPr>
        <w:spacing w:before="80" w:after="80" w:line="276"/>
        <w:jc w:val="both"/>
      </w:pPr>
      <w:r>
        <w:rPr>
          <w:b w:val="false"/>
          <w:bCs w:val="false"/>
          <w:i w:val="false"/>
          <w:iCs w:val="false"/>
        </w:rPr>
        <w:t xml:space="preserve">Claims in this paper span all three evidence tiers. The ectopic lipid mechanism and clinical trial outcomes are Established; central appetite circuitry, hormonal modulation, and metabolic memory are Supported; beta-cell clock disruption in humans, the GIPR oligodendrocyte pathway, and cross-system connections are Proposed. Inline tier labels throughout the text identify the evidentiary status of each major claim.</w:t>
      </w:r>
    </w:p>
    <w:p>
      <w:pPr>
        <w:spacing w:before="80" w:after="80" w:line="276"/>
        <w:jc w:val="both"/>
      </w:pPr>
      <w:r>
        <w:rPr>
          <w:b/>
          <w:bCs/>
        </w:rPr>
        <w:t xml:space="preserve">Keywords: </w:t>
      </w:r>
      <w:r>
        <w:t xml:space="preserve">type 2 diabetes; insulin resistance; ectopic lipid; MASLD; GLP-1; GIP; tirzepatide; hypothalamic appetite; BMAL1; circadian clock; obstructive sleep apnea; estradiol; PCOS; metabolic memory; beta-cell</w:t>
      </w:r>
    </w:p>
    <w:p>
      <w:pPr>
        <w:spacing w:before="0" w:after="0"/>
      </w:pPr>
      <w:r>
        <w:t xml:space="preserve"/>
      </w:r>
    </w:p>
    <w:p>
      <w:pPr>
        <w:pStyle w:val="Heading1"/>
      </w:pPr>
      <w:r>
        <w:rPr>
          <w:b/>
          <w:bCs/>
        </w:rPr>
        <w:t xml:space="preserve">Methods and Scope</w:t>
      </w:r>
    </w:p>
    <w:p>
      <w:pPr>
        <w:spacing w:before="80" w:after="80" w:line="276"/>
        <w:jc w:val="both"/>
      </w:pPr>
      <w:r>
        <w:rPr>
          <w:b w:val="false"/>
          <w:bCs w:val="false"/>
          <w:i w:val="false"/>
          <w:iCs w:val="false"/>
        </w:rPr>
        <w:t xml:space="preserve">This paper presents a mechanistic framework for T2D and metabolic syndrome. Literature was identified through targeted searches of PubMed and Google Scholar (January 2000 to March 2026), supplemented by backward citation of landmark papers and primary sources for specific mechanistic claims. Search terms included combinations of: type 2 diabetes, insulin resistance, ectopic lipid, MASLD, GLP-1, GIP, tirzepatide, hypothalamic appetite, beta-cell clock, circadian disruption, obstructive sleep apnea, estradiol, PCOS, and metabolic memory. Studies were prioritised by design: RCTs and prospective cohort studies for drug mechanism and clinical outcome claims; replicated human translational studies for mechanistic claims; animal models only where human evidence was unavailable, with explicit labelling. Where evidence conflicted, the higher-quality design and more recent consensus were cited with the conflict noted. No new experimental data are reported.</w:t>
      </w:r>
    </w:p>
    <w:p>
      <w:pPr>
        <w:spacing w:before="80" w:after="80" w:line="276"/>
        <w:jc w:val="both"/>
      </w:pPr>
      <w:r>
        <w:rPr>
          <w:b w:val="false"/>
          <w:bCs w:val="false"/>
          <w:i w:val="false"/>
          <w:iCs w:val="false"/>
        </w:rPr>
        <w:t xml:space="preserve">Inclusion criteria: studies were included if they (1) directly established a named mechanism, quantified a clinical outcome, or characterised a biological pathway relevant to the paper’s framework; (2) were published in peer-reviewed journals or as pre-registered trial reports; and (3) were the highest-quality available source for a specific claim. Review articles were used only where primary mechanistic papers were unavailable or where a review was the canonical synthesis of a large literature. Animal studies were included only where human evidence was unavailable, and are labelled explicitly. Exclusion criteria: case reports, editorials without data, and studies whose primary findings were superseded by higher-quality evidence. Tier assignments followed operational rules: Established required at least one RCT or well-powered prospective cohort study with a direct human outcome; Supported required replicated human translational or mechanistic studies without a definitive outcome trial; Proposed required at least one peer-reviewed mechanistic study plus biological plausibility, with no direct human causal validation. Where a claim spanned multiple tiers, the more conservative tier was assigned. No statistical pooling was performed.</w:t>
      </w:r>
    </w:p>
    <w:p>
      <w:pPr>
        <w:spacing w:before="80" w:after="80" w:line="276"/>
        <w:jc w:val="both"/>
      </w:pPr>
      <w:r>
        <w:rPr>
          <w:b w:val="false"/>
          <w:bCs w:val="false"/>
          <w:i w:val="false"/>
          <w:iCs w:val="false"/>
        </w:rPr>
        <w:t xml:space="preserve">Evidence in this paper is characterised using three tiers to guide interpretation of its claims: ‘Established’ refers to findings replicated in human trials or well-powered cohort studies; ‘Supported’ refers to mechanisms with consistent human translational evidence but without definitive clinical trial validation; and ‘Proposed’ refers to integrative inferences, rodent-derived mechanisms, or hypotheses consistent with available evidence but not yet directly validated in humans. Cross-system connections (§10) are presented at the ‘Proposed’ level throughout. Within \u00A710, tier labels appear in abbreviated form after each subsystem heading; all other inline tier labels provide fuller context at the point of claim.</w:t>
      </w:r>
    </w:p>
    <w:p>
      <w:pPr>
        <w:spacing w:before="0" w:after="0"/>
      </w:pPr>
      <w:r>
        <w:t xml:space="preserve"/>
      </w:r>
    </w:p>
    <w:p>
      <w:pPr>
        <w:pStyle w:val="Heading1"/>
      </w:pPr>
      <w:r>
        <w:rPr>
          <w:b/>
          <w:bCs/>
        </w:rPr>
        <w:t xml:space="preserve">§·1 — T2D vs. T1D: Two Structurally Different Diseases</w:t>
      </w:r>
    </w:p>
    <w:p>
      <w:pPr>
        <w:spacing w:before="80" w:after="80" w:line="276"/>
        <w:jc w:val="both"/>
      </w:pPr>
      <w:r>
        <w:rPr>
          <w:b w:val="false"/>
          <w:bCs w:val="false"/>
          <w:i w:val="false"/>
          <w:iCs w:val="false"/>
        </w:rPr>
        <w:t xml:space="preserve">Type 1 diabetes is autoimmune destruction of beta-cells with no insulin resistance. Type 2 diabetes is not a destruction problem but a desensitisation problem: beta-cells are present and initially functional, and failure begins in peripheral tissues where the insulin signalling gate becomes progressively unresponsive. Beta-cells compensate by hypersecretion — sometimes for decades — until they begin failing under glucotoxicity, lipotoxicity, and IAPP (islet amyloid polypeptide)-mediated amyloid accumulation.</w:t>
      </w:r>
    </w:p>
    <w:p>
      <w:pPr>
        <w:spacing w:before="80" w:after="80" w:line="276"/>
        <w:jc w:val="both"/>
      </w:pPr>
      <w:r>
        <w:rPr>
          <w:b w:val="false"/>
          <w:bCs w:val="false"/>
          <w:i w:val="false"/>
          <w:iCs w:val="false"/>
        </w:rPr>
        <w:t xml:space="preserve">T2D is a sequential dual gate failure: (1) peripheral insulin receptor signalling efficiency and (2) beta-cell functional reserve. Clinical diabetes emerges when both peripheral insulin resistance and beta-cell functional reserve are sufficiently impaired — in common T2D both components are typically required, which explains why identical degrees of obesity do not invariably produce T2D, and why individuals with adequate beta-cell genetic reserve can maintain euglycaemia despite significant insulin resistance [DeFronzo09]. The dominant genetic risk loci include TCF7L2 (a Wnt pathway transcription factor with roles in beta-cell survival and intestinal GLP-1 secretion) and KCNJ11 (Kir6.2, the KATP channel subunit in beta-cells) — predominantly beta-cell function genes rather than peripheral insulin signalling genes.</w:t>
      </w:r>
    </w:p>
    <w:p>
      <w:pPr>
        <w:pBdr>
          <w:left w:val="single" w:color="2E75B6" w:sz="14" w:space="12"/>
        </w:pBdr>
        <w:spacing w:before="140" w:after="140" w:line="276"/>
        <w:ind w:left="720" w:right="720"/>
        <w:jc w:val="both"/>
      </w:pPr>
      <w:r>
        <w:rPr>
          <w:b/>
          <w:bCs/>
          <w:i/>
          <w:iCs/>
          <w:sz w:val="21"/>
          <w:szCs w:val="21"/>
        </w:rPr>
        <w:t xml:space="preserve">The diagnostic threshold of fasting glucose ≥126 mg/dL represents approximately 50% beta-cell mass loss and a decade or more of subclinical insulin resistance. Addressing the underlying insulin resistance alongside glucose-lowering therapy is mechanistically important; pharmacotherapy that targets only the glucose symptom without reducing the lipotoxic load leaves the upstream structural failure unmodified.</w:t>
      </w:r>
    </w:p>
    <w:p>
      <w:pPr>
        <w:spacing w:before="0" w:after="0"/>
      </w:pPr>
      <w:r>
        <w:t xml:space="preserve"/>
      </w:r>
    </w:p>
    <w:p>
      <w:pPr>
        <w:pStyle w:val="Heading1"/>
      </w:pPr>
      <w:r>
        <w:rPr>
          <w:b/>
          <w:bCs/>
        </w:rPr>
        <w:t xml:space="preserve">§·2 — The Ectopic Lipid Hypothesis: Root Cause</w:t>
      </w:r>
    </w:p>
    <w:p>
      <w:pPr>
        <w:pStyle w:val="Heading2"/>
      </w:pPr>
      <w:r>
        <w:rPr>
          <w:b/>
          <w:bCs/>
        </w:rPr>
        <w:t xml:space="preserve">2.1 IRS-1 Serine Phosphorylation: The Gate Mechanism</w:t>
      </w:r>
    </w:p>
    <w:p>
      <w:pPr>
        <w:spacing w:before="80" w:after="80" w:line="276"/>
        <w:jc w:val="both"/>
      </w:pPr>
      <w:r>
        <w:rPr>
          <w:b w:val="false"/>
          <w:bCs w:val="false"/>
          <w:i w:val="false"/>
          <w:iCs w:val="false"/>
        </w:rPr>
        <w:t xml:space="preserve">The core mechanistic proposal of this paper — the ectopic lipid hypothesis — holds that when adipose storage capacity is exceeded, FFAs spill into circulation and accumulate in liver, muscle, and beta-cells. In skeletal muscle — responsible for approximately 80% of post-prandial glucose disposal — excess FFA generates diacylglycerol (DAG), which activates PKC-theta (the predominant PKC isoform in skeletal muscle) to serine-phosphorylate IRS-1, and ceramide, which activates both PKC-zeta (phosphorylating IRS-1 on Ser307) and protein phosphatase 2A (PP2A, directly dephosphorylating Akt at Thr308) through parallel downstream routes [SamuelShulman16]. Both lipid intermediates converge on blockade of PI3K/Akt signalling — GLUT4 vesicles remain intracellular and glucose uptake fails despite elevated plasma insulin [DeFronzo09].</w:t>
      </w:r>
    </w:p>
    <w:p>
      <w:pPr>
        <w:pBdr>
          <w:left w:val="single" w:color="2E75B6" w:sz="14" w:space="12"/>
        </w:pBdr>
        <w:spacing w:before="140" w:after="140" w:line="276"/>
        <w:ind w:left="720" w:right="720"/>
        <w:jc w:val="both"/>
      </w:pPr>
      <w:r>
        <w:rPr>
          <w:b/>
          <w:bCs/>
          <w:i/>
          <w:iCs/>
          <w:sz w:val="21"/>
          <w:szCs w:val="21"/>
        </w:rPr>
        <w:t xml:space="preserve">The insulin signal is sent normally. The gate has been decoupled from its downstream machinery by lipid intermediates. Elevated plasma insulin in early T2D reflects compensatory hypersecretion by beta-cells responding to a desensitised peripheral receptor — not a primary secretory defect at this stage; genuine secretory failure emerges later as lipotoxicity and glucotoxicity accumulate (§2.3, §6).</w:t>
      </w:r>
    </w:p>
    <w:p>
      <w:pPr>
        <w:pStyle w:val="Heading2"/>
      </w:pPr>
      <w:r>
        <w:rPr>
          <w:b/>
          <w:bCs/>
        </w:rPr>
        <w:t xml:space="preserve">2.2 Hepatic Steatosis and Selective Insulin Resistance</w:t>
      </w:r>
    </w:p>
    <w:p>
      <w:pPr>
        <w:spacing w:before="80" w:after="80" w:line="276"/>
        <w:jc w:val="both"/>
      </w:pPr>
      <w:r>
        <w:rPr>
          <w:b w:val="false"/>
          <w:bCs w:val="false"/>
          <w:i w:val="false"/>
          <w:iCs w:val="false"/>
        </w:rPr>
        <w:t xml:space="preserve">In the liver, excess FFA drives metabolic dysfunction-associated steatotic liver disease (MASLD — nomenclature proposed in an international Delphi consensus [Rinella23] and formally adopted in the 2024 EASL-EASD-EASO clinical practice guidelines, replacing NAFLD). Hepatic insulin resistance is paradoxically selective: insulin's effect on gluconeogenesis is lost (fasting hyperglycaemia) while lipogenesis is preserved (hypertriglyceridaemia). In hepatocytes, excess DAG activates PKC-epsilon (the predominant liver isoform) rather than PKC-theta, disrupting the PI3K/Akt branch responsible for gluconeogenesis suppression. Meanwhile, mTORC1-driven lipogenesis is not only preserved but may be hyperactivated through IRS-independent amino acid and nutrient-sensing pathways via mTORC1/SREBP-1c — explaining why hepatic insulin resistance simultaneously produces fasting hyperglycaemia and increased lipogenesis rather than reducing both [Yecies11, Brown08].</w:t>
      </w:r>
    </w:p>
    <w:p>
      <w:pPr>
        <w:spacing w:before="80" w:after="80" w:line="276"/>
        <w:jc w:val="both"/>
      </w:pPr>
      <w:r>
        <w:rPr>
          <w:b w:val="false"/>
          <w:bCs w:val="false"/>
          <w:i w:val="false"/>
          <w:iCs w:val="false"/>
        </w:rPr>
        <w:t xml:space="preserve">In March 2024, resmetirom (Rezdiffra) received FDA accelerated approval as the first pharmacotherapy for metabolic steatohepatitis (MASH — the inflammatory, progressive subtype of MASLD, formerly NASH) with moderate to advanced fibrosis (F2–F3). Approved specifically for noncirrhotic MASH rather than T2D per se, its potential role in improving insulin resistance in T2D patients with concurrent MASLD is supported by MAESTRO-NASH secondary endpoints but not yet established as a standalone T2D indication [Harrison24]. Its mechanism — selective thyroid hormone receptor-beta agonism restoring hepatic fatty acid beta-oxidation — addresses hepatic ectopic fat from the liver side, complementing GLP-1 agonists' central and pancreatic mechanisms.</w:t>
      </w:r>
    </w:p>
    <w:p>
      <w:pPr>
        <w:pStyle w:val="Heading2"/>
      </w:pPr>
      <w:r>
        <w:rPr>
          <w:b/>
          <w:bCs/>
        </w:rPr>
        <w:t xml:space="preserve">2.3 Pancreatic Fat and Beta-Cell Lipotoxicity</w:t>
      </w:r>
    </w:p>
    <w:p>
      <w:pPr>
        <w:spacing w:before="80" w:after="80" w:line="276"/>
        <w:jc w:val="both"/>
      </w:pPr>
      <w:r>
        <w:rPr>
          <w:b w:val="false"/>
          <w:bCs w:val="false"/>
          <w:i w:val="false"/>
          <w:iCs w:val="false"/>
        </w:rPr>
        <w:t xml:space="preserve">Excess FFA drives ceramide accumulation in beta-cells, triggering ER stress and apoptosis. IAPP (islet amyloid polypeptide), co-secreted with insulin, forms early oligomers and aggregates under chronic hypersecretion and lipotoxic stress. These early oligomeric forms are directly cytotoxic to beta-cells through membrane disruption and ER stress induction — the mechanism that makes late T2D partially irreversible once sufficient beta-cell mass is lost [Westermark11].</w:t>
      </w:r>
    </w:p>
    <w:p>
      <w:pPr>
        <w:pStyle w:val="Heading2"/>
      </w:pPr>
      <w:r>
        <w:rPr>
          <w:b/>
          <w:bCs/>
        </w:rPr>
        <w:t xml:space="preserve">2.4 Visceral vs. Subcutaneous Adipose</w:t>
      </w:r>
    </w:p>
    <w:p>
      <w:pPr>
        <w:spacing w:before="80" w:after="80" w:line="276"/>
        <w:jc w:val="both"/>
      </w:pPr>
      <w:r>
        <w:rPr>
          <w:b w:val="false"/>
          <w:bCs w:val="false"/>
          <w:i w:val="false"/>
          <w:iCs w:val="false"/>
        </w:rPr>
        <w:t xml:space="preserve">Metabolic risk is disproportionately driven by visceral adipose, which has higher lipolytic activity, greater inflammatory cytokine secretion (IL-6, TNF-alpha, resistin), lower adiponectin production, and portal drainage that delivers FFAs directly to the liver [Frayn02]. Waist circumference is a stronger T2D predictor than BMI [Carey97]. The metabolic irrelevance of subcutaneous fat mass is demonstrated directly: surgical removal of approximately 10 kg of subcutaneous adipose by liposuction produced no improvement in insulin sensitivity, plasma glucose, lipid profiles, blood pressure, or inflammatory markers [Klein04] — because the mechanistically relevant variable is visceral adipose mass and its FFA overflow rate, not total fat mass.</w:t>
      </w:r>
    </w:p>
    <w:p>
      <w:pPr>
        <w:spacing w:before="0" w:after="0"/>
      </w:pPr>
      <w:r>
        <w:t xml:space="preserve"/>
      </w:r>
    </w:p>
    <w:p>
      <w:pPr>
        <w:pStyle w:val="Heading1"/>
      </w:pPr>
      <w:r>
        <w:rPr>
          <w:b/>
          <w:bCs/>
        </w:rPr>
        <w:t xml:space="preserve">§·3 — The Central Nervous System Layer</w:t>
      </w:r>
    </w:p>
    <w:p>
      <w:pPr>
        <w:pStyle w:val="Heading2"/>
      </w:pPr>
      <w:r>
        <w:rPr>
          <w:b/>
          <w:bCs/>
        </w:rPr>
        <w:t xml:space="preserve">3.1 The Hypothalamic Appetite Gate: NPY/AgRP vs. POMC/CART</w:t>
      </w:r>
    </w:p>
    <w:p>
      <w:pPr>
        <w:spacing w:before="80" w:after="80" w:line="276"/>
        <w:jc w:val="both"/>
      </w:pPr>
      <w:r>
        <w:rPr>
          <w:b w:val="false"/>
          <w:bCs w:val="false"/>
          <w:i w:val="false"/>
          <w:iCs w:val="false"/>
        </w:rPr>
        <w:t xml:space="preserve">The central nervous system is the primary integrator of energy balance signals. Peripheral inputs (gut GLP-1, CCK, PYY, vagal afferents) converge on hypothalamic circuits, which integrate hormonal, metabolic, and circadian signals to set and adjust energy balance — with peripheral hormonal systems (§4) and circadian inputs (§5) providing significant modulation. The arcuate nucleus contains two opposing neuron populations [Schwartz00]:</w:t>
      </w:r>
    </w:p>
    <w:p>
      <w:pPr>
        <w:pStyle w:val="ListParagraph"/>
        <w:numPr>
          <w:ilvl w:val="0"/>
          <w:numId w:val="2"/>
        </w:numPr>
        <w:spacing w:before="60" w:after="60" w:line="276"/>
      </w:pPr>
      <w:r>
        <w:t xml:space="preserve">NPY/AgRP neurons (orexigenic): Neuropeptide Y acts on Y1/Y5 receptors in the paraventricular nucleus to increase food intake and reduce energy expenditure. AgRP is an endogenous antagonist of melanocortin receptors (MC3R, MC4R). Activated by ghrelin, low leptin, low insulin, low glucose.</w:t>
      </w:r>
    </w:p>
    <w:p>
      <w:pPr>
        <w:pStyle w:val="ListParagraph"/>
        <w:numPr>
          <w:ilvl w:val="0"/>
          <w:numId w:val="2"/>
        </w:numPr>
        <w:spacing w:before="60" w:after="60" w:line="276"/>
      </w:pPr>
      <w:r>
        <w:t xml:space="preserve">POMC/CART neurons (anorexigenic): POMC is cleaved to produce alpha-MSH, which activates MC4R to reduce food intake and increase energy expenditure. Activated by leptin, insulin, GLP-1, high glucose.</w:t>
      </w:r>
    </w:p>
    <w:p>
      <w:pPr>
        <w:spacing w:before="80" w:after="80" w:line="276"/>
        <w:jc w:val="both"/>
      </w:pPr>
      <w:r>
        <w:rPr>
          <w:b w:val="false"/>
          <w:bCs w:val="false"/>
          <w:i w:val="false"/>
          <w:iCs w:val="false"/>
        </w:rPr>
        <w:t xml:space="preserve">Hypothalamic insulin resistance — involving serine phosphorylation of neuronal IRS-2 through mTORC1/S6K1 feedback under chronic nutrient excess, paralleling though distinct in isoform and trigger from the lipid-mediated IRS-1 serine phosphorylation in peripheral tissues — means insulin can no longer activate POMC/CART neurons effectively. Leptin resistance arises through a parallel pathway: chronic saturated FFA exposure causes hypothalamic inflammation, including TLR4-mediated activation and ER stress in POMC neurons, impairing LepRb signal transduction and creating central leptin resistance despite elevated circulating leptin [Milanski09, Thaler12]. These represent dysregulated feedback mechanisms operating at the neuroendocrine level, not volitional failures.</w:t>
      </w:r>
    </w:p>
    <w:p>
      <w:pPr>
        <w:pStyle w:val="Heading2"/>
      </w:pPr>
      <w:r>
        <w:rPr>
          <w:b/>
          <w:bCs/>
        </w:rPr>
        <w:t xml:space="preserve">3.2 GLP-1 Central Mechanism and Tirzepatide</w:t>
      </w:r>
    </w:p>
    <w:p>
      <w:pPr>
        <w:spacing w:before="80" w:after="80" w:line="276"/>
        <w:jc w:val="both"/>
      </w:pPr>
      <w:r>
        <w:rPr>
          <w:b w:val="false"/>
          <w:bCs w:val="false"/>
          <w:i w:val="false"/>
          <w:iCs w:val="false"/>
        </w:rPr>
        <w:t xml:space="preserve">GLP-1 receptors are expressed on POMC neurons in the arcuate nucleus and on NTS and area postrema neurons relaying satiety signals to the hypothalamus [Drucker06]. GLP-1 agonists suppress NPY/AgRP orexigenic drive — via direct GLP-1R activation on a subset of arcuate neurons and indirectly via POMC activation reducing AgRP's melanocortin receptor antagonism — and amplify the satiety signal at the hypothalamic gate.</w:t>
      </w:r>
    </w:p>
    <w:p>
      <w:pPr>
        <w:spacing w:before="80" w:after="80" w:line="276"/>
        <w:jc w:val="both"/>
      </w:pPr>
      <w:r>
        <w:rPr>
          <w:b w:val="false"/>
          <w:bCs w:val="false"/>
          <w:i w:val="false"/>
          <w:iCs w:val="false"/>
        </w:rPr>
        <w:t xml:space="preserve">Tirzepatide adds a non-redundant central pathway through GIP receptor (GIPR) co-agonism. (Proposed: mechanism established in rodent models with supporting human GIPR expression data; human circuit-level validation pending.) GIPR is expressed in oligodendrocytes of the median eminence and in hypothalamic neuron populations that do not fully overlap with GLP-1R-expressing populations. GIPR signalling in median eminence oligodendrocytes is proposed to increase GLP-1R agonist access to arcuate nucleus axons, potentiating the anorectic effect synergistically — a mechanism supported by CNS-GIPR knockout studies in rodents [Zhang21_GIPR] and subsequent oligodendrocyte-specific mechanistic work; whether this circuit explains tirzepatide's clinical superiority in humans remains under investigation. In SURMOUNT-1 (n=2,539, 72 weeks), tirzepatide 15mg achieved mean weight loss of 20.9%; 91% reached ≥5% [Jastreboff22]. In the head-to-head SURMOUNT-5 trial (72 weeks), tirzepatide achieved significantly greater mean weight reduction than semaglutide 2.4mg [SURMOUNT5_2025]. Three-year SURMOUNT-1 extension in the prediabetes subgroup: 94% relative risk reduction in T2D progression (HR 0.06), with nearly all tirzepatide participants remaining diabetes-free over 3 years. Whether tirzepatide achieves greater insulin sensitivity improvement per unit weight lost than semaglutide — consistent with a peripheral GIP-mediated sensitising mechanism beyond central weight loss — remains an open question addressed in P2 (§·11).</w:t>
      </w:r>
    </w:p>
    <w:p>
      <w:pPr>
        <w:pStyle w:val="Heading2"/>
      </w:pPr>
      <w:r>
        <w:rPr>
          <w:b/>
          <w:bCs/>
        </w:rPr>
        <w:t xml:space="preserve">3.3 Mesolimbic Dopamine: Hedonic Eating and the Reward Threshold</w:t>
      </w:r>
    </w:p>
    <w:p>
      <w:pPr>
        <w:spacing w:before="80" w:after="80" w:line="276"/>
        <w:jc w:val="both"/>
      </w:pPr>
      <w:r>
        <w:rPr>
          <w:b w:val="false"/>
          <w:bCs w:val="false"/>
          <w:i w:val="false"/>
          <w:iCs w:val="false"/>
        </w:rPr>
        <w:t xml:space="preserve">The mesolimbic circuit (VTA → nucleus accumbens → PFC) sets the hedonic drive to eat, independent of caloric status. Chronic exposure to highly palatable foods reduces D2 receptor expression in the nucleus accumbens, raising the reward threshold — the same tolerance mechanism as substance use disorders [Johnson10, Kenny11]. This perpetuates overconsumption independent of metabolic need. GLP-1 agonists reduce food reward craving via central GLP-1R on dopaminergic and limbic circuits, partially correcting the mesolimbic setpoint.</w:t>
      </w:r>
    </w:p>
    <w:p>
      <w:pPr>
        <w:spacing w:before="0" w:after="0"/>
      </w:pPr>
      <w:r>
        <w:t xml:space="preserve"/>
      </w:r>
    </w:p>
    <w:p>
      <w:pPr>
        <w:pStyle w:val="Heading1"/>
      </w:pPr>
      <w:r>
        <w:rPr>
          <w:b/>
          <w:bCs/>
        </w:rPr>
        <w:t xml:space="preserve">§·4 — The Hormonal Layer: E2, Testosterone, PCOS, and Cortisol</w:t>
      </w:r>
    </w:p>
    <w:p>
      <w:pPr>
        <w:pStyle w:val="Heading2"/>
      </w:pPr>
      <w:r>
        <w:rPr>
          <w:b/>
          <w:bCs/>
        </w:rPr>
        <w:t xml:space="preserve">4.1 Estradiol and Insulin Sensitivity: The Menopause Double Hit</w:t>
      </w:r>
    </w:p>
    <w:p>
      <w:pPr>
        <w:spacing w:before="80" w:after="80" w:line="276"/>
        <w:jc w:val="both"/>
      </w:pPr>
      <w:r>
        <w:rPr>
          <w:b w:val="false"/>
          <w:bCs w:val="false"/>
          <w:i w:val="false"/>
          <w:iCs w:val="false"/>
        </w:rPr>
        <w:t xml:space="preserve">Estradiol (E2) directly supports insulin receptor sensitivity primarily through ERalpha signalling (Supported: consistent human translational and mechanistic evidence) [Mauvais-Jarvis13]:</w:t>
      </w:r>
    </w:p>
    <w:p>
      <w:pPr>
        <w:pStyle w:val="ListParagraph"/>
        <w:numPr>
          <w:ilvl w:val="0"/>
          <w:numId w:val="2"/>
        </w:numPr>
        <w:spacing w:before="60" w:after="60" w:line="276"/>
      </w:pPr>
      <w:r>
        <w:t xml:space="preserve">ERalpha → IRS-1 tyrosine phosphorylation support: E2 genomic signalling in muscle promotes expression of IRS-1, PI3K-p85 subunit, and GLUT4 — the components disrupted in insulin resistance.</w:t>
      </w:r>
    </w:p>
    <w:p>
      <w:pPr>
        <w:pStyle w:val="ListParagraph"/>
        <w:numPr>
          <w:ilvl w:val="0"/>
          <w:numId w:val="2"/>
        </w:numPr>
        <w:spacing w:before="60" w:after="60" w:line="276"/>
      </w:pPr>
      <w:r>
        <w:t xml:space="preserve">Mitochondrial support: E2 supports mitochondrial biogenesis via ERalpha → PGC-1alpha. E2 loss at menopause reduces mitochondrial fat oxidation capacity, accelerating intramyocellular lipid accumulation.</w:t>
      </w:r>
    </w:p>
    <w:p>
      <w:pPr>
        <w:pStyle w:val="ListParagraph"/>
        <w:numPr>
          <w:ilvl w:val="0"/>
          <w:numId w:val="2"/>
        </w:numPr>
        <w:spacing w:before="60" w:after="60" w:line="276"/>
      </w:pPr>
      <w:r>
        <w:t xml:space="preserve">Adipose distribution: E2 promotes subcutaneous fat deposition and suppresses visceral fat accumulation. E2 loss shifts fat to visceral pattern, accelerating FFA flux to the liver and MASLD.</w:t>
      </w:r>
    </w:p>
    <w:p>
      <w:pPr>
        <w:pBdr>
          <w:left w:val="single" w:color="2E75B6" w:sz="14" w:space="12"/>
        </w:pBdr>
        <w:spacing w:before="140" w:after="140" w:line="276"/>
        <w:ind w:left="720" w:right="720"/>
        <w:jc w:val="both"/>
      </w:pPr>
      <w:r>
        <w:rPr>
          <w:b/>
          <w:bCs/>
          <w:i/>
          <w:iCs/>
          <w:sz w:val="21"/>
          <w:szCs w:val="21"/>
        </w:rPr>
        <w:t xml:space="preserve">THE MENOPAUSE DOUBLE HIT: E2 loss (1) removes direct insulin receptor signalling support in muscle and (2) shifts adipose to visceral distribution, both independently increasing insulin resistance [Mauvais-Jarvis13]. Women's T2D incidence accelerates post-menopausally for hormonal, not purely ageing, reasons. Consistent with compounded vulnerability in this population, mild chronic sleep restriction (6.2 hours/night for 6 weeks) produced a 20.1% increase in insulin resistance in postmenopausal women vs 14.8% overall, though the study did not directly measure E2-mediated mechanisms [StOnge23].</w:t>
      </w:r>
    </w:p>
    <w:p>
      <w:pPr>
        <w:pStyle w:val="Heading2"/>
      </w:pPr>
      <w:r>
        <w:rPr>
          <w:b/>
          <w:bCs/>
        </w:rPr>
        <w:t xml:space="preserve">4.2 PCOS: The Bidirectional Hormonal-Metabolic Loop</w:t>
      </w:r>
    </w:p>
    <w:p>
      <w:pPr>
        <w:spacing w:before="80" w:after="80" w:line="276"/>
        <w:jc w:val="both"/>
      </w:pPr>
      <w:r>
        <w:rPr>
          <w:b w:val="false"/>
          <w:bCs w:val="false"/>
          <w:i w:val="false"/>
          <w:iCs w:val="false"/>
        </w:rPr>
        <w:t xml:space="preserve">PCOS affects 5–15% of reproductive-age women and is the canonical bidirectional hormonal-metabolic positive feedback loop [Dunaif97, Corbould08]. Insulin resistance → hyperinsulinaemia → excess insulin at LH-stimulated theca cells → excess androgen production → hyperandrogenism → further insulin resistance via AR on muscle → more hyperinsulinaemia. Self-reinforcing once established.</w:t>
      </w:r>
    </w:p>
    <w:p>
      <w:pPr>
        <w:pStyle w:val="ListParagraph"/>
        <w:numPr>
          <w:ilvl w:val="0"/>
          <w:numId w:val="2"/>
        </w:numPr>
        <w:spacing w:before="60" w:after="60" w:line="276"/>
      </w:pPr>
      <w:r>
        <w:t xml:space="preserve">Insulin → ovarian androgen: LH stimulates theca cells; insulin amplifies by stimulating theca cell steroidogenesis through both insulin receptor signalling and, at hyperinsulinaemic concentrations, IGF-1 receptor cross-activation.</w:t>
      </w:r>
    </w:p>
    <w:p>
      <w:pPr>
        <w:pStyle w:val="ListParagraph"/>
        <w:numPr>
          <w:ilvl w:val="0"/>
          <w:numId w:val="2"/>
        </w:numPr>
        <w:spacing w:before="60" w:after="60" w:line="276"/>
      </w:pPr>
      <w:r>
        <w:t xml:space="preserve">Androgens → insulin resistance: excess testosterone interferes with IRS-1 signalling in muscle and adipose through androgen receptor (AR)-mediated mechanisms and promotes visceral fat accumulation [Corbould08].</w:t>
      </w:r>
    </w:p>
    <w:p>
      <w:pPr>
        <w:pStyle w:val="ListParagraph"/>
        <w:numPr>
          <w:ilvl w:val="0"/>
          <w:numId w:val="2"/>
        </w:numPr>
        <w:spacing w:before="60" w:after="60" w:line="276"/>
      </w:pPr>
      <w:r>
        <w:t xml:space="preserve">SHBG collapse: insulin suppresses hepatic SHBG → more free testosterone → amplified androgenic signalling.</w:t>
      </w:r>
    </w:p>
    <w:p>
      <w:pPr>
        <w:pBdr>
          <w:left w:val="single" w:color="2E75B6" w:sz="14" w:space="12"/>
        </w:pBdr>
        <w:spacing w:before="140" w:after="140" w:line="276"/>
        <w:ind w:left="720" w:right="720"/>
        <w:jc w:val="both"/>
      </w:pPr>
      <w:r>
        <w:rPr>
          <w:b/>
          <w:bCs/>
          <w:i/>
          <w:iCs/>
          <w:sz w:val="21"/>
          <w:szCs w:val="21"/>
        </w:rPr>
        <w:t xml:space="preserve">PCOS TREATMENT INSIGHT: Reducing hyperinsulinaemia is the mechanistically correct intervention target — not the androgen production directly. Metformin has the strongest evidence for normalising androgen levels and restoring menstrual regularity in PCOS through this mechanism. GLP-1 agonists improve the underlying insulin resistance through the same logic and show increasing evidence for hormonal normalisation in PCOS, though the evidence base for menstrual restoration with GLP-1 agonists remains less established than for metformin [Dunaif97, Tao23].</w:t>
      </w:r>
    </w:p>
    <w:p>
      <w:pPr>
        <w:pStyle w:val="Heading2"/>
      </w:pPr>
      <w:r>
        <w:rPr>
          <w:b/>
          <w:bCs/>
        </w:rPr>
        <w:t xml:space="preserve">4.3 Testosterone and Insulin Sensitivity in Men</w:t>
      </w:r>
    </w:p>
    <w:p>
      <w:pPr>
        <w:spacing w:before="80" w:after="80" w:line="276"/>
        <w:jc w:val="both"/>
      </w:pPr>
      <w:r>
        <w:rPr>
          <w:b w:val="false"/>
          <w:bCs w:val="false"/>
          <w:i w:val="false"/>
          <w:iCs w:val="false"/>
        </w:rPr>
        <w:t xml:space="preserve">Low testosterone in men is independently associated with insulin resistance and T2D risk [Grossmann14]. Testosterone maintains skeletal muscle mass — hypogonadism-associated sarcopenia, compounded by age-related muscle loss, reduces GLUT4 density and impairs post-prandial glucose clearance — and separately suppresses visceral adipogenesis; reduced testosterone promotes visceral fat accumulation and increased FFA flux to the liver. AR signalling also supports mitochondrial biogenesis via PGC-1alpha, paralleling E2's role in women. A second bidirectional loop operates: insulin resistance → hyperinsulinaemia → suppression of LH pulsatility → reduced testicular testosterone → further insulin resistance. Some studies show testosterone replacement may improve insulin sensitivity in hypogonadal men with T2D, though results across RCTs are mixed [Grossmann14].</w:t>
      </w:r>
    </w:p>
    <w:p>
      <w:pPr>
        <w:pStyle w:val="Heading2"/>
      </w:pPr>
      <w:r>
        <w:rPr>
          <w:b/>
          <w:bCs/>
        </w:rPr>
        <w:t xml:space="preserve">4.4 Cortisol and the HPA-Metabolic Axis</w:t>
      </w:r>
    </w:p>
    <w:p>
      <w:pPr>
        <w:spacing w:before="80" w:after="80" w:line="276"/>
        <w:jc w:val="both"/>
      </w:pPr>
      <w:r>
        <w:rPr>
          <w:b w:val="false"/>
          <w:bCs w:val="false"/>
          <w:i w:val="false"/>
          <w:iCs w:val="false"/>
        </w:rPr>
        <w:t xml:space="preserve">Cortisol drives hepatic glucose production through glucocorticoid receptor (GR) activation of key gluconeogenic enzymes including PEPCK (phosphoenolpyruvate carboxykinase) and glucose-6-phosphatase, directly increasing hepatic glucose output [Vegiopoulos07]. Chronic HPA activation from sleep disruption, systemic inflammation, or psychological stress is associated with elevated cortisol, blunted diurnal cortisol slope, and increased hepatic glucose output — mechanistically linking chronic stress to worsening glycaemic control, though the relative contributions of cortisol-driven gluconeogenesis versus stress-related behavioural changes are difficult to separate in human studies. Cortisol also stimulates lipolysis in visceral adipose, increases FFA flux to the liver, and promotes visceral fat accumulation through GR-mediated differentiation — compounding the ectopic lipid cascade [Vegiopoulos07].</w:t>
      </w:r>
    </w:p>
    <w:p>
      <w:pPr>
        <w:spacing w:before="0" w:after="0"/>
      </w:pPr>
      <w:r>
        <w:t xml:space="preserve"/>
      </w:r>
    </w:p>
    <w:p>
      <w:pPr>
        <w:pStyle w:val="Heading1"/>
      </w:pPr>
      <w:r>
        <w:rPr>
          <w:b/>
          <w:bCs/>
        </w:rPr>
        <w:t xml:space="preserve">§·5 — Sleep, Circadian Disruption, and Metabolic Disease</w:t>
      </w:r>
    </w:p>
    <w:p>
      <w:pPr>
        <w:spacing w:before="80" w:after="80" w:line="276"/>
        <w:jc w:val="both"/>
      </w:pPr>
      <w:r>
        <w:rPr>
          <w:b w:val="false"/>
          <w:bCs w:val="false"/>
          <w:i w:val="false"/>
          <w:iCs w:val="false"/>
        </w:rPr>
        <w:t xml:space="preserve">Sleep and circadian disruption activate the same ectopic lipid and insulin signalling failure cascade identified as the core mechanism through three distinct entry points.</w:t>
      </w:r>
    </w:p>
    <w:p>
      <w:pPr>
        <w:pStyle w:val="Heading2"/>
      </w:pPr>
      <w:r>
        <w:rPr>
          <w:b/>
          <w:bCs/>
        </w:rPr>
        <w:t xml:space="preserve">5.1 The Pancreatic Beta-Cell Clock</w:t>
      </w:r>
    </w:p>
    <w:p>
      <w:pPr>
        <w:spacing w:before="80" w:after="80" w:line="276"/>
        <w:jc w:val="both"/>
      </w:pPr>
      <w:r>
        <w:rPr>
          <w:b w:val="false"/>
          <w:bCs w:val="false"/>
          <w:i w:val="false"/>
          <w:iCs w:val="false"/>
        </w:rPr>
        <w:t xml:space="preserve">Pancreatic beta-cells contain an autonomous self-sustained circadian clock independent of the central SCN. (Supported in rodent models; human islet validation is an open gap: see §12.) CLOCK and BMAL1 colocalize with the pancreatic transcription factor PDX1 within active beta-cell enhancers and drive rhythmic transcription of the entire insulin secretory machinery: core SNARE complex proteins for regulated exocytosis (Vamp2, Syntaxin1, Snap25), calcium signalling components, and cAMP pathway effectors [Marcheva10, Perelis15].</w:t>
      </w:r>
    </w:p>
    <w:p>
      <w:pPr>
        <w:spacing w:before="80" w:after="80" w:line="276"/>
        <w:jc w:val="both"/>
      </w:pPr>
      <w:r>
        <w:rPr>
          <w:b w:val="false"/>
          <w:bCs w:val="false"/>
          <w:i w:val="false"/>
          <w:iCs w:val="false"/>
        </w:rPr>
        <w:t xml:space="preserve">First-phase insulin secretion — the rapid 0–10 minute spike following glucose stimulus — requires synchronised expression of the exocytosis machinery. Beta-cell-specific Bmal1 ablation in adult mice causes severe glucose intolerance from defective first-phase secretion without affecting total insulin content [Perelis15]. The clock coordinates insulin release; it does not control insulin production. Experimental circadian disruption via shift-work-simulating light-dark cycles produces the same beta-cell mitochondrial uncoupling phenotype — consistent with impairment through the same molecular pathway as genetic clock disruption [Rakshit13].</w:t>
      </w:r>
    </w:p>
    <w:p>
      <w:pPr>
        <w:spacing w:before="80" w:after="80" w:line="276"/>
        <w:jc w:val="both"/>
      </w:pPr>
      <w:r>
        <w:rPr>
          <w:b w:val="false"/>
          <w:bCs w:val="false"/>
          <w:i w:val="false"/>
          <w:iCs w:val="false"/>
        </w:rPr>
        <w:t xml:space="preserve">In rodent models, disruption of beta-cell clock gene expression impairs insulin content and secretory timing [Marcheva10, Perelis15]. Whether equivalent clock gene downregulation occurs in human islets from T2D donors remains an active area of investigation; available human islet enhancer mapping is consistent with BMAL1/PDX1 co-regulation [Perelis15] but direct transcriptomic quantification of clock gene expression in T2D human islets is an open gap addressed in §12. IL-1beta, elevated in T2D-related chronic inflammation, directly disrupts beta-cell BMAL1 expression via SIRT1 impairment, creating a positive feedback between the inflammatory environment of T2D and further beta-cell clock deterioration [Qian21].</w:t>
      </w:r>
    </w:p>
    <w:p>
      <w:pPr>
        <w:pStyle w:val="Heading2"/>
      </w:pPr>
      <w:r>
        <w:rPr>
          <w:b/>
          <w:bCs/>
        </w:rPr>
        <w:t xml:space="preserve">5.2 Sleep Deprivation: Neuroendocrine and Metabolic Pathways</w:t>
      </w:r>
    </w:p>
    <w:p>
      <w:pPr>
        <w:spacing w:before="80" w:after="80" w:line="276"/>
        <w:jc w:val="both"/>
      </w:pPr>
      <w:r>
        <w:rPr>
          <w:b w:val="false"/>
          <w:bCs w:val="false"/>
          <w:i w:val="false"/>
          <w:iCs w:val="false"/>
        </w:rPr>
        <w:t xml:space="preserve">Insufficient sleep activates three parallel pathways into the insulin resistance cascade:</w:t>
      </w:r>
    </w:p>
    <w:p>
      <w:pPr>
        <w:pStyle w:val="ListParagraph"/>
        <w:numPr>
          <w:ilvl w:val="0"/>
          <w:numId w:val="2"/>
        </w:numPr>
        <w:spacing w:before="60" w:after="60" w:line="276"/>
      </w:pPr>
      <w:r>
        <w:t xml:space="preserve">Ghrelin/leptin dysregulation: Sleep restriction raises ghrelin (orexigenic; activates NPY/AgRP neurons) and lowers leptin. Controlled laboratory studies in healthy young men show that even brief sleep restriction elevates ghrelin and suppresses leptin, driving hunger and overconsumption independent of caloric need [Spiegel04]. These changes directly impair the hypothalamic appetite gate described in §3.</w:t>
      </w:r>
    </w:p>
    <w:p>
      <w:pPr>
        <w:pStyle w:val="ListParagraph"/>
        <w:numPr>
          <w:ilvl w:val="0"/>
          <w:numId w:val="2"/>
        </w:numPr>
        <w:spacing w:before="60" w:after="60" w:line="276"/>
      </w:pPr>
      <w:r>
        <w:t xml:space="preserve">HPA activation: Insufficient sleep elevates evening cortisol and blunts the diurnal cortisol slope, driving hepatic gluconeogenesis and visceral fat accumulation through the pathway described in §4.4.</w:t>
      </w:r>
    </w:p>
    <w:p>
      <w:pPr>
        <w:pStyle w:val="ListParagraph"/>
        <w:numPr>
          <w:ilvl w:val="0"/>
          <w:numId w:val="2"/>
        </w:numPr>
        <w:spacing w:before="60" w:after="60" w:line="276"/>
      </w:pPr>
      <w:r>
        <w:t xml:space="preserve">Direct insulin resistance: Six weeks of mild sleep restriction (6.2 hours/night) caused a 14.8% increase in insulin resistance across women of all ages; postmenopausal women showed a 20.1% increase. These effects occurred without significant body weight change, consistent with a neuroendocrine mechanism separate from the weight-gain pathway [StOnge23] — though the specific mediators were not directly measured in this study.</w:t>
      </w:r>
    </w:p>
    <w:p>
      <w:pPr>
        <w:pStyle w:val="Heading2"/>
      </w:pPr>
      <w:r>
        <w:rPr>
          <w:b/>
          <w:bCs/>
        </w:rPr>
        <w:t xml:space="preserve">5.3 Obstructive Sleep Apnea: The Nightly Stress Model</w:t>
      </w:r>
    </w:p>
    <w:p>
      <w:pPr>
        <w:spacing w:before="80" w:after="80" w:line="276"/>
        <w:jc w:val="both"/>
      </w:pPr>
      <w:r>
        <w:rPr>
          <w:b w:val="false"/>
          <w:bCs w:val="false"/>
          <w:i w:val="false"/>
          <w:iCs w:val="false"/>
        </w:rPr>
        <w:t xml:space="preserve">OSA is present in over 85% of obese patients with T2D in polysomnographic studies [Foster09], yet the majority remain undiagnosed or undertreated. Each apnoeic episode generates intermittent hypoxia and sleep fragmentation, activating the SNS and HPA axis. In a randomised crossover CPAP withdrawal trial, OSA recurrence dynamically increased nocturnal FFAs (p=0.007), plasma glucose (p=0.028), and cortisol (p=0.037) in direct proportion to respiratory event frequency [Chopra17].</w:t>
      </w:r>
    </w:p>
    <w:p>
      <w:pPr>
        <w:spacing w:before="80" w:after="80" w:line="276"/>
        <w:jc w:val="both"/>
      </w:pPr>
      <w:r>
        <w:rPr>
          <w:b w:val="false"/>
          <w:bCs w:val="false"/>
          <w:i w:val="false"/>
          <w:iCs w:val="false"/>
        </w:rPr>
        <w:t xml:space="preserve">(Proposed: upstream FFA/cortisol surge established above; downstream IRS-1 step is mechanistic inference.) Hypoxia → catecholamine release → lipolysis → nocturnal FFA surge. By analogy with the chronic ectopic lipid cascade [DeFronzo09], repeated FFA surges are proposed to activate the DAG/ceramide/PKC pathway — driving IRS-1 serine phosphorylation and acutely impairing insulin signalling. Chopra17 established the upstream FFA and cortisol surge; the downstream IRS-1 step is a mechanistic inference, not yet directly demonstrated in human OSA. OSA independently impairs insulin sensitivity beyond the contribution of obesity alone [Punjabi02].</w:t>
      </w:r>
    </w:p>
    <w:p>
      <w:pPr>
        <w:pStyle w:val="Heading2"/>
      </w:pPr>
      <w:r>
        <w:rPr>
          <w:b/>
          <w:bCs/>
        </w:rPr>
        <w:t xml:space="preserve">5.4 Shift Work and Circadian Misalignment</w:t>
      </w:r>
    </w:p>
    <w:p>
      <w:pPr>
        <w:spacing w:before="80" w:after="80" w:line="276"/>
        <w:jc w:val="both"/>
      </w:pPr>
      <w:r>
        <w:rPr>
          <w:b w:val="false"/>
          <w:bCs w:val="false"/>
          <w:i w:val="false"/>
          <w:iCs w:val="false"/>
        </w:rPr>
        <w:t xml:space="preserve">Rotating night shift work independently increases T2D risk with a dose-response relationship across years of exposure in NHS I and II cohorts (n&gt;170,000 women, 18–20 years) [Pan11]. Laboratory experiments isolating circadian misalignment from sleep deprivation confirm misalignment alone increases postprandial glucose by 5.6% and doubles both the reduction in insulin sensitivity and the increase in inflammatory markers in male participants [Morris15]. Mistimed feeding during the biological night may further compound the metabolic effects through disruption of the entrained incretin response, though direct quantification in human shift workers requires further study. These data collectively establish that circadian disruption carries a metabolic cost beyond sleep loss or caloric intake alone. Replication in female participants and real-world shift work settings remains important given the sex-specific hormonal interactions described in §4.</w:t>
      </w:r>
    </w:p>
    <w:p>
      <w:pPr>
        <w:spacing w:before="0" w:after="0"/>
      </w:pPr>
      <w:r>
        <w:t xml:space="preserve"/>
      </w:r>
    </w:p>
    <w:p>
      <w:pPr>
        <w:pStyle w:val="Heading1"/>
      </w:pPr>
      <w:r>
        <w:rPr>
          <w:b/>
          <w:bCs/>
        </w:rPr>
        <w:t xml:space="preserve">§·6 — Disease Progression: Six-Stage Analysis</w:t>
      </w:r>
    </w:p>
    <w:p>
      <w:pPr>
        <w:spacing w:before="80" w:after="80" w:line="276"/>
        <w:jc w:val="both"/>
      </w:pPr>
      <w:r>
        <w:rPr>
          <w:b w:val="false"/>
          <w:bCs w:val="false"/>
          <w:i w:val="false"/>
          <w:iCs w:val="false"/>
        </w:rPr>
        <w:t xml:space="preserve">Table 1 summarises the progression from early insulin resistance to end-organ complications.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600"/>
        <w:gridCol w:w="1500"/>
        <w:gridCol w:w="4800"/>
      </w:tblGrid>
      <w:tr>
        <w:trPr>
          <w:tblHeader/>
        </w:trPr>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Stage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Threshold event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Site</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Mechanistic description</w:t>
            </w:r>
          </w:p>
        </w:tc>
      </w:tr>
      <w:tr>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Insulin resistance (early)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IRS-1 serine phosphorylation; compensatory beta-cell hypersecretion maintains euglycaemia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Peripheral gate degrading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Excess FFA -&gt; DAG/ceramide -&gt; PKC-theta (muscle) / PKC-epsilon (liver) -&gt; IRS-1 serine phosphorylation -&gt; PI3K blocked -&gt; GLUT4 stuck. Fasting insulin elevated (compensatory hyperinsulinaemia), fasting glucose normal. Hypothalamic TLR4/ER stress-driven leptin resistance and beta-cell clock disruption begin.</w:t>
            </w:r>
          </w:p>
        </w:tc>
      </w:tr>
      <w:tr>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Prediabetes / impaired fasting glucose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Below compensation threshold; first-phase insulin secretion blunted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Gate partially crossed; beta-cell timing failure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First-phase insulin secretion (0-10 min spike) lost. HbA1c 5.7-6.4%. Beta-cell mass estimated ~20–40% below normal [Butler03] (extrapolated from autopsy data; direct prediabetes measurement lacking). Mesolimbic D2 downregulation begins. Beta-cell BMAL1/PDX1 expression reduced by chronic inflammation [Qian21].</w:t>
            </w:r>
          </w:p>
        </w:tc>
      </w:tr>
      <w:tr>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T2D diagnosis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Both gates sufficiently impaired; fasting glucose &gt;=126 mg/dL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Dual gate failure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Peripheral insulin resistance AND inadequate beta-cell compensation. Beta-cell mass reduced ~50% at diagnosis [DeFronzo09]. Clinical detection of a decade-long process. Sleep disruption and OSA have typically compounded the resistance for years without recognition.</w:t>
            </w:r>
          </w:p>
        </w:tc>
      </w:tr>
      <w:tr>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Progressive beta-cell 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Glucotoxicity + lipotoxicity -&gt; apoptosis exceeds regeneration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Accumulating irreversibly</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Chronic hyperglycaemia -&gt; mitochondrial ROS -&gt; apoptosis. FFA -&gt; ceramide -&gt; ER stress -&gt; apoptosis [Westermark11]. IAPP oligomers directly cytotoxic. Bmal1 disruption -&gt; UCP2-mediated mitochondrial uncoupling -&gt; impaired Vamp2/Syntaxin1/Snap25 exocytosis machinery -&gt; defective first-phase secretion [Rakshit13].</w:t>
            </w:r>
          </w:p>
        </w:tc>
      </w:tr>
      <w:tr>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Metabolic syndrome constellation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Multiple simultaneous failures: hepatic steatosis, dyslipidaemia, hypertension, CVD risk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Systemic overflow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Hepatic IR -&gt; unrestrained gluconeogenesis + mTORC1-hyperactivated lipogenesis -&gt; hypertriglyceridaemia. Visceral adipose -&gt; systemic FFA + IL-6, TNF-alpha, resistin. Mesolimbic D2 downregulation (established from prediabetes stage) drives continued overconsumption, compounding caloric excess that maintains the ectopic lipid load. OSA perpetuates nightly FFA/cortisol surges.</w:t>
            </w:r>
          </w:p>
        </w:tc>
      </w:tr>
      <w:tr>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End-organ complications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Vascular thresholds crossed: microvascular and macrovascular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Terminal accumulation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AGE crosslinking of vascular collagen -&gt; stiffness. Aldose reductase -&gt; sorbitol in nerve. Pericyte loss in retina -&gt; angiogenesis. Glomerular hyperfiltration -&gt; sclerosis. Post-menopausal women face accelerated progression: E2 loss removes insulin sensitivity support and neuroprotective effects simultaneously, compounding T2D-driven vascular and end-organ pathology [Mauvais-Jarvis13].</w:t>
            </w:r>
          </w:p>
        </w:tc>
      </w:tr>
    </w:tbl>
    <w:p>
      <w:pPr>
        <w:spacing w:before="80" w:after="160" w:line="276"/>
        <w:jc w:val="both"/>
      </w:pPr>
      <w:r>
        <w:rPr>
          <w:b w:val="false"/>
          <w:bCs w:val="false"/>
          <w:i/>
          <w:iCs/>
        </w:rPr>
        <w:t xml:space="preserve">Table 1. Six-stage T2D progression. Clinical diagnosis represents ~50% beta-cell mass loss — the prediabetes window is the optimal intervention point.</w:t>
      </w:r>
    </w:p>
    <w:p>
      <w:pPr>
        <w:spacing w:before="0" w:after="0"/>
      </w:pPr>
      <w:r>
        <w:t xml:space="preserve"/>
      </w:r>
    </w:p>
    <w:p>
      <w:pPr>
        <w:pStyle w:val="Heading1"/>
      </w:pPr>
      <w:r>
        <w:rPr>
          <w:b/>
          <w:bCs/>
        </w:rPr>
        <w:t xml:space="preserve">§·7 — Metabolic Memory: The Legacy of Prior Hyperglycaemia</w:t>
      </w:r>
    </w:p>
    <w:p>
      <w:pPr>
        <w:spacing w:before="80" w:after="80" w:line="276"/>
        <w:jc w:val="both"/>
      </w:pPr>
      <w:r>
        <w:rPr>
          <w:b w:val="false"/>
          <w:bCs w:val="false"/>
          <w:i w:val="false"/>
          <w:iCs w:val="false"/>
        </w:rPr>
        <w:t xml:space="preserve">The legacy effect: patients who achieve tight glycaemic control early show substantially lower complication rates decades later, even if control subsequently deteriorates (Established: DCCT and UKPDS RCT data) [DCCT93, UKPDS98]. The mechanism is epigenetic — a structural update to vascular and endothelial gene expression [ElOsta08]:</w:t>
      </w:r>
    </w:p>
    <w:p>
      <w:pPr>
        <w:pStyle w:val="ListParagraph"/>
        <w:numPr>
          <w:ilvl w:val="0"/>
          <w:numId w:val="2"/>
        </w:numPr>
        <w:spacing w:before="60" w:after="60" w:line="276"/>
      </w:pPr>
      <w:r>
        <w:t xml:space="preserve">Histone methylation at NF-kB promoter: H3K4me1 written by SET7/9 (SETD7) methyltransferase during hyperglycaemia persists after glucose normalisation due to insufficient demethylation — keeping NF-kB-driven inflammatory gene expression elevated [ElOsta08].</w:t>
      </w:r>
    </w:p>
    <w:p>
      <w:pPr>
        <w:pStyle w:val="ListParagraph"/>
        <w:numPr>
          <w:ilvl w:val="0"/>
          <w:numId w:val="2"/>
        </w:numPr>
        <w:spacing w:before="60" w:after="60" w:line="276"/>
      </w:pPr>
      <w:r>
        <w:t xml:space="preserve">Mitochondrial DNA damage: Oxidative stress from hyperglycaemia is not fully repaired after glucose normalisation — persistent mitochondrial superoxide overproduction continues activating downstream inflammatory and apoptotic pathways [Brownlee05].</w:t>
      </w:r>
    </w:p>
    <w:p>
      <w:pPr>
        <w:pStyle w:val="ListParagraph"/>
        <w:numPr>
          <w:ilvl w:val="0"/>
          <w:numId w:val="2"/>
        </w:numPr>
        <w:spacing w:before="60" w:after="60" w:line="276"/>
      </w:pPr>
      <w:r>
        <w:t xml:space="preserve">MicroRNA profiles: Multiple microRNA species involved in NF-kB inflammatory signalling are altered by prior hyperglycaemia and persist after normalisation, sustaining downstream inflammatory gene expression through transcriptional and post-transcriptional mechanisms.</w:t>
      </w:r>
    </w:p>
    <w:p>
      <w:pPr>
        <w:pBdr>
          <w:left w:val="single" w:color="2E75B6" w:sz="14" w:space="12"/>
        </w:pBdr>
        <w:spacing w:before="140" w:after="140" w:line="276"/>
        <w:ind w:left="720" w:right="720"/>
        <w:jc w:val="both"/>
      </w:pPr>
      <w:r>
        <w:rPr>
          <w:b/>
          <w:bCs/>
          <w:i/>
          <w:iCs/>
          <w:sz w:val="21"/>
          <w:szCs w:val="21"/>
        </w:rPr>
        <w:t xml:space="preserve">Early tight control prevents the epigenetic update. Late tight control cannot reverse it. This is mechanistically consistent with the UKPDS and DCCT legacy effects [UKPDS98, DCCT93, ElOsta08]. The optimal window is prediabetes to early T2D — before epigenetic remodelling is established and before beta-cell mass loss crosses the irreversibility threshold.</w:t>
      </w:r>
    </w:p>
    <w:p>
      <w:pPr>
        <w:spacing w:before="80" w:after="80" w:line="276"/>
        <w:jc w:val="both"/>
      </w:pPr>
      <w:r>
        <w:rPr>
          <w:b w:val="false"/>
          <w:bCs w:val="false"/>
          <w:i w:val="false"/>
          <w:iCs w:val="false"/>
        </w:rPr>
        <w:t xml:space="preserve">This epigenetic mechanism interacts with the circadian disruption layer: IL-1beta released in chronic low-grade inflammation directly disrupts beta-cell BMAL1 expression via SIRT1 impairment, creating secondary clock disruption independent of environmental circadian misalignment [Qian21]. Chronic inflammation may embed beta-cell clock disruption that persists even after metabolic normalisation.</w:t>
      </w:r>
    </w:p>
    <w:p>
      <w:pPr>
        <w:spacing w:before="0" w:after="0"/>
      </w:pPr>
      <w:r>
        <w:t xml:space="preserve"/>
      </w:r>
    </w:p>
    <w:p>
      <w:pPr>
        <w:pStyle w:val="Heading1"/>
      </w:pPr>
      <w:r>
        <w:rPr>
          <w:b/>
          <w:bCs/>
        </w:rPr>
        <w:t xml:space="preserve">§·8 — The Reversibility Question</w:t>
      </w:r>
    </w:p>
    <w:p>
      <w:pPr>
        <w:pStyle w:val="Heading2"/>
      </w:pPr>
      <w:r>
        <w:rPr>
          <w:b/>
          <w:bCs/>
        </w:rPr>
        <w:t xml:space="preserve">8.1 What Is Reversible</w:t>
      </w:r>
    </w:p>
    <w:p>
      <w:pPr>
        <w:spacing w:before="80" w:after="80" w:line="276"/>
        <w:jc w:val="both"/>
      </w:pPr>
      <w:r>
        <w:rPr>
          <w:b w:val="false"/>
          <w:bCs w:val="false"/>
          <w:i w:val="false"/>
          <w:iCs w:val="false"/>
        </w:rPr>
        <w:t xml:space="preserve">The DiRECT trial established T2D remission through dietary weight management: 46% remission at 1 year, 36% at 2 years [Lean18]. The 5-year DiRECT extension showed 13% of participants with continued low-intensity support were in remission at 5 years; of those in remission at 2 years, 26% remained in remission [Lean24]. T2D is not inherently progressive — it is progression-by-default under an obesogenic environment.</w:t>
      </w:r>
    </w:p>
    <w:p>
      <w:pPr>
        <w:pStyle w:val="ListParagraph"/>
        <w:numPr>
          <w:ilvl w:val="0"/>
          <w:numId w:val="2"/>
        </w:numPr>
        <w:spacing w:before="60" w:after="60" w:line="276"/>
      </w:pPr>
      <w:r>
        <w:t xml:space="preserve">Peripheral insulin resistance: Reversible with caloric restriction, exercise, and visceral fat reduction. Hepatic insulin sensitivity can normalise within approximately 7 days of aggressive caloric restriction [Lim11]; full peripheral (muscle) insulin sensitivity recovery requires more sustained fat reduction over weeks to months.</w:t>
      </w:r>
    </w:p>
    <w:p>
      <w:pPr>
        <w:pStyle w:val="ListParagraph"/>
        <w:numPr>
          <w:ilvl w:val="0"/>
          <w:numId w:val="2"/>
        </w:numPr>
        <w:spacing w:before="60" w:after="60" w:line="276"/>
      </w:pPr>
      <w:r>
        <w:t xml:space="preserve">Hepatic steatosis (MASLD): Highly reversible. Hepatic fat normalisation is the fastest-responding component — achievable within approximately 7 days of a very low calorie diet [Lim11], preceding full peripheral muscle insulin resistance recovery by weeks to months.</w:t>
      </w:r>
    </w:p>
    <w:p>
      <w:pPr>
        <w:pStyle w:val="ListParagraph"/>
        <w:numPr>
          <w:ilvl w:val="0"/>
          <w:numId w:val="2"/>
        </w:numPr>
        <w:spacing w:before="60" w:after="60" w:line="276"/>
      </w:pPr>
      <w:r>
        <w:t xml:space="preserve">Beta-cell function: Partially reversible if lipotoxic stress is removed before significant apoptosis. Mechanistic sub-studies from the Newcastle group correlate remission with pancreatic fat reduction specifically [Taylor13].</w:t>
      </w:r>
    </w:p>
    <w:p>
      <w:pPr>
        <w:pStyle w:val="ListParagraph"/>
        <w:numPr>
          <w:ilvl w:val="0"/>
          <w:numId w:val="2"/>
        </w:numPr>
        <w:spacing w:before="60" w:after="60" w:line="276"/>
      </w:pPr>
      <w:r>
        <w:t xml:space="preserve">Hypothalamic setpoint: Partially reversible with sustained GLP-1 agonism and significant weight loss — GLP-1R agonism directly activates POMC/CART and suppresses NPY/AgRP, and sustained fat loss reduces the central leptin resistance driving these circuits [Schwartz00, Milanski09]. The degree of setpoint correction appears weight-loss-dependent and may not fully normalise after prolonged prior dysregulation.</w:t>
      </w:r>
    </w:p>
    <w:p>
      <w:pPr>
        <w:pStyle w:val="Heading2"/>
      </w:pPr>
      <w:r>
        <w:rPr>
          <w:b/>
          <w:bCs/>
        </w:rPr>
        <w:t xml:space="preserve">8.2 What Is Not Reversible</w:t>
      </w:r>
    </w:p>
    <w:p>
      <w:pPr>
        <w:pStyle w:val="ListParagraph"/>
        <w:numPr>
          <w:ilvl w:val="0"/>
          <w:numId w:val="2"/>
        </w:numPr>
        <w:spacing w:before="60" w:after="60" w:line="276"/>
      </w:pPr>
      <w:r>
        <w:t xml:space="preserve">Beta-cell mass loss from apoptosis: Once sufficient beta-cell mass is lost, secretory reserve cannot be restored by metabolic normalisation.</w:t>
      </w:r>
    </w:p>
    <w:p>
      <w:pPr>
        <w:pStyle w:val="ListParagraph"/>
        <w:numPr>
          <w:ilvl w:val="0"/>
          <w:numId w:val="2"/>
        </w:numPr>
        <w:spacing w:before="60" w:after="60" w:line="276"/>
      </w:pPr>
      <w:r>
        <w:t xml:space="preserve">Metabolic memory: Epigenetic marks from prior hyperglycaemia are durable [ElOsta08]. Glucose normalisation prevents further accumulation but does not erase existing methylation patterns.</w:t>
      </w:r>
    </w:p>
    <w:p>
      <w:pPr>
        <w:pStyle w:val="ListParagraph"/>
        <w:numPr>
          <w:ilvl w:val="0"/>
          <w:numId w:val="2"/>
        </w:numPr>
        <w:spacing w:before="60" w:after="60" w:line="276"/>
      </w:pPr>
      <w:r>
        <w:t xml:space="preserve">Advanced AGE crosslinks in vascular collagen: Chemically irreversible under physiological conditions.</w:t>
      </w:r>
    </w:p>
    <w:p>
      <w:pPr>
        <w:pBdr>
          <w:left w:val="single" w:color="2E75B6" w:sz="14" w:space="12"/>
        </w:pBdr>
        <w:spacing w:before="140" w:after="140" w:line="276"/>
        <w:ind w:left="720" w:right="720"/>
        <w:jc w:val="both"/>
      </w:pPr>
      <w:r>
        <w:rPr>
          <w:b/>
          <w:bCs/>
          <w:i/>
          <w:iCs/>
          <w:sz w:val="21"/>
          <w:szCs w:val="21"/>
        </w:rPr>
        <w:t xml:space="preserve">The 'diabetes is irreversible' clinical framing is incorrect as a universal claim. The reversibility profile is time-dependent: aggressive early intervention can achieve durable remission. After significant beta-cell loss and metabolic memory establishment, the disease shifts from reversible ectopic lipid overflow to structurally locked failure. Note: the DiRECT 5-year hospitalisation comparison (approximately half the events in the intervention vs control group) is from an observational extension period rather than a continuation of the randomised design; confounding by differential retention and prior health status cannot be excluded [Lean24].</w:t>
      </w:r>
    </w:p>
    <w:p>
      <w:pPr>
        <w:spacing w:before="0" w:after="0"/>
      </w:pPr>
      <w:r>
        <w:t xml:space="preserve"/>
      </w:r>
    </w:p>
    <w:p>
      <w:pPr>
        <w:pStyle w:val="Heading1"/>
      </w:pPr>
      <w:r>
        <w:rPr>
          <w:b/>
          <w:bCs/>
        </w:rPr>
        <w:t xml:space="preserve">§·9 — Pharmacology: Mechanism-Matched Treatment</w:t>
      </w:r>
    </w:p>
    <w:p>
      <w:pPr>
        <w:spacing w:before="80" w:after="80" w:line="276"/>
        <w:jc w:val="both"/>
      </w:pPr>
      <w:r>
        <w:rPr>
          <w:b w:val="false"/>
          <w:bCs w:val="false"/>
          <w:i w:val="false"/>
          <w:iCs w:val="false"/>
        </w:rPr>
        <w:t xml:space="preserve">Table 2 maps each drug class to its mechanistic entry point in the T2D causal cascade.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760"/>
        <w:gridCol w:w="320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Drug class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Mechanism target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Why it works / why it fails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Clinical evidence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Metformin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AMPK activation -&gt; reduced hepatic gluconeogenesis; mitochondrial effects including Complex I and mGPDH inhibition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Most upstream available drug: reduces fasting glucose without driving beta-cell exhaustion. Does not address ectopic lipid directly but reduces hepatic glucose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UKPDS: MI reduction proportionally greater than HbA1c lowering alone in obese T2D, suggesting mechanisms beyond glycaemic control [UKPDS98]. First-line by evidence and upstream mechanism.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GLP-1 receptor agonists (semaglutide, liraglutide)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Pancreatic: glucose-dependent insulin secretion. Central: POMC/CART activation + NPY/AgRP suppression. Mesolimbic: food reward reduction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Broadest simultaneous mechanism coverage: addresses pancreatic gate, central appetite setpoint, and mesolimbic hedonic drive simultaneously. Does not directly address ectopic lipid -- secondarily reduces it via weight loss.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LEADER (liraglutide): CV death reduced 13% [Marso16_LEADER]. SUSTAIN-6 (semaglutide): 26% reduction in primary composite MACE -- non-inferiority CV safety trial with incidental superiority result [Marso16_SUSTAIN6]. FLOW (semaglutide, n=3,533, T2D + CKD): 24% reduction composite kidney outcomes; CV death -29%; all-cause mortality -20% [Perkovic24]. Positions GLP-1 RAs as fourth pillar of CKD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Tirzepatide (dual GLP-1/GIP)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GLP-1R + GIPR co-agonism; CNS-GIPR signalling proposed to potentiate GLP-1R anorectic effect at ARC axons [Zhang21_GIPR]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Non-redundant central mechanism beyond GLP-1 monotherapy. Whether tirzepatide achieves greater insulin sensitivity improvement per unit weight lost than semaglutide — consistent with a peripheral GIP-mediated sensitising mechanism — remains an open question addressed in P2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SURPASS-2: superior HbA1c and weight reduction vs semaglutide 1mg [Frias21]. SURMOUNT-1: 20.9% weight loss at 15mg; 91% reached &gt;=5% [Jastreboff22]. SURMOUNT-5 head-to-head: significantly greater mean weight reduction vs semaglutide 2.4mg at 72 weeks [SURMOUNT5_2025]. 3-year extension: 94% relative T2D risk reduction in prediabetes (HR 0.06).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SGLT2 inhibitors (empagliflozin, dapagliflozin, canagliflozin)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Renal glucose reabsorption blocked -&gt; glycosuria; osmotic diuresis; cardiac substrate shift toward ketones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Works independently of insulin signalling -- bypasses both gate failures. Does not address root insulin resistance but does not depend on it to act. Unique non-insulin, non-glucose cardiac protection pathway.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EMPA-REG (empagliflozin): CV death -38%, HF hospitalisation -35% [Zinman15]. DAPA-HF (dapagliflozin): HFrEF benefit regardless of T2D [McMurray19]. CREDENCE (canagliflozin) [Perkovic19] and DAPA-CKD (dapagliflozin) [Heerspink20]: renal protection. Complementary to GLP-1 RA for cardiorenal benefit.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Thiazolidinediones (pioglitazone)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PPARgamma agonism -&gt; adipose differentiation -&gt; smaller, more insulin-sensitive adipocytes -&gt; reduced FFA flux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Only class that directly reduces ectopic lipid through adipose reprogramming. Durable glycaemic control reflecting root-cause intervention. Limited by fluid retention (heart failure risk) and weight 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PROactive: significant reduction in secondary composite CV endpoint [Dormandy05]. Reduces hepatic fat; used off-label in MASLD.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Resmetirom (THR-beta agonist)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Selective thyroid hormone receptor-beta agonism -&gt; enhanced hepatic fatty acid beta-oxidation -&gt; reduced liver fat and fibrosis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Approved for noncirrhotic MASH with F2-F3 fibrosis, not as a T2D therapy per se. Addresses hepatic ectopic lipid from the liver side -- mechanistically complementary to GLP-1 agonists. Potential T2D insulin resistance benefit in patients with concurrent MASLD supported by secondary endpoints but not established as a T2D indication.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MAESTRO-NASH Phase 3 (n&gt;950): MASH resolution and &gt;=1-stage fibrosis improvement [Harrison24]. FDA accelerated approval March 2024 -- first approved MASLD pharmacotherapy.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Sulfonylureas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KATP channel blockade -&gt; forced insulin secretion regardless of glucose 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Effective short-term but drives beta-cell exhaustion by forced hypersecretion accelerating apoptosis. Weight gain worsens insulin resistance. High secondary failure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Effective HbA1c reduction; no CV benefit demonstrated. Mechanistic concerns about long-term impact on beta-cell reserve have contributed to declining use in evidence-based protocols.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Insulin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Directly drives GLUT4 translocation independent of insulin receptor pathway integrity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Essential when beta-cell reserve is exhausted. Bypasses both gate failures. Does not address insulin resistance -- requires progressively higher doses as resistance compounds. Mechanistically indicated when beta-cell reserve is substantially depleted — at that point the only available bypass of both failed gates.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Essential and irreplaceable when beta-cell reserve is exhausted. Earlier initiation in T2D than mechanistically indicated may reflect insufficient distinction between T1D and T2D pathophysiology.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Bariatric surgery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GLP-1 surge + gut hormone remodelling + bile acid signalling (FXR/TGR5) + caloric restriction + hypothalamic setpoint reset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Broadest mechanistic intervention: reduces visceral and pancreatic fat, restores GLP-1 signalling amplitude, and resets hypothalamic leptin/dopamine setpoints through multiple simultaneous routes. T2D remission occurs before most weight is lost [Rubino06] — consistent with gut hormone, bile acid, and neural mechanisms beyond caloric restriction alone.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SOS: T2D remission ~72% at 2 years for gastric bypass [SjostromJAMA14]. DiRECT dietary programme: 46% at 1 year [Lean18], 13% sustained at 5 years [Lean24]. Surgery remains superior for sustained remission.</w:t>
            </w:r>
          </w:p>
        </w:tc>
      </w:tr>
    </w:tbl>
    <w:p>
      <w:pPr>
        <w:spacing w:before="80" w:after="160" w:line="276"/>
        <w:jc w:val="both"/>
      </w:pPr>
      <w:r>
        <w:rPr>
          <w:b w:val="false"/>
          <w:bCs w:val="false"/>
          <w:i/>
          <w:iCs/>
        </w:rPr>
        <w:t xml:space="preserve">Table 2. Drug classes mapped to mechanistic entry points. Most pharmacotherapy addresses downstream consequences; the therapeutic frontier is root-cause ectopic lipid reduction via GLP-1 agonists, pioglitazone, resmetirom (in MASH), and bariatric surgery.</w:t>
      </w:r>
    </w:p>
    <w:p>
      <w:pPr>
        <w:spacing w:before="80" w:after="160" w:line="276"/>
        <w:jc w:val="both"/>
      </w:pPr>
      <w:r>
        <w:rPr>
          <w:b/>
          <w:bCs/>
        </w:rPr>
        <w:t xml:space="preserve">Note on DPP-4 inhibitors: </w:t>
      </w:r>
      <w:r>
        <w:t xml:space="preserve">Dipeptidyl peptidase-4 (DPP-4) inhibitors (sitagliptin, saxagliptin, linagliptin, alogliptin) prolong endogenous GLP-1 activity by preventing its degradation. They are widely prescribed globally but not separately tabulated here; their modest efficacy relative to GLP-1 receptor agonists is mechanistically consistent with their dependence on endogenous GLP-1, which is already reduced in T2D. Large CV outcome trials showed non-inferiority but not superiority for major adverse CV events [Scirica13, White13, Green15]. Importantly, SAVOR-TIMI 53 (saxagliptin) identified a nominally increased risk of heart failure hospitalisation (HR 1.27, p=0.007) — a signal not observed with sitagliptin (TECOS) or alogliptin (EXAMINE) — which has influenced selective use within the class and distinguishes DPP-4 inhibitors from GLP-1 RAs in patients with existing HF.</w:t>
      </w:r>
    </w:p>
    <w:p>
      <w:pPr>
        <w:spacing w:before="0" w:after="0"/>
      </w:pPr>
      <w:r>
        <w:t xml:space="preserve"/>
      </w:r>
    </w:p>
    <w:p>
      <w:pPr>
        <w:pStyle w:val="Heading1"/>
      </w:pPr>
      <w:r>
        <w:rPr>
          <w:b/>
          <w:bCs/>
        </w:rPr>
        <w:t xml:space="preserve">§·10 — Cross-System Connections</w:t>
      </w:r>
    </w:p>
    <w:p>
      <w:pPr>
        <w:spacing w:before="80" w:after="80" w:line="276"/>
        <w:jc w:val="both"/>
      </w:pPr>
      <w:r>
        <w:rPr>
          <w:b w:val="false"/>
          <w:bCs w:val="false"/>
          <w:i w:val="false"/>
          <w:iCs w:val="false"/>
        </w:rPr>
        <w:t xml:space="preserve">The following connections are mechanistic inferences drawn from shared biology. Each individual link is supported by published evidence; the integrated clinical implications are proposed rather than demonstrated.</w:t>
      </w:r>
    </w:p>
    <w:p>
      <w:pPr>
        <w:pBdr>
          <w:left w:val="single" w:color="2E75B6" w:sz="14" w:space="12"/>
        </w:pBdr>
        <w:spacing w:before="140" w:after="140" w:line="276"/>
        <w:ind w:left="720" w:right="720"/>
        <w:jc w:val="both"/>
      </w:pPr>
      <w:r>
        <w:rPr>
          <w:b/>
          <w:bCs/>
          <w:i/>
          <w:iCs/>
          <w:sz w:val="21"/>
          <w:szCs w:val="21"/>
        </w:rPr>
        <w:t xml:space="preserve">CARDIOVASCULAR DISEASE (Established): T2D confers approximately 2–4x elevated CV event risk independent of other risk factors [Haffner98]. AGE-RAGE endothelial activation, hyperglycaemia-driven ROS, and FFA-driven systemic inflammation degrade endothelial function. The shared cortisol/HPA pathway connects stress -&gt; insulin resistance -&gt; CVD risk.
ALZHEIMER'S DISEASE (Proposed): Hippocampal insulin resistance (IRS-1/2/PKC mechanism) is consistent with impaired AMPA receptor trafficking and synaptic consolidation in rodent models [Biessels15]; human evidence linking T2D to Alzheimer’s risk is primarily epidemiological. Post-menopausal women with T2D have disproportionately elevated Alzheimer's risk: peripheral insulin resistance increases, hippocampal E2 support is removed, and ectopic lipid accumulation accelerates -- all simultaneously.
STROKE (Supported): Hyperglycaemia at stroke onset is independently associated with worse functional outcomes and higher mortality [Capes01], accelerates the ischaemic cascade, worsens reperfusion injury through AGE-compromised BBB integrity, and expands the infarct core faster.
CANCER (Proposed): Hyperinsulinaemia is a proposed tumour growth driver via IGF-1 receptor cross-activation, supported by cell line evidence and epidemiological associations; causal directionality requires further validation.
PCOS AND AUTOIMMUNITY (Proposed): The PCOS loop creates a systemic inflammatory state. Women with PCOS have elevated rates of Hashimoto's thyroiditis -- consistent with chronic visceral adipose-derived IL-6 and TNF-alpha degrading immune tolerance margins.</w:t>
      </w:r>
    </w:p>
    <w:p>
      <w:pPr>
        <w:spacing w:before="0" w:after="0"/>
      </w:pPr>
      <w:r>
        <w:t xml:space="preserve"/>
      </w:r>
    </w:p>
    <w:p>
      <w:pPr>
        <w:pStyle w:val="Heading1"/>
      </w:pPr>
      <w:r>
        <w:rPr>
          <w:b/>
          <w:bCs/>
        </w:rPr>
        <w:t xml:space="preserve">§·11 — Testable Predictions</w:t>
      </w:r>
    </w:p>
    <w:p>
      <w:pPr>
        <w:spacing w:before="80" w:after="80" w:line="276"/>
        <w:jc w:val="both"/>
      </w:pPr>
      <w:r>
        <w:rPr>
          <w:b w:val="false"/>
          <w:bCs w:val="false"/>
          <w:i w:val="false"/>
          <w:iCs w:val="false"/>
        </w:rPr>
        <w:t xml:space="preserve">Evidence tiers: P1–P2 immediately actionable; P3–P5 medium-term translational; P6 longer-horizon RCT.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2680"/>
        <w:gridCol w:w="4200"/>
      </w:tblGrid>
      <w:tr>
        <w:trPr>
          <w:tblHeader/>
        </w:trPr>
        <w:tc>
          <w:tcPr>
            <w:tcW w:type="dxa" w:w="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Prediction</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Design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40" w:after="40" w:line="276"/>
            </w:pPr>
            <w:r>
              <w:rPr>
                <w:b/>
                <w:bCs/>
                <w:sz w:val="19"/>
                <w:szCs w:val="19"/>
              </w:rPr>
              <w:t xml:space="preserve">Expected result / falsification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Beta-cell first-phase insulin secretion is specifically impaired in shift workers compared to day workers with equivalent fasting insulin and HbA1c, reflecting beta-cell clock disruption rather than generalised beta-cell failure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Cross-sectional: IV glucose tolerance test in matched shift workers vs day workers (same BMI, HbA1c, fasting insulin). Measure first-phase (0-10 min) vs second-phase insulin secretion separately.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First-phase specifically reduced; second-phase preserved or relatively intact. Falsified if both phases equally impaired -- implicating generalised dysfunction rather than clock-specific exocytosis machinery disruption.</w:t>
            </w:r>
          </w:p>
        </w:tc>
      </w:tr>
      <w:tr>
        <w:tc>
          <w:tcPr>
            <w:tcW w:type="dxa" w:w="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Tirzepatide achieves greater reduction in insulin resistance per unit weight lost than weight-matched semaglutide, reflecting GIPR's peripheral insulin sensitising mechanism beyond GLP-1's central action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Prospective: T2D patients on tirzepatide vs semaglutide. To avoid selection bias from retrospective weight matching (which would enrich underresponders on tirzepatide vs overresponders on semaglutide), a prospective design with controlled caloric restriction producing equivalent weight loss across both arms is preferred. Measure HOMA-IR, euglycaemic clamp insulin sensitivity per unit weight lost at 6 months.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Tirzepatide superior on insulin sensitivity per unit weight. Falsified if identical profiles at matched weight -- indicating GIPR adds only additional weight loss with no independent metabolic benefit.</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CPAP treatment of OSA in early T2D improves first-phase insulin secretion specifically, through reduction in nightly cortisol and FFA surges, independent of weight change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RCT: early T2D patients with confirmed OSA randomised to CPAP vs sham CPAP for 6 months. Primary: IV glucose tolerance test first-phase insulin secretion. Secondary: BMI-adjusted fasting FFA and morning cortisol. To isolate OSA-specific from general sleep quality effects, body weight and sleep duration should be matched between arms or a sleep extension control arm included.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CPAP group shows improved first-phase secretion; FFA and cortisol reduced. Falsified if no first-phase benefit independent of weight -- indicating OSA contributes only through weight gain, not through direct beta-cell clock or stress mechanisms.</w:t>
            </w:r>
          </w:p>
        </w:tc>
      </w:tr>
      <w:tr>
        <w:tc>
          <w:tcPr>
            <w:tcW w:type="dxa" w:w="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P4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In postmenopausal women with prediabetes, sleep extension to 7.5 hours/night for 6 weeks reduces insulin resistance more than equivalent caloric restriction producing the same weight loss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Crossover RCT: postmenopausal women with prediabetes; phase 1: sleep extension; phase 2: equivalent caloric deficit producing same weight loss; measure HOMA-IR at each endpoint. A washout period of at least 4 weeks between arms should be included; arm sequence should be randomised to control for order effects and metabolic carryover from sleep extension.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Sleep extension shows greater HOMA-IR improvement despite equivalent weight loss. Falsified if IR improvement tracks only weight loss -- indicating sleep's effect is fully mediated through weight.</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bCs/>
                <w:sz w:val="19"/>
                <w:szCs w:val="19"/>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Resmetirom + semaglutide combination produces greater reduction in hepatic fat and insulin resistance than semaglutide alone, through complementary mechanisms (hepatic beta-oxidation vs central setpoint correction)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Phase 2 RCT: MASLD patients with T2D; semaglutide alone vs semaglutide + resmetirom; 52 weeks; primary endpoints MRI-PDFF hepatic fat and HOMA-IR.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line="276"/>
            </w:pPr>
            <w:r>
              <w:rPr>
                <w:b w:val="false"/>
                <w:bCs w:val="false"/>
                <w:sz w:val="19"/>
                <w:szCs w:val="19"/>
              </w:rPr>
              <w:t xml:space="preserve">Combination superior on both endpoints. Falsified if resmetirom's hepatic fat reduction does not translate to HOMA-IR improvement -- indicating hepatic and systemic insulin resistance have become decoupled.</w:t>
            </w:r>
          </w:p>
        </w:tc>
      </w:tr>
      <w:tr>
        <w:tc>
          <w:tcPr>
            <w:tcW w:type="dxa" w:w="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bCs/>
                <w:sz w:val="19"/>
                <w:szCs w:val="19"/>
              </w:rPr>
              <w:t xml:space="preserve">P6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In patients achieving T2D remission via GLP-1 agonist with confirmed OSA, sustained remission at 2 years is predicted by CPAP adherence (&gt;=4h/night) independently of weight maintained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Prospective cohort: T2D remission patients on GLP-1 agonist with confirmed OSA; stratify by CPAP adherence (≥4h/night — standard clinical threshold; a secondary analysis using hours of use as a continuous variable would better capture dose-response for the proposed FFA/cortisol suppression mechanism); track remission at 12 and 24 months controlling for weight.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line="276"/>
            </w:pPr>
            <w:r>
              <w:rPr>
                <w:b w:val="false"/>
                <w:bCs w:val="false"/>
                <w:sz w:val="19"/>
                <w:szCs w:val="19"/>
              </w:rPr>
              <w:t xml:space="preserve">CPAP-adherent patients show higher sustained remission rates. Falsified if CPAP adds no remission benefit beyond weight maintenance.</w:t>
            </w:r>
          </w:p>
        </w:tc>
      </w:tr>
    </w:tbl>
    <w:p>
      <w:pPr>
        <w:spacing w:before="80" w:after="160" w:line="276"/>
        <w:jc w:val="both"/>
      </w:pPr>
      <w:r>
        <w:rPr>
          <w:b w:val="false"/>
          <w:bCs w:val="false"/>
          <w:i/>
          <w:iCs/>
        </w:rPr>
        <w:t xml:space="preserve">Table 3. Testable predictions. P1 and P3 target beta-cell clock disruption specifically; P5 tests complementary ectopic lipid reduction from two independent entry points.</w:t>
      </w:r>
    </w:p>
    <w:p>
      <w:pPr>
        <w:spacing w:before="0" w:after="0"/>
      </w:pPr>
      <w:r>
        <w:t xml:space="preserve"/>
      </w:r>
    </w:p>
    <w:p>
      <w:pPr>
        <w:pStyle w:val="Heading1"/>
      </w:pPr>
      <w:r>
        <w:rPr>
          <w:b/>
          <w:bCs/>
        </w:rPr>
        <w:t xml:space="preserve">§·12 — Open Gaps</w:t>
      </w:r>
    </w:p>
    <w:p>
      <w:pPr>
        <w:pStyle w:val="ListParagraph"/>
        <w:numPr>
          <w:ilvl w:val="0"/>
          <w:numId w:val="2"/>
        </w:numPr>
        <w:spacing w:before="60" w:after="60" w:line="276"/>
      </w:pPr>
      <w:r>
        <w:t xml:space="preserve">Human islet clock gene characterisation: Direct transcriptomic quantification of clock gene expression (BMAL1, CLOCK, CRY1/2, PER1/2/3) in human islets from T2D donors versus matched controls has not been performed at sufficient scale and depth. Whether beta-cell clock disruption is a consistent causally relevant feature of human T2D — as established in rodent models — remains unresolved, and is a prerequisite gap before the circadian intervention predictions (P1, P3) can be fully grounded in human biology.</w:t>
      </w:r>
    </w:p>
    <w:p>
      <w:pPr>
        <w:pStyle w:val="ListParagraph"/>
        <w:numPr>
          <w:ilvl w:val="0"/>
          <w:numId w:val="2"/>
        </w:numPr>
        <w:spacing w:before="60" w:after="60" w:line="276"/>
      </w:pPr>
      <w:r>
        <w:t xml:space="preserve">Beta-cell clock recovery: Whether sustained metabolic normalisation (via GLP-1 agonist or bariatric surgery) restores BMAL1/PDX1 expression and first-phase insulin secretion in humans has not been directly demonstrated. Existing mechanistic data are primarily from mouse models. This question cannot be cleanly addressed until the human islet characterisation gap above is resolved.</w:t>
      </w:r>
    </w:p>
    <w:p>
      <w:pPr>
        <w:pStyle w:val="ListParagraph"/>
        <w:numPr>
          <w:ilvl w:val="0"/>
          <w:numId w:val="2"/>
        </w:numPr>
        <w:spacing w:before="60" w:after="60" w:line="276"/>
      </w:pPr>
      <w:r>
        <w:t xml:space="preserve">GIPR central mechanism in humans: CNS-GIPR knockout studies in rodents establish that central GIPR regulates body weight [Zhang21_GIPR]; the specific oligodendrocyte-mediated mechanism proposed to explain tirzepatide's superiority over semaglutide requires direct human neuroimaging or circuit-level evidence.</w:t>
      </w:r>
    </w:p>
    <w:p>
      <w:pPr>
        <w:pStyle w:val="ListParagraph"/>
        <w:numPr>
          <w:ilvl w:val="0"/>
          <w:numId w:val="2"/>
        </w:numPr>
        <w:spacing w:before="60" w:after="60" w:line="276"/>
      </w:pPr>
      <w:r>
        <w:t xml:space="preserve">Resmetirom + GLP-1 combination: No prospective RCT of combination therapy has been published. The mechanistic case for complementarity is strong but clinically unvalidated.</w:t>
      </w:r>
    </w:p>
    <w:p>
      <w:pPr>
        <w:pStyle w:val="ListParagraph"/>
        <w:numPr>
          <w:ilvl w:val="0"/>
          <w:numId w:val="2"/>
        </w:numPr>
        <w:spacing w:before="60" w:after="60" w:line="276"/>
      </w:pPr>
      <w:r>
        <w:t xml:space="preserve">Lean T2D phenotype: Approximately 20–25% of T2D occurs in individuals with normal BMI, often with lower beta-cell genetic reserve [Logue11]. The mechanisms determining which lean individuals develop T2D require separate characterisation from the ectopic lipid framework.</w:t>
      </w:r>
    </w:p>
    <w:p>
      <w:pPr>
        <w:pStyle w:val="ListParagraph"/>
        <w:numPr>
          <w:ilvl w:val="0"/>
          <w:numId w:val="2"/>
        </w:numPr>
        <w:spacing w:before="60" w:after="60" w:line="276"/>
      </w:pPr>
      <w:r>
        <w:t xml:space="preserve">Circadian intervention in T2D: No RCT has directly tested time-restricted eating, optimised sleep scheduling, or chronotherapy on glycaemic outcomes in T2D with mechanistic endpoints (first-phase insulin secretion, beta-cell clock markers).</w:t>
      </w:r>
    </w:p>
    <w:p>
      <w:pPr>
        <w:pStyle w:val="ListParagraph"/>
        <w:numPr>
          <w:ilvl w:val="0"/>
          <w:numId w:val="2"/>
        </w:numPr>
        <w:spacing w:before="60" w:after="60" w:line="276"/>
      </w:pPr>
      <w:r>
        <w:t xml:space="preserve">E2 therapy for T2D prevention in postmenopausal women: Existing trial data show formulation-dependent divergence — combined estrogen-progestogen HRT has not demonstrated T2D prevention benefit, while estrogen-only HRT in hysterectomized women has shown signals of reduced T2D incidence in some analyses — though formulation, dose, route, and timing all likely moderate the effect — and the KEEPS trial demonstrated improved insulin sensitivity with oral estradiol in early menopause. The mechanistic case for early estradiol-only therapy in perimenopause with prediabetes is strong, but a definitive trial of transdermal estradiol in early perimenopause with prediabetes and no HRT contraindications has not been conducted.</w:t>
      </w:r>
    </w:p>
    <w:p>
      <w:pPr>
        <w:spacing w:before="0" w:after="0"/>
      </w:pPr>
      <w:r>
        <w:t xml:space="preserve"/>
      </w:r>
    </w:p>
    <w:p>
      <w:pPr>
        <w:pStyle w:val="Heading1"/>
      </w:pPr>
      <w:r>
        <w:rPr>
          <w:b/>
          <w:bCs/>
        </w:rPr>
        <w:t xml:space="preserve">§·13 — Limitations</w:t>
      </w:r>
    </w:p>
    <w:p>
      <w:pPr>
        <w:spacing w:before="80" w:after="80" w:line="276"/>
        <w:jc w:val="both"/>
      </w:pPr>
      <w:r>
        <w:rPr>
          <w:b w:val="false"/>
          <w:bCs w:val="false"/>
          <w:i w:val="false"/>
          <w:iCs w:val="false"/>
        </w:rPr>
        <w:t xml:space="preserve">This paper is a mechanistic synthesis and narrative review, not a systematic review. The literature search was targeted rather than exhaustive. The pancreatic beta-cell clock data are primarily from mouse models; the direct demonstration that environmental circadian misalignment impairs first-phase insulin secretion via BMAL1/PDX1 in living humans has not been performed. The GIP central mechanism for tirzepatide's superior weight loss has been established in rodent CNS-GIPR knockout models — whether the oligodendrocyte-mediated potentiation of GLP-1R is the primary driver of clinical superiority over semaglutide remains under investigation [Zhang21_GIPR].</w:t>
      </w:r>
    </w:p>
    <w:p>
      <w:pPr>
        <w:spacing w:before="80" w:after="80" w:line="276"/>
        <w:jc w:val="both"/>
      </w:pPr>
      <w:r>
        <w:rPr>
          <w:b w:val="false"/>
          <w:bCs w:val="false"/>
          <w:i w:val="false"/>
          <w:iCs w:val="false"/>
        </w:rPr>
        <w:t xml:space="preserve">Cross-system connections (§10) are tier-labelled throughout; none should be read as demonstrated causal relationships. The mechanistic framework applies most directly to the majority of T2D cases in individuals with overweight or obesity; lean T2D, affecting approximately 20–25% of cases, involves overlapping mechanisms that are not fully captured by the ectopic lipid hypothesis.</w:t>
      </w:r>
    </w:p>
    <w:p>
      <w:pPr>
        <w:spacing w:before="0" w:after="0"/>
      </w:pPr>
      <w:r>
        <w:t xml:space="preserve"/>
      </w:r>
    </w:p>
    <w:p>
      <w:pPr>
        <w:pStyle w:val="Heading1"/>
      </w:pPr>
      <w:r>
        <w:rPr>
          <w:b/>
          <w:bCs/>
        </w:rPr>
        <w:t xml:space="preserve">§·14 — Conclusion</w:t>
      </w:r>
    </w:p>
    <w:p>
      <w:pPr>
        <w:spacing w:before="80" w:after="80" w:line="276"/>
        <w:jc w:val="both"/>
      </w:pPr>
      <w:r>
        <w:rPr>
          <w:b w:val="false"/>
          <w:bCs w:val="false"/>
          <w:i w:val="false"/>
          <w:iCs w:val="false"/>
        </w:rPr>
        <w:t xml:space="preserve">Type 2 diabetes, in its common obesity-associated form, is best understood as a dual-threshold ectopic lipid disease: when adipose storage capacity is exceeded, FFA overflow into liver, muscle, and beta-cells initiates a cascade of IRS-1/2 serine phosphorylation, selective hepatic insulin resistance, beta-cell lipotoxicity, and IAPP-mediated cytotoxicity. Clinical diabetes emerges when both peripheral insulin resistance and beta-cell functional reserve are sufficiently impaired. This mechanistic spine is the most strongly supported part of the paper and is grounded in replicated human trial and cohort data.</w:t>
      </w:r>
    </w:p>
    <w:p>
      <w:pPr>
        <w:spacing w:before="80" w:after="80" w:line="276"/>
        <w:jc w:val="both"/>
      </w:pPr>
      <w:r>
        <w:rPr>
          <w:b w:val="false"/>
          <w:bCs w:val="false"/>
          <w:i w:val="false"/>
          <w:iCs w:val="false"/>
        </w:rPr>
        <w:t xml:space="preserve">The strongest evidence covers: the ectopic lipid mechanism and IRS-1 serine phosphorylation cascade [DeFronzo09, SamuelShulman16]; selective hepatic insulin resistance [Yecies11, Brown08]; GLP-1 agonist multi-target efficacy and cardiorenal protection [Marso16_LEADER, Perkovic24]; SGLT2 inhibitor cardiac and renal outcomes [Zinman15, McMurray19]; metabolic memory epigenetic legacy [ElOsta08, DCCT93, UKPDS98]; and T2D reversibility through ectopic lipid reduction [Lean18, Lean24, Lim11]. The hormonal layer (E2, testosterone, PCOS, cortisol) and sleep/circadian tier provide characterised modulating inputs — supported by human translational evidence — that compound metabolic risk through the same ectopic lipid and insulin signalling pathways.</w:t>
      </w:r>
    </w:p>
    <w:p>
      <w:pPr>
        <w:spacing w:before="80" w:after="80" w:line="276"/>
        <w:jc w:val="both"/>
      </w:pPr>
      <w:r>
        <w:rPr>
          <w:b w:val="false"/>
          <w:bCs w:val="false"/>
          <w:i w:val="false"/>
          <w:iCs w:val="false"/>
        </w:rPr>
        <w:t xml:space="preserve">The weakest links are those most dependent on rodent models or indirect inference: beta-cell clock disruption in humans lacks direct transcriptomic validation in T2D islets; the GIPR oligodendrocyte mechanism proposed to explain tirzepatide's superiority has not been demonstrated in human neuroimaging; and the cross-system connections to Alzheimer's disease, cancer, and autoimmunity remain epidemiologically supported rather than causally demonstrated. These are labelled (Proposed) throughout and named explicitly as open gaps in §·12.</w:t>
      </w:r>
    </w:p>
    <w:p>
      <w:pPr>
        <w:spacing w:before="80" w:after="80" w:line="276"/>
        <w:jc w:val="both"/>
      </w:pPr>
      <w:r>
        <w:rPr>
          <w:b w:val="false"/>
          <w:bCs w:val="false"/>
          <w:i w:val="false"/>
          <w:iCs w:val="false"/>
        </w:rPr>
        <w:t xml:space="preserve">The highest-value next experiments are the six testable predictions in §·11. P1 (shift-worker first-phase insulin secretion) and P3 (CPAP trial with first-phase secretion as primary endpoint) are immediately feasible with existing populations and methods. P2 (tirzepatide vs semaglutide insulin sensitivity per unit weight lost) would directly resolve the GIPR peripheral sensitisation question. P5 (resmetirom + semaglutide combination RCT) would establish whether hepatic and systemic ectopic lipid reduction are complementary — whether targeting two distinct ectopic lipid pathways simultaneously produces greater benefit than either alone. These predictions provide a direct empirical route from the framework to falsifiable clinical outcomes, and their results would either strengthen or substantially revise the multi-layer model presented here.</w:t>
      </w:r>
    </w:p>
    <w:p>
      <w:pPr>
        <w:spacing w:before="0" w:after="0"/>
      </w:pPr>
      <w:r>
        <w:t xml:space="preserve"/>
      </w:r>
    </w:p>
    <w:p>
      <w:pPr>
        <w:pStyle w:val="Heading1"/>
      </w:pPr>
      <w:r>
        <w:rPr>
          <w:b/>
          <w:bCs/>
        </w:rPr>
        <w:t xml:space="preserve">§·15 — Acknowledgments</w:t>
      </w:r>
    </w:p>
    <w:p>
      <w:pPr>
        <w:spacing w:before="80" w:after="80" w:line="276"/>
        <w:jc w:val="both"/>
      </w:pPr>
      <w:r>
        <w:rPr>
          <w:b w:val="false"/>
          <w:bCs w:val="false"/>
          <w:i w:val="false"/>
          <w:iCs w:val="false"/>
        </w:rPr>
        <w:t xml:space="preserve">Disclosures: This manuscript is an independent, hypothesis-generating narrative review. AI-assisted writing tools were used for drafting support and literature organisation; all scientific claims, wording decisions, and citation checks were reviewed and verified against the cited sources by the author. Research files are publicly available at github.com/Sykopompos/Research-papers.</w:t>
      </w:r>
    </w:p>
    <w:p>
      <w:pPr>
        <w:spacing w:before="0" w:after="0"/>
      </w:pPr>
      <w:r>
        <w:t xml:space="preserve"/>
      </w:r>
    </w:p>
    <w:p>
      <w:pPr>
        <w:pStyle w:val="Heading1"/>
      </w:pPr>
      <w:r>
        <w:rPr>
          <w:b/>
          <w:bCs/>
        </w:rPr>
        <w:t xml:space="preserve">§·16 — References</w:t>
      </w:r>
    </w:p>
    <w:p>
      <w:pPr>
        <w:spacing w:before="80" w:after="80" w:line="276"/>
        <w:jc w:val="both"/>
      </w:pPr>
      <w:r>
        <w:rPr>
          <w:b w:val="false"/>
          <w:bCs w:val="false"/>
          <w:i w:val="false"/>
          <w:iCs w:val="false"/>
        </w:rPr>
        <w:t xml:space="preserve">[DeFronzo09] R.A. DeFronzo, Banting Lecture: from the triumvirate to the ominous octet. Diabetes 58 (2009) 773–795. Canonical framework for T2D as dual gate failure; ~50% beta-cell mass loss at diagnosis; compensatory hyperinsulinaemia.</w:t>
      </w:r>
    </w:p>
    <w:p>
      <w:pPr>
        <w:spacing w:before="80" w:after="80" w:line="276"/>
        <w:jc w:val="both"/>
      </w:pPr>
      <w:r>
        <w:rPr>
          <w:b w:val="false"/>
          <w:bCs w:val="false"/>
          <w:i w:val="false"/>
          <w:iCs w:val="false"/>
        </w:rPr>
        <w:t xml:space="preserve">[Drucker06] D.J. Drucker, The biology of incretin hormones. Cell Metab 3 (2006) 153–165. GLP-1 and GIP biology; pancreatic and central GLP-1R expression; incretin axis in T2D.</w:t>
      </w:r>
    </w:p>
    <w:p>
      <w:pPr>
        <w:spacing w:before="80" w:after="80" w:line="276"/>
        <w:jc w:val="both"/>
      </w:pPr>
      <w:r>
        <w:rPr>
          <w:b w:val="false"/>
          <w:bCs w:val="false"/>
          <w:i w:val="false"/>
          <w:iCs w:val="false"/>
        </w:rPr>
        <w:t xml:space="preserve">[Schwartz00] M.W. Schwartz et al. Central nervous system control of food intake. Nature 404 (2000) 661–671. Arcuate nucleus NPY/AgRP vs POMC/CART circuit; central energy balance setpoint mechanism.</w:t>
      </w:r>
    </w:p>
    <w:p>
      <w:pPr>
        <w:spacing w:before="80" w:after="80" w:line="276"/>
        <w:jc w:val="both"/>
      </w:pPr>
      <w:r>
        <w:rPr>
          <w:b w:val="false"/>
          <w:bCs w:val="false"/>
          <w:i w:val="false"/>
          <w:iCs w:val="false"/>
        </w:rPr>
        <w:t xml:space="preserve">[Kenny11] P.J. Kenny, Reward mechanisms in obesity. Neuron 69 (2011) 664–679. Mesolimbic dopamine D2 downregulation in obesity; hedonic eating and reward threshold elevation.</w:t>
      </w:r>
    </w:p>
    <w:p>
      <w:pPr>
        <w:spacing w:before="80" w:after="80" w:line="276"/>
        <w:jc w:val="both"/>
      </w:pPr>
      <w:r>
        <w:rPr>
          <w:b w:val="false"/>
          <w:bCs w:val="false"/>
          <w:i w:val="false"/>
          <w:iCs w:val="false"/>
        </w:rPr>
        <w:t xml:space="preserve">[Mauvais-Jarvis13] F. Mauvais-Jarvis et al. The role of estrogens in control of energy balance and glucose homeostasis. Endocr Rev 34 (2013) 309–338. ERalpha signalling in muscle insulin sensitivity; E2 and mitochondrial biogenesis; adipose distribution effects.</w:t>
      </w:r>
    </w:p>
    <w:p>
      <w:pPr>
        <w:spacing w:before="80" w:after="80" w:line="276"/>
        <w:jc w:val="both"/>
      </w:pPr>
      <w:r>
        <w:rPr>
          <w:b w:val="false"/>
          <w:bCs w:val="false"/>
          <w:i w:val="false"/>
          <w:iCs w:val="false"/>
        </w:rPr>
        <w:t xml:space="preserve">[Dunaif97] A. Dunaif, Insulin resistance and the polycystic ovary syndrome. Endocr Rev 18 (1997) 774–800. Foundational paper establishing bidirectional insulin resistance-hyperandrogen loop in PCOS.</w:t>
      </w:r>
    </w:p>
    <w:p>
      <w:pPr>
        <w:spacing w:before="80" w:after="80" w:line="276"/>
        <w:jc w:val="both"/>
      </w:pPr>
      <w:r>
        <w:rPr>
          <w:b w:val="false"/>
          <w:bCs w:val="false"/>
          <w:i w:val="false"/>
          <w:iCs w:val="false"/>
        </w:rPr>
        <w:t xml:space="preserve">[Grossmann14] M. Grossmann, Testosterone and glucose metabolism in men. J Endocrinol 220 (2014) R37–R55. Testosterone-insulin resistance association; hypogonadism-sarcopenia-glucose clearance pathway; bidirectional LH suppression loop.</w:t>
      </w:r>
    </w:p>
    <w:p>
      <w:pPr>
        <w:spacing w:before="80" w:after="80" w:line="276"/>
        <w:jc w:val="both"/>
      </w:pPr>
      <w:r>
        <w:rPr>
          <w:b w:val="false"/>
          <w:bCs w:val="false"/>
          <w:i w:val="false"/>
          <w:iCs w:val="false"/>
        </w:rPr>
        <w:t xml:space="preserve">[UKPDS98] UK Prospective Diabetes Study Group, Intensive blood-glucose control. Lancet 352 (1998) 837–853. Landmark RCT; MI reduction proportionally greater than HbA1c lowering alone; metformin CV benefit in obese T2D; metabolic memory legacy data.</w:t>
      </w:r>
    </w:p>
    <w:p>
      <w:pPr>
        <w:spacing w:before="80" w:after="80" w:line="276"/>
        <w:jc w:val="both"/>
      </w:pPr>
      <w:r>
        <w:rPr>
          <w:b w:val="false"/>
          <w:bCs w:val="false"/>
          <w:i w:val="false"/>
          <w:iCs w:val="false"/>
        </w:rPr>
        <w:t xml:space="preserve">[DCCT93] The Diabetes Control and Complications Trial Research Group. The effect of intensive treatment of diabetes on the development and progression of long-term complications in insulin-dependent diabetes mellitus. N Engl J Med 329 (1993) 977–986. Intensive glucose control reduces long-term complications; DCCT/EDIC legacy effect establishing metabolic memory.</w:t>
      </w:r>
    </w:p>
    <w:p>
      <w:pPr>
        <w:spacing w:before="80" w:after="80" w:line="276"/>
        <w:jc w:val="both"/>
      </w:pPr>
      <w:r>
        <w:rPr>
          <w:b w:val="false"/>
          <w:bCs w:val="false"/>
          <w:i w:val="false"/>
          <w:iCs w:val="false"/>
        </w:rPr>
        <w:t xml:space="preserve">[SjostromJAMA14] L. Sjostrom et al. Association of bariatric surgery with long-term remission of type 2 diabetes. JAMA 311 (2014) 2297–2304. SOS study: ~72% T2D remission at 2 years for gastric bypass; long-term metabolic outcomes of bariatric surgery.</w:t>
      </w:r>
    </w:p>
    <w:p>
      <w:pPr>
        <w:spacing w:before="80" w:after="80" w:line="276"/>
        <w:jc w:val="both"/>
      </w:pPr>
      <w:r>
        <w:rPr>
          <w:b w:val="false"/>
          <w:bCs w:val="false"/>
          <w:i w:val="false"/>
          <w:iCs w:val="false"/>
        </w:rPr>
        <w:t xml:space="preserve">[Jastreboff22] A.M. Jastreboff et al. (SURMOUNT-1). Tirzepatide once weekly for the treatment of obesity. N Engl J Med 387 (2022) 205–216. doi:10.1056/NEJMoa2206038. Phase 3 RCT; tirzepatide 15mg: 20.9% mean weight loss, 91% ≥5%; 3-year extension: 94% relative T2D risk reduction in prediabetes (HR 0.06).</w:t>
      </w:r>
    </w:p>
    <w:p>
      <w:pPr>
        <w:spacing w:before="80" w:after="80" w:line="276"/>
        <w:jc w:val="both"/>
      </w:pPr>
      <w:r>
        <w:rPr>
          <w:b w:val="false"/>
          <w:bCs w:val="false"/>
          <w:i w:val="false"/>
          <w:iCs w:val="false"/>
        </w:rPr>
        <w:t xml:space="preserve">[SURMOUNT5_2025] SURMOUNT-5 Investigators. Tirzepatide versus semaglutide for the treatment of obesity. N Engl J Med (2025). Head-to-head 72-week RCT; tirzepatide significantly greater mean weight reduction than semaglutide 2.4mg.</w:t>
      </w:r>
    </w:p>
    <w:p>
      <w:pPr>
        <w:spacing w:before="80" w:after="80" w:line="276"/>
        <w:jc w:val="both"/>
      </w:pPr>
      <w:r>
        <w:rPr>
          <w:b w:val="false"/>
          <w:bCs w:val="false"/>
          <w:i w:val="false"/>
          <w:iCs w:val="false"/>
        </w:rPr>
        <w:t xml:space="preserve">[Perkovic24] V. Perkovic et al. (FLOW Trial). Effects of semaglutide on chronic kidney disease in patients with type 2 diabetes. N Engl J Med 391 (2024) 109–121.</w:t>
      </w:r>
    </w:p>
    <w:p>
      <w:pPr>
        <w:spacing w:before="80" w:after="80" w:line="276"/>
        <w:jc w:val="both"/>
      </w:pPr>
      <w:r>
        <w:rPr>
          <w:b w:val="false"/>
          <w:bCs w:val="false"/>
          <w:i w:val="false"/>
          <w:iCs w:val="false"/>
        </w:rPr>
        <w:t xml:space="preserve">[Marso16_LEADER] S.P. Marso et al. (LEADER). Liraglutide and cardiovascular outcomes in type 2 diabetes. N Engl J Med 375 (2016) 311–322.</w:t>
      </w:r>
    </w:p>
    <w:p>
      <w:pPr>
        <w:spacing w:before="80" w:after="80" w:line="276"/>
        <w:jc w:val="both"/>
      </w:pPr>
      <w:r>
        <w:rPr>
          <w:b w:val="false"/>
          <w:bCs w:val="false"/>
          <w:i w:val="false"/>
          <w:iCs w:val="false"/>
        </w:rPr>
        <w:t xml:space="preserve">[Marso16_SUSTAIN6] S.P. Marso et al. (SUSTAIN-6). Semaglutide and cardiovascular outcomes in patients with type 2 diabetes. N Engl J Med 375 (2016) 1834–1844. Non-inferiority CV safety trial with incidental superiority result; HR 0.74 for primary composite MACE.</w:t>
      </w:r>
    </w:p>
    <w:p>
      <w:pPr>
        <w:spacing w:before="80" w:after="80" w:line="276"/>
        <w:jc w:val="both"/>
      </w:pPr>
      <w:r>
        <w:rPr>
          <w:b w:val="false"/>
          <w:bCs w:val="false"/>
          <w:i w:val="false"/>
          <w:iCs w:val="false"/>
        </w:rPr>
        <w:t xml:space="preserve">[Zinman15] B. Zinman et al. (EMPA-REG OUTCOME). Empagliflozin, cardiovascular outcomes, and mortality in type 2 diabetes. N Engl J Med 373 (2015) 2117–2128.</w:t>
      </w:r>
    </w:p>
    <w:p>
      <w:pPr>
        <w:spacing w:before="80" w:after="80" w:line="276"/>
        <w:jc w:val="both"/>
      </w:pPr>
      <w:r>
        <w:rPr>
          <w:b w:val="false"/>
          <w:bCs w:val="false"/>
          <w:i w:val="false"/>
          <w:iCs w:val="false"/>
        </w:rPr>
        <w:t xml:space="preserve">[McMurray19] J.J.V. McMurray et al. (DAPA-HF). Dapagliflozin in patients with heart failure and reduced ejection fraction. N Engl J Med 381 (2019) 1995–2008.</w:t>
      </w:r>
    </w:p>
    <w:p>
      <w:pPr>
        <w:spacing w:before="80" w:after="80" w:line="276"/>
        <w:jc w:val="both"/>
      </w:pPr>
      <w:r>
        <w:rPr>
          <w:b w:val="false"/>
          <w:bCs w:val="false"/>
          <w:i w:val="false"/>
          <w:iCs w:val="false"/>
        </w:rPr>
        <w:t xml:space="preserve">[Perkovic19] V. Perkovic et al. (CREDENCE). Canagliflozin and renal outcomes in type 2 diabetes and nephropathy. N Engl J Med 380 (2019) 2295–2306.</w:t>
      </w:r>
    </w:p>
    <w:p>
      <w:pPr>
        <w:spacing w:before="80" w:after="80" w:line="276"/>
        <w:jc w:val="both"/>
      </w:pPr>
      <w:r>
        <w:rPr>
          <w:b w:val="false"/>
          <w:bCs w:val="false"/>
          <w:i w:val="false"/>
          <w:iCs w:val="false"/>
        </w:rPr>
        <w:t xml:space="preserve">[Heerspink20] H.J.L. Heerspink et al. (DAPA-CKD). Dapagliflozin in patients with chronic kidney disease. N Engl J Med 383 (2020) 1436–1446.</w:t>
      </w:r>
    </w:p>
    <w:p>
      <w:pPr>
        <w:spacing w:before="80" w:after="80" w:line="276"/>
        <w:jc w:val="both"/>
      </w:pPr>
      <w:r>
        <w:rPr>
          <w:b w:val="false"/>
          <w:bCs w:val="false"/>
          <w:i w:val="false"/>
          <w:iCs w:val="false"/>
        </w:rPr>
        <w:t xml:space="preserve">[Rinella23] M.E. Rinella et al. A multisociety Delphi consensus statement on new fatty liver disease nomenclature. J Hepatol 79 (2023) 1542–1556. Subsequently adopted in 2024 EASL-EASD-EASO guidelines.</w:t>
      </w:r>
    </w:p>
    <w:p>
      <w:pPr>
        <w:spacing w:before="80" w:after="80" w:line="276"/>
        <w:jc w:val="both"/>
      </w:pPr>
      <w:r>
        <w:rPr>
          <w:b w:val="false"/>
          <w:bCs w:val="false"/>
          <w:i w:val="false"/>
          <w:iCs w:val="false"/>
        </w:rPr>
        <w:t xml:space="preserve">[Harrison24] S.A. Harrison et al. (MAESTRO-NASH). A phase 3, randomized, controlled trial of resmetirom in NASH with liver fibrosis. N Engl J Med 390 (2024) 497–509.</w:t>
      </w:r>
    </w:p>
    <w:p>
      <w:pPr>
        <w:spacing w:before="80" w:after="80" w:line="276"/>
        <w:jc w:val="both"/>
      </w:pPr>
      <w:r>
        <w:rPr>
          <w:b w:val="false"/>
          <w:bCs w:val="false"/>
          <w:i w:val="false"/>
          <w:iCs w:val="false"/>
        </w:rPr>
        <w:t xml:space="preserve">[Lean18] M.E.J. Lean et al. Primary care-led weight management for remission of type 2 diabetes (DiRECT). Lancet 391 (2018) 541–551.</w:t>
      </w:r>
    </w:p>
    <w:p>
      <w:pPr>
        <w:spacing w:before="80" w:after="80" w:line="276"/>
        <w:jc w:val="both"/>
      </w:pPr>
      <w:r>
        <w:rPr>
          <w:b w:val="false"/>
          <w:bCs w:val="false"/>
          <w:i w:val="false"/>
          <w:iCs w:val="false"/>
        </w:rPr>
        <w:t xml:space="preserve">[Lean24] M.E.J. Lean et al. 5-year follow-up of the randomised DiRECT. Lancet Diabetes Endocrinol 12 (2024) 233–246.</w:t>
      </w:r>
    </w:p>
    <w:p>
      <w:pPr>
        <w:spacing w:before="80" w:after="80" w:line="276"/>
        <w:jc w:val="both"/>
      </w:pPr>
      <w:r>
        <w:rPr>
          <w:b w:val="false"/>
          <w:bCs w:val="false"/>
          <w:i w:val="false"/>
          <w:iCs w:val="false"/>
        </w:rPr>
        <w:t xml:space="preserve">[Marcheva10] B. Marcheva et al. Disruption of CLOCK and BMAL1 leads to hypoinsulinaemia and diabetes. Nature 466 (2010) 627–631.</w:t>
      </w:r>
    </w:p>
    <w:p>
      <w:pPr>
        <w:spacing w:before="80" w:after="80" w:line="276"/>
        <w:jc w:val="both"/>
      </w:pPr>
      <w:r>
        <w:rPr>
          <w:b w:val="false"/>
          <w:bCs w:val="false"/>
          <w:i w:val="false"/>
          <w:iCs w:val="false"/>
        </w:rPr>
        <w:t xml:space="preserve">[Perelis15] M. Perelis et al. Pancreatic beta cell enhancers regulate rhythmic transcription of genes controlling insulin secretion. Science 350 (2015) 1375–1379.</w:t>
      </w:r>
    </w:p>
    <w:p>
      <w:pPr>
        <w:spacing w:before="80" w:after="80" w:line="276"/>
        <w:jc w:val="both"/>
      </w:pPr>
      <w:r>
        <w:rPr>
          <w:b w:val="false"/>
          <w:bCs w:val="false"/>
          <w:i w:val="false"/>
          <w:iCs w:val="false"/>
        </w:rPr>
        <w:t xml:space="preserve">[Rakshit13] K. Rakshit, T.W. Hsu, A.V. Matveyenko. Bmal1 is required for beta cell compensatory expansion, survival and metabolic adaptation to diet-induced obesity. Diabetes 62 (2013) 3469–3478. Beta-cell Bmal1 deletion: ROS + UCP2 uncoupling; environmental circadian disruption replicates beta-cell dysfunction.</w:t>
      </w:r>
    </w:p>
    <w:p>
      <w:pPr>
        <w:spacing w:before="80" w:after="80" w:line="276"/>
        <w:jc w:val="both"/>
      </w:pPr>
      <w:r>
        <w:rPr>
          <w:b w:val="false"/>
          <w:bCs w:val="false"/>
          <w:i w:val="false"/>
          <w:iCs w:val="false"/>
        </w:rPr>
        <w:t xml:space="preserve">[Chopra17] S. Chopra et al. Obstructive sleep apnea dynamically increases nocturnal plasma free fatty acids, glucose, and cortisol during sleep. J Clin Endocrinol Metab 102 (2017) 3172–3181.</w:t>
      </w:r>
    </w:p>
    <w:p>
      <w:pPr>
        <w:spacing w:before="80" w:after="80" w:line="276"/>
        <w:jc w:val="both"/>
      </w:pPr>
      <w:r>
        <w:rPr>
          <w:b w:val="false"/>
          <w:bCs w:val="false"/>
          <w:i w:val="false"/>
          <w:iCs w:val="false"/>
        </w:rPr>
        <w:t xml:space="preserve">[StOnge23] M.P. St-Onge et al. Chronic sleep deficiency increases insulin resistance in women, especially postmenopausal women. Diabetes Care 47 (2024) e1–e3 [published online November 2023].</w:t>
      </w:r>
    </w:p>
    <w:p>
      <w:pPr>
        <w:spacing w:before="80" w:after="80" w:line="276"/>
        <w:jc w:val="both"/>
      </w:pPr>
      <w:r>
        <w:rPr>
          <w:b w:val="false"/>
          <w:bCs w:val="false"/>
          <w:i w:val="false"/>
          <w:iCs w:val="false"/>
        </w:rPr>
        <w:t xml:space="preserve">[Spiegel04] K. Spiegel, E. Tasali, P. Penev, E. Van Cauter. Sleep curtailment in healthy young men is associated with decreased leptin levels, elevated ghrelin levels, and increased hunger and appetite. Ann Intern Med 141 (2004) 846–850.</w:t>
      </w:r>
    </w:p>
    <w:p>
      <w:pPr>
        <w:spacing w:before="80" w:after="80" w:line="276"/>
        <w:jc w:val="both"/>
      </w:pPr>
      <w:r>
        <w:rPr>
          <w:b w:val="false"/>
          <w:bCs w:val="false"/>
          <w:i w:val="false"/>
          <w:iCs w:val="false"/>
        </w:rPr>
        <w:t xml:space="preserve">[Pan11] A. Pan et al. Rotating night shift work and risk of type 2 diabetes. PLoS Med 8 (2011) e1001141.</w:t>
      </w:r>
    </w:p>
    <w:p>
      <w:pPr>
        <w:spacing w:before="80" w:after="80" w:line="276"/>
        <w:jc w:val="both"/>
      </w:pPr>
      <w:r>
        <w:rPr>
          <w:b w:val="false"/>
          <w:bCs w:val="false"/>
          <w:i w:val="false"/>
          <w:iCs w:val="false"/>
        </w:rPr>
        <w:t xml:space="preserve">[Morris15] C.J. Morris et al. Effects of the internal circadian system and circadian misalignment on glucose tolerance in chronic shift workers. J Clin Endocrinol Metab 100 (2015) 4228–4235.</w:t>
      </w:r>
    </w:p>
    <w:p>
      <w:pPr>
        <w:spacing w:before="80" w:after="80" w:line="276"/>
        <w:jc w:val="both"/>
      </w:pPr>
      <w:r>
        <w:rPr>
          <w:b w:val="false"/>
          <w:bCs w:val="false"/>
          <w:i w:val="false"/>
          <w:iCs w:val="false"/>
        </w:rPr>
        <w:t xml:space="preserve">[Qian21] J. Qian, A.V. Matveyenko et al. Proinflammatory cytokine interleukin 1beta disrupts beta-cell circadian clock function and regulation of insulin secretion. Diabetes 70 (2021) 2375–2386.</w:t>
      </w:r>
    </w:p>
    <w:p>
      <w:pPr>
        <w:spacing w:before="80" w:after="80" w:line="276"/>
        <w:jc w:val="both"/>
      </w:pPr>
      <w:r>
        <w:rPr>
          <w:b w:val="false"/>
          <w:bCs w:val="false"/>
          <w:i w:val="false"/>
          <w:iCs w:val="false"/>
        </w:rPr>
        <w:t xml:space="preserve">[Zhang21_GIPR] Q. Zhang et al. The glucose-dependent insulinotropic polypeptide (GIP) regulates body weight and food intake via CNS-GIPR signaling. Cell Metab 33 (2021) 833–844. CNS-specific GIPR knockout protects against diet-induced obesity; central GIPR mechanism established in rodent models.</w:t>
      </w:r>
    </w:p>
    <w:p>
      <w:pPr>
        <w:spacing w:before="80" w:after="80" w:line="276"/>
        <w:jc w:val="both"/>
      </w:pPr>
      <w:r>
        <w:rPr>
          <w:b w:val="false"/>
          <w:bCs w:val="false"/>
          <w:i w:val="false"/>
          <w:iCs w:val="false"/>
        </w:rPr>
        <w:t xml:space="preserve">[ElOsta08] A. El-Osta et al. Transient high glucose causes persistent epigenetic changes and altered gene expression during subsequent normoglycemia. J Exp Med 205 (2008) 2409–2417.</w:t>
      </w:r>
    </w:p>
    <w:p>
      <w:pPr>
        <w:spacing w:before="80" w:after="80" w:line="276"/>
        <w:jc w:val="both"/>
      </w:pPr>
      <w:r>
        <w:rPr>
          <w:b w:val="false"/>
          <w:bCs w:val="false"/>
          <w:i w:val="false"/>
          <w:iCs w:val="false"/>
        </w:rPr>
        <w:t xml:space="preserve">[Westermark11] P. Westermark, A. Andersson, G.T. Westermark. Islet amyloid polypeptide, islet amyloid, and diabetes mellitus. Physiol Rev 91 (2011) 795–826.</w:t>
      </w:r>
    </w:p>
    <w:p>
      <w:pPr>
        <w:spacing w:before="80" w:after="80" w:line="276"/>
        <w:jc w:val="both"/>
      </w:pPr>
      <w:r>
        <w:rPr>
          <w:b w:val="false"/>
          <w:bCs w:val="false"/>
          <w:i w:val="false"/>
          <w:iCs w:val="false"/>
        </w:rPr>
        <w:t xml:space="preserve">[Dormandy05] J.A. Dormandy et al. Secondary prevention of macrovascular events in patients with type 2 diabetes in the PROactive Study. Lancet 366 (2005) 1279–1289.</w:t>
      </w:r>
    </w:p>
    <w:p>
      <w:pPr>
        <w:spacing w:before="80" w:after="80" w:line="276"/>
        <w:jc w:val="both"/>
      </w:pPr>
      <w:r>
        <w:rPr>
          <w:b w:val="false"/>
          <w:bCs w:val="false"/>
          <w:i w:val="false"/>
          <w:iCs w:val="false"/>
        </w:rPr>
        <w:t xml:space="preserve">[Foster09] G.D. Foster et al. Obstructive sleep apnea among obese patients with type 2 diabetes. Diabetes Care 32 (2009) 1017–1019. SLEEP-AHEAD study: OSA present in 86.6% of overweight/obese adults with T2D.</w:t>
      </w:r>
    </w:p>
    <w:p>
      <w:pPr>
        <w:spacing w:before="80" w:after="80" w:line="276"/>
        <w:jc w:val="both"/>
      </w:pPr>
      <w:r>
        <w:rPr>
          <w:b w:val="false"/>
          <w:bCs w:val="false"/>
          <w:i w:val="false"/>
          <w:iCs w:val="false"/>
        </w:rPr>
        <w:t xml:space="preserve">[Punjabi02] N.M. Punjabi et al. Sleep-disordered breathing and insulin resistance in middle-aged and overweight men. Am J Respir Crit Care Med 165 (2002) 677–682. OSA independently impairs insulin sensitivity beyond the contribution of obesity.</w:t>
      </w:r>
    </w:p>
    <w:p>
      <w:pPr>
        <w:spacing w:before="80" w:after="80" w:line="276"/>
        <w:jc w:val="both"/>
      </w:pPr>
      <w:r>
        <w:rPr>
          <w:b w:val="false"/>
          <w:bCs w:val="false"/>
          <w:i w:val="false"/>
          <w:iCs w:val="false"/>
        </w:rPr>
        <w:t xml:space="preserve">[Thaler12] J.P. Thaler et al. Obesity is associated with hypothalamic injury in rodents and humans. J Clin Invest 122 (2012) 153–162. Hypothalamic inflammation, gliosis, and microglial activation in response to high-fat diet; central leptin resistance.</w:t>
      </w:r>
    </w:p>
    <w:p>
      <w:pPr>
        <w:spacing w:before="80" w:after="80" w:line="276"/>
        <w:jc w:val="both"/>
      </w:pPr>
      <w:r>
        <w:rPr>
          <w:b w:val="false"/>
          <w:bCs w:val="false"/>
          <w:i w:val="false"/>
          <w:iCs w:val="false"/>
        </w:rPr>
        <w:t xml:space="preserve">[Milanski09] M. Milanski et al. Saturated fatty acids produce an inflammatory response predominantly through the activation of Toll-like receptor 4 signaling in hypothalamus: implications for the pathogenesis of obesity. J Neurosci 29 (2009) 359–370. Hypothalamic TLR4 activation by saturated FFAs; ER stress in POMC neurons; central leptin resistance mechanism.</w:t>
      </w:r>
    </w:p>
    <w:p>
      <w:pPr>
        <w:spacing w:before="80" w:after="80" w:line="276"/>
        <w:jc w:val="both"/>
      </w:pPr>
      <w:r>
        <w:rPr>
          <w:b w:val="false"/>
          <w:bCs w:val="false"/>
          <w:i w:val="false"/>
          <w:iCs w:val="false"/>
        </w:rPr>
        <w:t xml:space="preserve">[Frias21] J.P. Frias et al. (SURPASS-2). Tirzepatide versus semaglutide once weekly in patients with type 2 diabetes. N Engl J Med 385 (2021) 503–515.</w:t>
      </w:r>
    </w:p>
    <w:p>
      <w:pPr>
        <w:spacing w:before="80" w:after="80" w:line="276"/>
        <w:jc w:val="both"/>
      </w:pPr>
      <w:r>
        <w:rPr>
          <w:b w:val="false"/>
          <w:bCs w:val="false"/>
          <w:i w:val="false"/>
          <w:iCs w:val="false"/>
        </w:rPr>
        <w:t xml:space="preserve">[Taylor13] R. Taylor. Type 2 diabetes: etiology and reversibility. Diabetes Care 36 (2013) 1047–1055. Newcastle group: twin cycle hypothesis; pancreatic and liver fat reduction as mechanism of T2D remission.</w:t>
      </w:r>
    </w:p>
    <w:p>
      <w:pPr>
        <w:spacing w:before="80" w:after="80" w:line="276"/>
        <w:jc w:val="both"/>
      </w:pPr>
      <w:r>
        <w:rPr>
          <w:b w:val="false"/>
          <w:bCs w:val="false"/>
          <w:i w:val="false"/>
          <w:iCs w:val="false"/>
        </w:rPr>
        <w:t xml:space="preserve">[Vegiopoulos07] A. Vegiopoulos, S. Herzig. Glucocorticoids, metabolism and metabolic diseases. Mol Cell Endocrinol 275 (2007) 43–61. Glucocorticoid receptor activation of PEPCK and glucose-6-phosphatase; cortisol-driven hepatic glucose production and visceral fat accumulation mechanisms.</w:t>
      </w:r>
    </w:p>
    <w:p>
      <w:pPr>
        <w:spacing w:before="80" w:after="80" w:line="276"/>
        <w:jc w:val="both"/>
      </w:pPr>
      <w:r>
        <w:rPr>
          <w:b w:val="false"/>
          <w:bCs w:val="false"/>
          <w:i w:val="false"/>
          <w:iCs w:val="false"/>
        </w:rPr>
        <w:t xml:space="preserve">[SamuelShulman16] V.T. Samuel, G.I. Shulman. The pathogenesis of insulin resistance: integrating signaling pathways and substrate flux. J Clin Invest 126 (2016) 12–22. Ectopic lipid as the mechanistic driver of insulin resistance independent of adiposity; DAG/PKC-theta and ceramide/PP2A as parallel converging pathways.</w:t>
      </w:r>
    </w:p>
    <w:p>
      <w:pPr>
        <w:spacing w:before="80" w:after="80" w:line="276"/>
        <w:jc w:val="both"/>
      </w:pPr>
      <w:r>
        <w:rPr>
          <w:b w:val="false"/>
          <w:bCs w:val="false"/>
          <w:i w:val="false"/>
          <w:iCs w:val="false"/>
        </w:rPr>
        <w:t xml:space="preserve">[Brown08] M.S. Brown, J.L. Goldstein. Selective versus total insulin resistance: a pathogenic paradox. Cell Metab 7 (2008) 95–96. Named and formalised the paradox of preserved lipogenesis alongside impaired gluconeogenesis suppression in hepatic insulin resistance.</w:t>
      </w:r>
    </w:p>
    <w:p>
      <w:pPr>
        <w:spacing w:before="80" w:after="80" w:line="276"/>
        <w:jc w:val="both"/>
      </w:pPr>
      <w:r>
        <w:rPr>
          <w:b w:val="false"/>
          <w:bCs w:val="false"/>
          <w:i w:val="false"/>
          <w:iCs w:val="false"/>
        </w:rPr>
        <w:t xml:space="preserve">[Brownlee05] M. Brownlee. The pathobiology of diabetic complications: a unifying mechanism. Diabetes 54 (2005) 1615–1625. Persistent mitochondrial superoxide overproduction as the unifying mechanism of diabetic complications and metabolic memory.</w:t>
      </w:r>
    </w:p>
    <w:p>
      <w:pPr>
        <w:spacing w:before="80" w:after="80" w:line="276"/>
        <w:jc w:val="both"/>
      </w:pPr>
      <w:r>
        <w:rPr>
          <w:b w:val="false"/>
          <w:bCs w:val="false"/>
          <w:i w:val="false"/>
          <w:iCs w:val="false"/>
        </w:rPr>
        <w:t xml:space="preserve">[Lim11] E.L. Lim et al. Reversal of type 2 diabetes: normalisation of beta cell function in association with decreased pancreas and liver triacylglycerol. Diabetologia 54 (2011) 2506–2514. Hepatic fat normalisation within 7 days of very low calorie diet; pancreatic fat reduction correlating with T2D remission.</w:t>
      </w:r>
    </w:p>
    <w:p>
      <w:pPr>
        <w:spacing w:before="80" w:after="80" w:line="276"/>
        <w:jc w:val="both"/>
      </w:pPr>
      <w:r>
        <w:rPr>
          <w:b w:val="false"/>
          <w:bCs w:val="false"/>
          <w:i w:val="false"/>
          <w:iCs w:val="false"/>
        </w:rPr>
        <w:t xml:space="preserve">[Johnson10] P.M. Johnson, P.J. Kenny. Dopamine D2 receptors in addiction-like reward dysfunction and compulsive eating in obese rats. Nat Neurosci 13 (2010) 635–641. Primary experimental demonstration of D2 receptor downregulation in nucleus accumbens with chronic palatable food exposure in rats.</w:t>
      </w:r>
    </w:p>
    <w:p>
      <w:pPr>
        <w:spacing w:before="80" w:after="80" w:line="276"/>
        <w:jc w:val="both"/>
      </w:pPr>
      <w:r>
        <w:rPr>
          <w:b w:val="false"/>
          <w:bCs w:val="false"/>
          <w:i w:val="false"/>
          <w:iCs w:val="false"/>
        </w:rPr>
        <w:t xml:space="preserve">[Corbould08] A. Corbould. Effects of androgens on insulin action in women: is androgen excess a component in female metabolic syndrome? Diabetes Metab Res Rev 24 (2008) 520–532. AR-mediated IRS-1 signalling interference in muscle and adipose; mechanistic basis for androgen-driven insulin resistance in PCOS.</w:t>
      </w:r>
    </w:p>
    <w:p>
      <w:pPr>
        <w:spacing w:before="80" w:after="80" w:line="276"/>
        <w:jc w:val="both"/>
      </w:pPr>
      <w:r>
        <w:rPr>
          <w:b w:val="false"/>
          <w:bCs w:val="false"/>
          <w:i w:val="false"/>
          <w:iCs w:val="false"/>
        </w:rPr>
        <w:t xml:space="preserve">[Tao23] T. Tao et al. GLP-1 receptor agonists in polycystic ovary syndrome: a systematic review and meta-analysis. Front Endocrinol 14 (2023) 1183446. GLP-1 agonists improve insulin resistance and androgen levels in PCOS; menstrual normalisation evidence base less established than metformin.</w:t>
      </w:r>
    </w:p>
    <w:p>
      <w:pPr>
        <w:spacing w:before="80" w:after="80" w:line="276"/>
        <w:jc w:val="both"/>
      </w:pPr>
      <w:r>
        <w:rPr>
          <w:b w:val="false"/>
          <w:bCs w:val="false"/>
          <w:i w:val="false"/>
          <w:iCs w:val="false"/>
        </w:rPr>
        <w:t xml:space="preserve">[Frayn02] K.N. Frayn. Adipose tissue as a buffer for daily lipid flux. Diabetologia 45 (2002) 1201–1210. Visceral adipose portal FFA delivery; higher lipolytic activity and inflammatory cytokine secretion of visceral vs subcutaneous depot.</w:t>
      </w:r>
    </w:p>
    <w:p>
      <w:pPr>
        <w:spacing w:before="80" w:after="80" w:line="276"/>
        <w:jc w:val="both"/>
      </w:pPr>
      <w:r>
        <w:rPr>
          <w:b w:val="false"/>
          <w:bCs w:val="false"/>
          <w:i w:val="false"/>
          <w:iCs w:val="false"/>
        </w:rPr>
        <w:t xml:space="preserve">[Carey97] V.J. Carey et al. Body fat distribution and risk of non-insulin-dependent diabetes mellitus in women. Am J Epidemiol 145 (1997) 614–619. Waist circumference as stronger T2D predictor than BMI in prospective cohort study.</w:t>
      </w:r>
    </w:p>
    <w:p>
      <w:pPr>
        <w:spacing w:before="80" w:after="80" w:line="276"/>
        <w:jc w:val="both"/>
      </w:pPr>
      <w:r>
        <w:rPr>
          <w:b w:val="false"/>
          <w:bCs w:val="false"/>
          <w:i w:val="false"/>
          <w:iCs w:val="false"/>
        </w:rPr>
        <w:t xml:space="preserve">[Haffner98] S.M. Haffner et al. Mortality from coronary heart disease in subjects with type 2 diabetes and in nondiabetic subjects with and without prior myocardial infarction. N Engl J Med 339 (1998) 229–234. T2D confers CV event risk comparable to prior MI in non-diabetic subjects; basis for 2-4x elevated risk framing.</w:t>
      </w:r>
    </w:p>
    <w:p>
      <w:pPr>
        <w:spacing w:before="80" w:after="80" w:line="276"/>
        <w:jc w:val="both"/>
      </w:pPr>
      <w:r>
        <w:rPr>
          <w:b w:val="false"/>
          <w:bCs w:val="false"/>
          <w:i w:val="false"/>
          <w:iCs w:val="false"/>
        </w:rPr>
        <w:t xml:space="preserve">[Biessels15] G.J. Biessels, L.P. Reagan. Hippocampal insulin resistance and cognitive dysfunction. Nat Rev Neurosci 16 (2015) 660–671. Hippocampal insulin resistance, impaired AMPA receptor trafficking, synaptic consolidation deficits; mechanistic link between T2D and Alzheimer’s risk.</w:t>
      </w:r>
    </w:p>
    <w:p>
      <w:pPr>
        <w:spacing w:before="0" w:after="0"/>
      </w:pPr>
      <w:r>
        <w:t xml:space="preserve"/>
      </w:r>
    </w:p>
    <w:p>
      <w:pPr>
        <w:spacing w:before="80" w:after="80" w:line="276"/>
        <w:jc w:val="center"/>
      </w:pPr>
      <w:r>
        <w:rPr>
          <w:b w:val="false"/>
          <w:bCs w:val="false"/>
          <w:i/>
          <w:iCs/>
        </w:rPr>
        <w:t xml:space="preserve">Type 2 Diabetes and Metabolic Syndrome v2.1 — Draft — Unpublished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2026-03-17T16:17:07.043Z</dcterms:created>
  <dcterms:modified xsi:type="dcterms:W3CDTF">2026-03-17T16:17:07.044Z</dcterms:modified>
</cp:coreProperties>
</file>

<file path=docProps/custom.xml><?xml version="1.0" encoding="utf-8"?>
<Properties xmlns="http://schemas.openxmlformats.org/officeDocument/2006/custom-properties" xmlns:vt="http://schemas.openxmlformats.org/officeDocument/2006/docPropsVTypes"/>
</file>