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Cancer as Surveillance Failure</w:t>
      </w:r>
    </w:p>
    <w:p>
      <w:pPr>
        <w:jc w:val="center"/>
      </w:pPr>
      <w:r>
        <w:rPr>
          <w:i/>
          <w:iCs/>
          <w:sz w:val="28"/>
          <w:szCs w:val="28"/>
        </w:rPr>
        <w:t xml:space="preserve">A Detection Architecture from Molecular Threshold to Systemic Cascade</w:t>
      </w:r>
    </w:p>
    <w:p>
      <w:r>
        <w:t xml:space="preserve"/>
      </w:r>
    </w:p>
    <w:p>
      <w:pPr>
        <w:jc w:val="center"/>
      </w:pPr>
      <w:r>
        <w:rPr>
          <w:i/>
          <w:iCs/>
          <w:sz w:val="22"/>
          <w:szCs w:val="22"/>
        </w:rPr>
        <w:t xml:space="preserve">Tumor Suppressor Networks as Surveillance Architecture · Vogelstein’s Multi-Hit Model · Surveillance-Derived Biomarkers</w:t>
      </w:r>
    </w:p>
    <w:p>
      <w:pPr>
        <w:jc w:val="center"/>
      </w:pPr>
      <w:r>
        <w:rPr>
          <w:i/>
          <w:iCs/>
          <w:sz w:val="22"/>
          <w:szCs w:val="22"/>
        </w:rPr>
        <w:t xml:space="preserve">IDO/Kynurenine Cascade · Hormonal Architecture · Autonomic Signaling · Exercise and Immune Surveillance · Early Detection Biomarkers</w:t>
      </w:r>
    </w:p>
    <w:p>
      <w:r>
        <w:t xml:space="preserve"/>
      </w:r>
    </w:p>
    <w:p>
      <w:pPr>
        <w:jc w:val="center"/>
      </w:pPr>
      <w:r>
        <w:rPr>
          <w:b/>
          <w:bCs/>
          <w:sz w:val="24"/>
          <w:szCs w:val="24"/>
        </w:rPr>
        <w:t xml:space="preserve">M. Finnegan</w:t>
      </w:r>
    </w:p>
    <w:p>
      <w:pPr>
        <w:jc w:val="center"/>
      </w:pPr>
      <w:r>
        <w:rPr>
          <w:i/>
          <w:iCs/>
          <w:sz w:val="20"/>
          <w:szCs w:val="20"/>
        </w:rPr>
        <w:t xml:space="preserve">Independent Researcher, Lewes, DE, USA</w:t>
      </w:r>
    </w:p>
    <w:p>
      <w:pPr>
        <w:jc w:val="center"/>
      </w:pPr>
      <w:r>
        <w:rPr>
          <w:sz w:val="20"/>
          <w:szCs w:val="20"/>
        </w:rPr>
        <w:t xml:space="preserve">ORCID: 0009-0009-4921-7722  ·  sykopompos@gmail.com</w:t>
      </w:r>
    </w:p>
    <w:p>
      <w:pPr>
        <w:jc w:val="center"/>
      </w:pPr>
      <w:r>
        <w:rPr>
          <w:i/>
          <w:iCs/>
          <w:sz w:val="18"/>
          <w:szCs w:val="18"/>
        </w:rPr>
        <w:t xml:space="preserve">Preprint — March 2026 · Not yet peer reviewed</w:t>
      </w:r>
    </w:p>
    <w:p>
      <w:r>
        <w:t xml:space="preserve"/>
      </w:r>
    </w:p>
    <w:p>
      <w:r>
        <w:t xml:space="preserve"/>
      </w:r>
    </w:p>
    <w:p>
      <w:pPr>
        <w:pStyle w:val="Heading2"/>
      </w:pPr>
      <w:r>
        <w:rPr>
          <w:b/>
          <w:bCs/>
        </w:rPr>
        <w:t xml:space="preserve">Abstract</w:t>
      </w:r>
    </w:p>
    <w:p>
      <w:pPr>
        <w:spacing w:after="160"/>
      </w:pPr>
      <w:r>
        <w:t xml:space="preserve">Cancer is a surveillance failure problem. Every hallmark of cancer [1,2,3] — uncontrolled proliferation, immune evasion, metastasis, metabolic reprogramming — reflects the disabling of a detection checkpoint. This integrative review applies a unified detection-architecture framework across the complete biology of cancer initiation, progression, and systemic cascade. I characterise tumor suppressor networks as a redundant quiescence barrier whose sequential erosion is structurally consistent with Vogelstein’s empirically established 5–7 hit requirement. Metastasis is formalised here as a second, independent positional threshold collapse (epithelial-mesenchymal transition) distinct from carcinogenesis. Immune checkpoint blockade is mechanistically grounded in a tumor mutational burden threshold above which neoantigen recognition activates immune surveillance. A tumor-brain cascade insufficiently integrated into oncology practice is described through the IDO/kynurenine pathway, with two distinct neurotoxic arms. Exercise is characterised as a four-channel immune surveillance support architecture. A surveillance-derived biomarker panel is proposed as a minimal integrated monitoring framework. Seven testable predictions are derived directly from the architecture.</w:t>
      </w:r>
    </w:p>
    <w:p>
      <w:r>
        <w:t xml:space="preserve"/>
      </w:r>
    </w:p>
    <w:p>
      <w:r>
        <w:rPr>
          <w:b/>
          <w:bCs/>
        </w:rPr>
        <w:t xml:space="preserve">Keywords: </w:t>
      </w:r>
      <w:r>
        <w:t xml:space="preserve">cancer immunosurveillance; tumor microenvironment; IDO/kynurenine; tumor mutational burden; HPA axis; exercise oncology; cancer-related fatigue; autonomic nervous system; immune checkpoint blockade; systems oncology</w:t>
      </w:r>
    </w:p>
    <w:p>
      <w:r>
        <w:t xml:space="preserve"/>
      </w:r>
    </w:p>
    <w:p>
      <w:pPr>
        <w:pStyle w:val="Heading2"/>
      </w:pPr>
      <w:r>
        <w:rPr>
          <w:b/>
          <w:bCs/>
        </w:rPr>
        <w:t xml:space="preserve">Methods and Scope</w:t>
      </w:r>
    </w:p>
    <w:p>
      <w:pPr>
        <w:spacing w:after="160"/>
      </w:pPr>
      <w:r>
        <w:t xml:space="preserve">This is an integrative narrative review. Literature was identified through targeted searches of PubMed and Google Scholar. Search terms included: cancer immunosurveillance, tumor microenvironment, IDO1/kynurenine pathway, tumor mutational burden and ICB response, sympathetic nervous system and cancer, HPA axis and immune function, exercise and NK cells, cancer-related fatigue mechanisms, beta-adrenergic tumor signalling, circadian immune regulation, TREM2 tumor-associated macrophages, perioperative beta-blockade. Evidence is categorised using a three-tier system: Tier A (replicated human evidence, mechanistically confirmed); Tier B (mechanistically supported, consistent but not fully replicated); Tier C (integrative synthesis, each component individually supported, unified cascade not yet demonstrated in humans). No new experimental data are reported. The detection-architecture framework is used here as an organising device to locate control logic, identify threshold structures, and name upstream cascade nodes that current oncology does not routinely manage.</w:t>
      </w:r>
    </w:p>
    <w:p>
      <w:r>
        <w:t xml:space="preserve"/>
      </w:r>
    </w:p>
    <w:p>
      <w:r>
        <w:t xml:space="preserve"/>
      </w:r>
    </w:p>
    <w:p>
      <w:pPr>
        <w:pStyle w:val="Heading1"/>
      </w:pPr>
      <w:r>
        <w:rPr>
          <w:b/>
          <w:bCs/>
        </w:rPr>
        <w:t xml:space="preserve">§1 — The Institutional Problem Medicine Has Not Solved</w:t>
      </w:r>
    </w:p>
    <w:p>
      <w:pPr>
        <w:spacing w:after="160"/>
      </w:pPr>
      <w:r>
        <w:t xml:space="preserve">Cancer is a detection failure problem. Every hallmark of cancer [1,2,3] — uncontrolled proliferation, immune evasion, metastasis, metabolic reprogramming — is a mechanism by which cells disable a detection checkpoint. The tumor suppressor network is a detection architecture. The immune system is a detection architecture. The adhesion network is a detection architecture. Each one asks the same structural question: does this cell belong here, doing this, at this rate? Cancer is what happens when the answers to those questions stop being enforced.</w:t>
      </w:r>
    </w:p>
    <w:p>
      <w:pPr>
        <w:spacing w:after="160"/>
      </w:pPr>
      <w:r>
        <w:t xml:space="preserve">This paper applies that framing systematically. The body is one distributed system running the same operations across every organ with innervation: signals propagate, gates control passage, surveillance detects deviation, state accumulates, and the network updates based on outcomes. The split between oncology, immunology, neurology, and endocrinology is an institutional boundary. The body does not have that wall.</w:t>
      </w:r>
    </w:p>
    <w:p>
      <w:pPr>
        <w:spacing w:after="160"/>
      </w:pPr>
      <w:r>
        <w:t xml:space="preserve">Three system loops are mechanistically integrated into tumor biology that oncology has been slow to fully incorporate. First, the hormonal and autonomic nervous systems: sympathetic nerve terminals directly innervate solid tumors; parasympathetic/vagal fibers reach most visceral organs; sensory nerves are actively recruited by some tumors (perineural invasion). Second, the brain-immune cascade runs bidirectionally: tumor → cytokines → IDO activation → kynurenine → brain; and brain → HPA → cortisol → immunosuppression → tumor. Third, the exercise axis: physical activity mechanistically supports immune surveillance through at least four parallel channels — NK cell mobilization, cortisol reduction, mTOR-metabolic competition, and the cholinergic anti-inflammatory reflex — all of which inactivity simultaneously suppresses.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Synthesis: Cancer initiates as a surveillance threshold crossing in the proliferative signaling network and propagates through the immune system, the hormonal system, the autonomic nervous system, and into the brain. The institutional split between oncology, immunology, neurology, and endocrinology is not a biological boundary. Physical inactivity is not merely a statistical risk factor but a mechanistic facilitator of immune surveillance failure through four parallel molecular channels documented in §5.5, each addressable and measurable independently.</w:t>
            </w:r>
          </w:p>
        </w:tc>
      </w:tr>
    </w:tbl>
    <w:p>
      <w:r>
        <w:t xml:space="preserve"/>
      </w:r>
    </w:p>
    <w:p>
      <w:pPr>
        <w:pStyle w:val="Heading1"/>
      </w:pPr>
      <w:r>
        <w:rPr>
          <w:b/>
          <w:bCs/>
        </w:rPr>
        <w:t xml:space="preserve">§2 — Carcinogenesis as Surveillance Threshold Crossing</w:t>
      </w:r>
    </w:p>
    <w:p>
      <w:pPr>
        <w:pStyle w:val="Heading2"/>
      </w:pPr>
      <w:r>
        <w:rPr>
          <w:b/>
          <w:bCs/>
        </w:rPr>
        <w:t xml:space="preserve">§2.1 The Proliferative Signaling Network as a Threshold System</w:t>
      </w:r>
    </w:p>
    <w:p>
      <w:pPr>
        <w:spacing w:after="160"/>
      </w:pPr>
      <w:r>
        <w:t xml:space="preserve">The intracellular signaling cascade governing cell proliferation (EGFR → RAS → RAF → MEK → ERK; PI3K → AKT → mTOR) is a threshold system. Each component propagates activation to the next. The tumor suppressor ensemble maintains an energy barrier that keeps this cascade quiescent under normal conditions. The cell proliferates when cumulative suppressor losses degrade that barrier below the activation threshold.</w:t>
      </w:r>
    </w:p>
    <w:p>
      <w:pPr>
        <w:spacing w:after="160"/>
      </w:pPr>
      <w:r>
        <w:t xml:space="preserve">The mTOR node deserves specific attention: mTORC1 is the master anabolic gate in normal cells, activated by amino acids, insulin/IGF-1, and growth factors, and suppressed by AMPK under energy deficit. In cancer, PI3K/AKT/mTOR is one of the most frequently mutated pathways — PTEN loss (which removes the PI3K suppressor), PIK3CA gain-of-function, and AKT amplification all produce constitutive mTOR activation. This means cancer cells are locked in anabolic mode regardless of energy state, continuously consuming glucose, amino acids, and lipid precursors. This is the metabolic basis of the Warburg effect and cancer cachexia — the tumor is running AMPK-suppressed, mTOR-driven biosynthesis at maximum rate while competing for the same metabolic supply as normal tissue [8].</w:t>
      </w:r>
    </w:p>
    <w:p>
      <w:pPr>
        <w:spacing w:after="160"/>
      </w:pPr>
      <w:r>
        <w:t xml:space="preserve">Normal tissue operates with a large safety margin: the combined barrier maintained by the intact suppressor network substantially exceeds the minimum required to keep the proliferative cascade quiescent. Cancer requires hitting the suppressors enough times — in the right order — to erode that margin to zero.</w:t>
      </w:r>
    </w:p>
    <w:p>
      <w:pPr>
        <w:pStyle w:val="Heading2"/>
      </w:pPr>
      <w:r>
        <w:rPr>
          <w:b/>
          <w:bCs/>
        </w:rPr>
        <w:t xml:space="preserve">§2.2 Tumor Suppressors as the Surveillance Architecture</w:t>
      </w:r>
    </w:p>
    <w:p>
      <w:pPr>
        <w:spacing w:after="160"/>
      </w:pPr>
      <w:r>
        <w:t xml:space="preserve">Each tumor suppressor contributes to the energy barrier maintaining quiescence. Losing a suppressor reduces that barrier by a quantifiable amount.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1800"/>
        <w:gridCol w:w="20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Suppressor</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Mechanism</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Barrier contribution</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Loss → cancer type</w:t>
            </w:r>
          </w:p>
        </w:tc>
        <w:tc>
          <w:tcPr>
            <w:tcW w:type="dxa" w:w="20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mTOR/metabolic link</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p53</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Apoptosis gate — detects DNA damage, triggers arrest or death</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High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Li-Fraumeni; most solid tumors</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p53 loss → apoptosis fails; cells with PI3K/AKT activation survive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Rb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Cell cycle gate — blocks S-phase entry without mitogenic signal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Retinoblastoma; lung; bladder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Rb loss → cyclin D1 drives cell cycle regardless of mTOR state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PTEN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PI3K/AKT suppressor — dephosphorylates PIP3, lowers AKT activation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Moderate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Prostate; endometrial; glioma</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PTEN loss = constitutive mTOR activation; most directly opens the mTOR anabolic gate [15]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APC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Wnt pathway suppressor — blocks β-catenin proliferative signal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Colorectal (initiating mutation)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Wnt/β-catenin upregulates c-Myc → glycolytic enzyme expression (Warburg)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E-cadherin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Contact inhibition — density-dependent growth arrest via LATS kinase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Low–moderate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Lobular breast; diffuse gastric</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E-cadherin loss releases Hippo pathway suppression of YAP/TAZ → growth factor pathway (mTOR indirect; Wnt/CTGF primary)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Immune surveillance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cells, cytotoxic T cells — detect MHC-I downregulation and neoantigens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Evaded in all cancers eventually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Tumor mTOR/Warburg → lactate → acidic TME → NK and T cell function suppressed</w:t>
            </w:r>
          </w:p>
        </w:tc>
      </w:tr>
    </w:tbl>
    <w:p>
      <w:r>
        <w:t xml:space="preserve"/>
      </w:r>
    </w:p>
    <w:p>
      <w:r>
        <w:rPr>
          <w:i/>
          <w:iCs/>
        </w:rPr>
        <w:t xml:space="preserve">Table 1. Tumor suppressor contributions to the quiescence barrier with mTOR/metabolic links. Barrier contributions are ordinal estimates consistent with known biology, not independently measured from binding energetics. The “Immune surveillance” row represents an extrinsic surveillance layer rather than a cell-intrinsic suppressor in the same mechanistic class as p53 or Rb; it is included because immune evasion functions as a barrier contribution at the system level.</w:t>
      </w:r>
    </w:p>
    <w:p>
      <w:r>
        <w:t xml:space="preserve"/>
      </w:r>
    </w:p>
    <w:p>
      <w:pPr>
        <w:pStyle w:val="Heading2"/>
      </w:pPr>
      <w:r>
        <w:rPr>
          <w:b/>
          <w:bCs/>
        </w:rPr>
        <w:t xml:space="preserve">§2.3 Vogelstein’s Multi-Hit Model: Structural Consistency</w:t>
      </w:r>
    </w:p>
    <w:p>
      <w:pPr>
        <w:spacing w:after="160"/>
      </w:pPr>
      <w:r>
        <w:t xml:space="preserve">Vogelstein and colleagues established empirically that carcinogenesis requires 5–7 sequential somatic mutations for colorectal cancer, with a specific ordered sequence (APC → KRAS → SMAD4 → TP53 + additional hits) [4,5]. The surveillance threshold framework is structurally consistent with this observation: the suppressor architecture has approximately seven meaningful contributors, and the observed requirement of 5–7 hits to achieve malignancy is consistent with needing to erode most of them. This is a heuristic consistency check, not a mechanistic prediction or forward derivation — nearly any multi-component redundant system would show structural consistency with a multi-hit requirement. The framework cannot forward-derive N_hits from first principles without independent measurement of individual barrier contributions from binding energetics, and makes no claim to do so.</w:t>
      </w:r>
    </w:p>
    <w:p>
      <w:pPr>
        <w:spacing w:after="160"/>
      </w:pPr>
      <w:r>
        <w:t xml:space="preserve">Why 5–7 hits? Because the suppressor architecture has that many meaningful contributors. Why ordered? Because each hit must both degrade the barrier and provide a clonal sweep to set up the next hit. Why rare despite lifelong mutation accumulation? Because each individual hit is reversible — the cell dies or arrests. Only when a surviving clone accumulates all required hits does cancer initiate.</w:t>
      </w:r>
    </w:p>
    <w:p>
      <w:pPr>
        <w:pStyle w:val="Heading2"/>
      </w:pPr>
      <w:r>
        <w:rPr>
          <w:b/>
          <w:bCs/>
        </w:rPr>
        <w:t xml:space="preserve">§2.4 Two Failure Modes: Gate Removal and Gain of Function</w:t>
      </w:r>
    </w:p>
    <w:p>
      <w:pPr>
        <w:spacing w:after="160"/>
      </w:pPr>
      <w:r>
        <w:t xml:space="preserve">TUMOR SUPPRESSOR LOSS (gate removal): The tumor suppressor is the surveillance gate. Losing p53 removes the apoptosis gate entirely — DNA-damaged cells are no longer detected and eliminated. The two-hit hypothesis follows from the redundancy structure: one intact allele maintains partial gate function [6].</w:t>
      </w:r>
    </w:p>
    <w:p>
      <w:pPr>
        <w:spacing w:after="160"/>
      </w:pPr>
      <w:r>
        <w:t xml:space="preserve">ONCOGENE ACTIVATION (gain of function): An oncogene mutation (KRAS G12D, EGFR amplification, MYC overexpression) creates a permanently active proliferative signal that bypasses the gating architecture entirely. No amount of intact gating can suppress a constitutively active proliferative driver. Oncogenes require only one mutation because they add a new active signal rather than disabling an existing gate.</w:t>
      </w:r>
    </w:p>
    <w:p>
      <w:pPr>
        <w:spacing w:after="160"/>
      </w:pPr>
      <w:r>
        <w:t xml:space="preserve">The Warburg effect — preferential aerobic glycolysis even in oxygen-replete conditions — follows directly from constitutive mTOR activation [7]. mTOR upregulates HIF-1α, which in turn upregulates GLUT1/GLUT3 glucose transporters and glycolytic enzymes. The lactate produced acidifies the tumor microenvironment, suppressing NK and T-cell function — a secondary mechanism by which metabolic reprogramming degrades immune surveillance. Cancer cachexia is partly the consequence of the tumor’s constitutive mTOR-driven biosynthesis competing for the same metabolic resources as normal tissue; inflammatory cytokines and proteolysis-inducing factor contribute additional arms.</w:t>
      </w:r>
    </w:p>
    <w:p>
      <w:r>
        <w:t xml:space="preserve"/>
      </w:r>
    </w:p>
    <w:p>
      <w:pPr>
        <w:pStyle w:val="Heading1"/>
      </w:pPr>
      <w:r>
        <w:rPr>
          <w:b/>
          <w:bCs/>
        </w:rPr>
        <w:t xml:space="preserve">§3 — Metastasis as Second Independent Threshold</w:t>
      </w:r>
    </w:p>
    <w:p>
      <w:pPr>
        <w:pStyle w:val="Heading2"/>
      </w:pPr>
      <w:r>
        <w:rPr>
          <w:b/>
          <w:bCs/>
        </w:rPr>
        <w:t xml:space="preserve">§3.1 Two Independent Phase Transitions</w:t>
      </w:r>
    </w:p>
    <w:p>
      <w:pPr>
        <w:spacing w:after="160"/>
      </w:pPr>
      <w:r>
        <w:t xml:space="preserve">Carcinogenesis and metastasis are distinct biological events separated in time by months to years. A cell can be malignant for years before acquiring metastatic competence because metastasis requires a second, independent threshold crossing — not a continuation of the first. The adhesion network governs positional integrity of cells in tissue. Cell-cell and cell-matrix adhesion molecules (E-cadherin, integrins, fibronectin, laminin) maintain a positional surveillance bound: cells in a non-native position are detected and eliminated. As long as the adhesion network is intact, cells remain in their home tissue.</w:t>
      </w:r>
    </w:p>
    <w:p>
      <w:pPr>
        <w:pStyle w:val="Heading2"/>
      </w:pPr>
      <w:r>
        <w:rPr>
          <w:b/>
          <w:bCs/>
        </w:rPr>
        <w:t xml:space="preserve">§3.2 Epithelial-Mesenchymal Transition as Adhesion Threshold Collapse</w:t>
      </w:r>
    </w:p>
    <w:p>
      <w:pPr>
        <w:spacing w:after="160"/>
      </w:pPr>
      <w:r>
        <w:t xml:space="preserve">Epithelial-mesenchymal transition (EMT) is the molecular program by which a cancer cell downregulates E-cadherin and upregulates mesenchymal markers (N-cadherin, vimentin, fibronectin). EMT is the adhesion surveillance collapse: E-cadherin loss removes the primary positional surveillance gate; integrin remodeling decreases the adhesion threshold further; below the positional threshold, the cell can invade neighboring tissue.</w:t>
      </w:r>
    </w:p>
    <w:p>
      <w:pPr>
        <w:spacing w:after="160"/>
      </w:pPr>
      <w:r>
        <w:t xml:space="preserve">The literature has increasingly documented partial or hybrid EMT states — cells with intermediate adhesion phenotypes that may retain higher metastatic competence than fully mesenchymal cells. In the surveillance threshold framework, these represent intermediate positional threshold values: evidence that the threshold is a continuous parameter, not a binary switch. Partial EMT is consistent with this framework rather than a counterexample to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Stage</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Biological event</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Threshold interpretation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Local invasion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Cancer cell breaches basement membrane, invades stroma</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Positional threshold fails locally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Intravasation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Cancer cell enters blood or lymph vessel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Cell loses tissue tag — no home territory constraint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Circulation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Circulating tumor cell (CTC) survives anoikis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Anoikis resistance = positional penalty removed for detachment; β-AR → Bcl-2 upregulation contributes (see §7.1)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Extravasation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CTC exits vessel at distant site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Foreign territory accepts cell via mimicry of local adhesion markers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Colonization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Micro-metastasis grows at distant site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New proliferative threshold crossed in foreign tissue; immune surveillance of the new site must be evaded independently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Clinical implication: because carcinogenesis and metastasis are independent threshold crossings, a treatment that eliminates the primary tumor leaves the positional threshold intact. Anti-metastatic therapy must target the adhesion surveillance architecture separately from the proliferative one. The sympathetic axis (NE → β-AR → Bcl-2 → anoikis resistance) provides a directly targetable link — perioperative β-blockade addresses the window when CTC survival is highest.</w:t>
            </w:r>
          </w:p>
        </w:tc>
      </w:tr>
    </w:tbl>
    <w:p>
      <w:r>
        <w:t xml:space="preserve"/>
      </w:r>
    </w:p>
    <w:p>
      <w:pPr>
        <w:pStyle w:val="Heading1"/>
      </w:pPr>
      <w:r>
        <w:rPr>
          <w:b/>
          <w:bCs/>
        </w:rPr>
        <w:t xml:space="preserve">§4 — Immunotherapy and the TMB Threshold</w:t>
      </w:r>
    </w:p>
    <w:p>
      <w:pPr>
        <w:pStyle w:val="Heading2"/>
      </w:pPr>
      <w:r>
        <w:rPr>
          <w:b/>
          <w:bCs/>
        </w:rPr>
        <w:t xml:space="preserve">§4.1 Immune Checkpoint Blockade as Activation Gate Restoration</w:t>
      </w:r>
    </w:p>
    <w:p>
      <w:pPr>
        <w:spacing w:after="160"/>
      </w:pPr>
      <w:r>
        <w:t xml:space="preserve">PD-1/PD-L1 checkpoint blockade (ICB) — pembrolizumab, nivolumab, atezolizumab — works by blocking the PD-1 inhibitory receptor on T cells. PD-L1 expressed by tumor cells binds PD-1 on tumor-infiltrating T cells, shutting down the T-cell response (closing the immune activation gate). ICB blocks this interaction, restoring T-cell activity [9].</w:t>
      </w:r>
    </w:p>
    <w:p>
      <w:pPr>
        <w:spacing w:after="160"/>
      </w:pPr>
      <w:r>
        <w:t xml:space="preserve">ICB has a critical prerequisite: immune surveillance must have already detected the tumor. If T cells never recognized the tumor (no neoantigen recognition), restoring the gate does nothing — there is no recognition signal to act on. This is the hot/cold tumor dichotomy. Hot tumors have abundant neoantigens (high TMB), tumor-infiltrating lymphocytes (TILs), and active anti-tumor immune infiltrate. Cold tumors have low TMB, sparse TILs, and predominantly immunosuppressive macrophage infiltrate.</w:t>
      </w:r>
    </w:p>
    <w:p>
      <w:pPr>
        <w:spacing w:after="160"/>
      </w:pPr>
      <w:r>
        <w:t xml:space="preserve">The updated microglial/macrophage nomenclature is important here: the M1/M2 dichotomy is an oversimplification. Within the tumor microenvironment, TREM2-expressing tumor-associated macrophages (TREM2+ TAMs) are predominantly immunosuppressive — they suppress CD8+ T-cell activity, promote Treg induction, and are associated with poor ICB response and worse prognosis [34,35]. The TME context is the opposite of the brain literature where TREM2+ microglia are neuroprotective. TREM2 blockade enhances T-cell infiltration and augments ICB efficacy in preclinical models. NE/β-AR drives pro-tumorigenic macrophage polarization; ACh/α7-nAChR drives anti-inflammatory resolution. Throughout this paper, “DIM polarization” refers to monocyte-derived inflammatory macrophage phenotype — the pro-tumorigenic, NE/β-AR-driven state characterised by VEGF, MMP, and TNF-α secretion; distinct from TREM2+ TAMs but also immunosuppressive through different mechanisms.</w:t>
      </w:r>
    </w:p>
    <w:p>
      <w:pPr>
        <w:pStyle w:val="Heading2"/>
      </w:pPr>
      <w:r>
        <w:rPr>
          <w:b/>
          <w:bCs/>
        </w:rPr>
        <w:t xml:space="preserve">§4.2 Hot vs. Cold Tumors: The Neoantigen Recognition Threshold</w:t>
      </w:r>
    </w:p>
    <w:p>
      <w:pPr>
        <w:spacing w:after="160"/>
      </w:pPr>
      <w:r>
        <w:t xml:space="preserve">Tumor mutational burden (TMB) quantifies the number of somatic mutations per megabase of tumor DNA. High TMB generates many neoantigens — peptides from mutant proteins presented on MHC-I. Immune surveillance activates when the cumulative neoantigen recognition signal crosses the immune activation threshold. For typical MHC-I binding energetics and T-cell repertoire diversity, this is consistent with approximately TMB_c ≈ 10 mut/Mb [10]. The threshold value varies by cancer type, assay platform, and patient population; the structural logic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TMB THRESHOLD MECHANISTICALLY GROUNDED: The ~20% ICB responder rate reflects the fraction of tumors with TMB &gt; TMB_c. Below this threshold, immune surveillance</w:t>
            </w:r>
          </w:p>
          <w:p>
            <w:pPr>
              <w:spacing w:after="80"/>
            </w:pPr>
            <w:r>
              <w:rPr>
                <w:sz w:val="20"/>
                <w:szCs w:val="20"/>
              </w:rPr>
              <w:t xml:space="preserve">never activates — no neoantigen recognition — and ICB cannot restore a gate that was never triggered. The hot/cold dichotomy is a direct consequence of this</w:t>
            </w:r>
          </w:p>
          <w:p>
            <w:pPr>
              <w:spacing w:after="80"/>
            </w:pPr>
            <w:r>
              <w:rPr>
                <w:sz w:val="20"/>
                <w:szCs w:val="20"/>
              </w:rPr>
              <w:t xml:space="preserve">threshold structure. Highly mutational tumors (MSI-high colorectal, some melanomas) paradoxically respond better to ICB: the high mutation rate generates</w:t>
            </w:r>
          </w:p>
          <w:p>
            <w:pPr>
              <w:spacing w:after="80"/>
            </w:pPr>
            <w:r>
              <w:rPr>
                <w:sz w:val="20"/>
                <w:szCs w:val="20"/>
              </w:rPr>
              <w:t xml:space="preserve">abundant neoantigens, pushing TMB well above TMB_c despite antigen turnover.</w:t>
            </w:r>
          </w:p>
        </w:tc>
      </w:tr>
    </w:tbl>
    <w:p>
      <w:r>
        <w:t xml:space="preserve"/>
      </w:r>
    </w:p>
    <w:p>
      <w:pPr>
        <w:pStyle w:val="Heading2"/>
      </w:pPr>
      <w:r>
        <w:rPr>
          <w:b/>
          <w:bCs/>
        </w:rPr>
        <w:t xml:space="preserve">§4.3 Immune Evasion as Mutation Rate Exceeding Adaptation Rate</w:t>
      </w:r>
    </w:p>
    <w:p>
      <w:pPr>
        <w:spacing w:after="160"/>
      </w:pPr>
      <w:r>
        <w:t xml:space="preserve">Immune evasion occurs when the tumor mutation rate exceeds the immune system’s adaptation rate. As the tumor mutates rapidly, previously recognized neoantigens are lost (antigen loss variants), new neoantigens emerge faster than T-cell clones can expand to recognize them, and MHC-I expression may be downregulated directly. The structural asymmetry: tumor adaptive selection runs faster than the immune system’s adaptive response. Immune surveillance is always trailing tumor evolution.</w:t>
      </w:r>
    </w:p>
    <w:p>
      <w:r>
        <w:t xml:space="preserve"/>
      </w:r>
    </w:p>
    <w:p>
      <w:pPr>
        <w:pStyle w:val="Heading1"/>
      </w:pPr>
      <w:r>
        <w:rPr>
          <w:b/>
          <w:bCs/>
        </w:rPr>
        <w:t xml:space="preserve">§5 — The Tumor–Brain Cascade</w:t>
      </w:r>
    </w:p>
    <w:p>
      <w:pPr>
        <w:pStyle w:val="Heading2"/>
      </w:pPr>
      <w:r>
        <w:rPr>
          <w:b/>
          <w:bCs/>
        </w:rPr>
        <w:t xml:space="preserve">§5.1 The Loop Nobody Owns</w:t>
      </w:r>
    </w:p>
    <w:p>
      <w:pPr>
        <w:spacing w:after="160"/>
      </w:pPr>
      <w:r>
        <w:t xml:space="preserve">The tumor communicates with the immune system, which communicates with the brain, which modulates immune function, which affects the tumor. The loop runs continuously and bidirectionally [11,21,22]. Treating only one node in the loop treats one node. The cascade has two arms that were previously described as separate: a neuroinflammatory arm (cytokines → IDO → kynurenine → brain) and a neuroendocrine arm (stress → HPA → cortisol → immunosuppression → tumor). They are part of the same cascade.</w:t>
      </w:r>
    </w:p>
    <w:p>
      <w:pPr>
        <w:pStyle w:val="Heading2"/>
      </w:pPr>
      <w:r>
        <w:rPr>
          <w:b/>
          <w:bCs/>
        </w:rPr>
        <w:t xml:space="preserve">§5.2 The Cancer–Immune–Brain Cascade: IDO/Kynurenine Arm</w:t>
      </w:r>
    </w:p>
    <w:p>
      <w:pPr>
        <w:spacing w:after="160"/>
      </w:pPr>
      <w:r>
        <w:t xml:space="preserve">The primary neuroinflammatory arm of the cascade runs through the IDO (indoleamine 2,3-dioxygenase) enzyme, which is induced by tumor pro-inflammatory cytokines (IL-6, TNF-α, IL-1β) in both peripheral immune cells and in microglia once the cascade crosses the blood-brain barrier:</w:t>
      </w:r>
    </w:p>
    <w:p>
      <w:pPr>
        <w:pStyle w:val="ListParagraph"/>
        <w:numPr>
          <w:ilvl w:val="0"/>
          <w:numId w:val="2"/>
        </w:numPr>
      </w:pPr>
      <w:r>
        <w:t xml:space="preserve">Tumor → IL-6, TNF-α, IL-1β (pro-inflammatory cytokines)</w:t>
      </w:r>
    </w:p>
    <w:p>
      <w:pPr>
        <w:pStyle w:val="ListParagraph"/>
        <w:numPr>
          <w:ilvl w:val="0"/>
          <w:numId w:val="2"/>
        </w:numPr>
      </w:pPr>
      <w:r>
        <w:t xml:space="preserve">Cytokines cross BBB via circumventricular organs or vagal C-fiber afferents → NTS → microglial activation</w:t>
      </w:r>
    </w:p>
    <w:p>
      <w:pPr>
        <w:pStyle w:val="ListParagraph"/>
        <w:numPr>
          <w:ilvl w:val="0"/>
          <w:numId w:val="2"/>
        </w:numPr>
      </w:pPr>
      <w:r>
        <w:t xml:space="preserve">Microglial IDO activation → tryptophan catabolism diverted from 5-HT synthesis to kynurenine pathway [23,24]</w:t>
      </w:r>
    </w:p>
    <w:p>
      <w:pPr>
        <w:pStyle w:val="ListParagraph"/>
        <w:numPr>
          <w:ilvl w:val="0"/>
          <w:numId w:val="2"/>
        </w:numPr>
      </w:pPr>
      <w:r>
        <w:t xml:space="preserve">Kynurenine → quinolinic acid (QUIN) via KMO enzyme → NMDA receptor agonist → hippocampal excitotoxicity</w:t>
      </w:r>
    </w:p>
    <w:p>
      <w:pPr>
        <w:pStyle w:val="ListParagraph"/>
        <w:numPr>
          <w:ilvl w:val="0"/>
          <w:numId w:val="2"/>
        </w:numPr>
      </w:pPr>
      <w:r>
        <w:t xml:space="preserve">Kynurenine → kynurenic acid (KYNA) via KAT enzyme → NMDA antagonist (neuroprotective arm)</w:t>
      </w:r>
    </w:p>
    <w:p>
      <w:pPr>
        <w:pStyle w:val="ListParagraph"/>
        <w:numPr>
          <w:ilvl w:val="0"/>
          <w:numId w:val="2"/>
        </w:numPr>
      </w:pPr>
      <w:r>
        <w:t xml:space="preserve">Net ratio determines hippocampal damage risk: sustained inflammation → KMO/QUIN dominates over KAT/KYNA</w:t>
      </w:r>
    </w:p>
    <w:p>
      <w:pPr>
        <w:pStyle w:val="ListParagraph"/>
        <w:numPr>
          <w:ilvl w:val="0"/>
          <w:numId w:val="2"/>
        </w:numPr>
      </w:pPr>
      <w:r>
        <w:t xml:space="preserve">Simultaneously: 5-HT synthesis rate ↓ (tryptophan diverted) → mood dysregulation, depression, fatigue, anhedonia</w:t>
      </w:r>
    </w:p>
    <w:p>
      <w:r>
        <w:t xml:space="preserve"/>
      </w:r>
    </w:p>
    <w:p>
      <w:pPr>
        <w:spacing w:after="160"/>
      </w:pPr>
      <w:r>
        <w:t xml:space="preserve">This cascade has two distinct neurotoxic arms: (1) direct NMDA excitotoxicity via QUIN, and (2) 5-HT depletion via tryptophan diversion. Previous descriptions of cancer-related cognitive impairment and depression focused on the 5-HT depletion arm. The QUIN/NMDA arm is mechanistically separate and more directly damaging to hippocampal architecture [41] — the same mechanism documented in treatment-resistant depression and severe sepsis. Standard serum serotonin or 5-HIAA measurement does not capture this arm; the kynurenine:tryptophan ratio or QUIN:KYNA ratio is the relevant biomarker.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IDO/KYNURENINE IS THE MECHANISTIC BRIDGE: Tumor cytokines activate IDO in peripheral immune cells and brain microglia, diverting tryptophan from 5-HT synthesis</w:t>
            </w:r>
          </w:p>
          <w:p>
            <w:pPr>
              <w:spacing w:after="80"/>
            </w:pPr>
            <w:r>
              <w:rPr>
                <w:sz w:val="20"/>
                <w:szCs w:val="20"/>
              </w:rPr>
              <w:t xml:space="preserve">to kynurenine → QUIN (NMDA excitotoxicity) and depleting serotonin simultaneously. These are two separate neurotoxic arms of the same upstream IDO activation.</w:t>
            </w:r>
          </w:p>
          <w:p>
            <w:pPr>
              <w:spacing w:after="80"/>
            </w:pPr>
            <w:r>
              <w:rPr>
                <w:sz w:val="20"/>
                <w:szCs w:val="20"/>
              </w:rPr>
              <w:t xml:space="preserve">Cancer-related cognitive impairment and depression are not merely quality-of-life concerns — they are the downstream expression of a tumor-driven IDO cascade</w:t>
            </w:r>
          </w:p>
          <w:p>
            <w:pPr>
              <w:spacing w:after="80"/>
            </w:pPr>
            <w:r>
              <w:rPr>
                <w:sz w:val="20"/>
                <w:szCs w:val="20"/>
              </w:rPr>
              <w:t xml:space="preserve">that can be measured (kynurenine:tryptophan ratio, QUIN:KYNA ratio) and eventually targeted.</w:t>
            </w:r>
          </w:p>
        </w:tc>
      </w:tr>
    </w:tbl>
    <w:p>
      <w:r>
        <w:t xml:space="preserve"/>
      </w:r>
    </w:p>
    <w:p>
      <w:pPr>
        <w:pStyle w:val="Heading2"/>
      </w:pPr>
      <w:r>
        <w:rPr>
          <w:b/>
          <w:bCs/>
        </w:rPr>
        <w:t xml:space="preserve">§5.3 The Reverse Loop: Brain → Tumor</w:t>
      </w:r>
    </w:p>
    <w:p>
      <w:pPr>
        <w:spacing w:after="160"/>
      </w:pPr>
      <w:r>
        <w:t xml:space="preserve">The cascade also runs in reverse. Psychological stress → HPA axis activation → chronic cortisol elevation → immunosuppression → reduced NK cell and cytotoxic T-cell activity → reduced immune surveillance → tumor growth. This is a mechanistic cascade with identified molecular intermediaries:</w:t>
      </w:r>
    </w:p>
    <w:p>
      <w:pPr>
        <w:pStyle w:val="ListParagraph"/>
        <w:numPr>
          <w:ilvl w:val="0"/>
          <w:numId w:val="2"/>
        </w:numPr>
      </w:pPr>
      <w:r>
        <w:t xml:space="preserve">Chronic stress → CRH (PVN) → ACTH → cortisol (HPA cascade)</w:t>
      </w:r>
    </w:p>
    <w:p>
      <w:pPr>
        <w:pStyle w:val="ListParagraph"/>
        <w:numPr>
          <w:ilvl w:val="0"/>
          <w:numId w:val="2"/>
        </w:numPr>
      </w:pPr>
      <w:r>
        <w:t xml:space="preserve">Cortisol → GR on T cells → reduced IL-2 production, reduced T-cell proliferation</w:t>
      </w:r>
    </w:p>
    <w:p>
      <w:pPr>
        <w:pStyle w:val="ListParagraph"/>
        <w:numPr>
          <w:ilvl w:val="0"/>
          <w:numId w:val="2"/>
        </w:numPr>
      </w:pPr>
      <w:r>
        <w:t xml:space="preserve">Cortisol → NK cell cytotoxicity reduced (reduced perforin, granzyme B expression) [13,29,30]</w:t>
      </w:r>
    </w:p>
    <w:p>
      <w:pPr>
        <w:pStyle w:val="ListParagraph"/>
        <w:numPr>
          <w:ilvl w:val="0"/>
          <w:numId w:val="2"/>
        </w:numPr>
      </w:pPr>
      <w:r>
        <w:t xml:space="preserve">Cortisol → hippocampal GR → LTP suppression, DG neurogenesis ↓; chronic exposure → HPA brake failure (subiculum GR downregulation → cortisol runaway)</w:t>
      </w:r>
    </w:p>
    <w:p>
      <w:pPr>
        <w:pStyle w:val="ListParagraph"/>
        <w:numPr>
          <w:ilvl w:val="0"/>
          <w:numId w:val="2"/>
        </w:numPr>
      </w:pPr>
      <w:r>
        <w:t xml:space="preserve">Norepinephrine (sympathetic) → β-AR on tumor cells → VEGF upregulation → angiogenesis; on macrophages → DIM polarization → immunosuppressive TME [14]</w:t>
      </w:r>
    </w:p>
    <w:p>
      <w:r>
        <w:t xml:space="preserve"/>
      </w:r>
    </w:p>
    <w:p>
      <w:pPr>
        <w:spacing w:after="160"/>
      </w:pPr>
      <w:r>
        <w:t xml:space="preserve">The HPA brake failure loop is particularly relevant in cancer patients with chronic psychological stress or cancer-related HPA dysregulation: cortisol damages hippocampal architecture → HPA negative feedback weakens → more cortisol → more NK cell suppression → worse tumor surveillance. This is a positive feedback loop that no single intervention fully addresses without targeting the hippocampal health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Measurement implication: the brain→tumor cascade has a measurable proxy that oncology does not use. Cortisol diurnal slope captures HPA brake function; HRV captures sympathetic/parasympathetic balance in real time. A patient with flat cortisol slope and low HRV is operating with the HPA and sympathetic arms of this cascade chronically active — measurable, addressable, and currently invisible to standard oncology monitoring.</w:t>
            </w:r>
          </w:p>
        </w:tc>
      </w:tr>
    </w:tbl>
    <w:p>
      <w:r>
        <w:t xml:space="preserve"/>
      </w:r>
    </w:p>
    <w:p>
      <w:pPr>
        <w:pStyle w:val="Heading2"/>
      </w:pPr>
      <w:r>
        <w:rPr>
          <w:b/>
          <w:bCs/>
        </w:rPr>
        <w:t xml:space="preserve">§5.4 Cancer-Related Fatigue: The Glymphatic-Adenosine Mechanism</w:t>
      </w:r>
    </w:p>
    <w:p>
      <w:pPr>
        <w:spacing w:after="160"/>
      </w:pPr>
      <w:r>
        <w:t xml:space="preserve">Cancer-related fatigue (CRF) affects 70–80% of cancer patients and is multifactorial — cytokines, anemia, endocrine disruption, sleep disruption, deconditioning, and psychological factors all contribute [12]. The following is a mechanistically plausible hypothesis — the integrated cascade has not been directly demonstrated in cancer patients: tumor cytokines → microglial activation → NE_tonic elevation (from LC activation via IL-1β) → insufficient NE_tonic drop during sleep → glymphatic clearance impaired AND microglial synaptic pruning impaired simultaneously.</w:t>
      </w:r>
    </w:p>
    <w:p>
      <w:pPr>
        <w:spacing w:after="160"/>
      </w:pPr>
      <w:r>
        <w:t xml:space="preserve">Both glymphatic clearance and microglial pruning require NE_tonic near zero during deep sleep. NE actively inhibits microglial motility [42]. When NE_tonic is chronically elevated (from tumor-driven LC activation, HPA dysregulation, or sleep-disrupting treatment), both maintenance operations are simultaneously impaired: adenosine accumulates (incomplete glymphatic clearance), synaptic clutter builds (insufficient pruning), and the activation ceiling drops — the physiological basis of the post-exertional pattern (disproportionate fatigue following activity with 24–48 hour recovery). This is mechanistically distinct from deconditioning and should be measured separately.</w:t>
      </w:r>
    </w:p>
    <w:p>
      <w:pPr>
        <w:spacing w:after="160"/>
      </w:pPr>
      <w:r>
        <w:t xml:space="preserve">If this cascade operates as described, cancer patients should show elevated adenosine or adenosine metabolite levels in CSF or interstitial fluid correlating with fatigue severity and post-exertional decrement, with the correlation stronger for NE-pathway disruption markers than for inflammatory markers alone. This prediction is testable and has not been directly evaluated in cancer patients.</w:t>
      </w:r>
    </w:p>
    <w:p>
      <w:r>
        <w:t xml:space="preserve"/>
      </w:r>
    </w:p>
    <w:p>
      <w:pPr>
        <w:pStyle w:val="Heading2"/>
      </w:pPr>
      <w:r>
        <w:rPr>
          <w:b/>
          <w:bCs/>
        </w:rPr>
        <w:t xml:space="preserve">§5.5 Exercise and Immune Surveillance</w:t>
      </w:r>
    </w:p>
    <w:p>
      <w:pPr>
        <w:spacing w:after="160"/>
      </w:pPr>
      <w:r>
        <w:t xml:space="preserve">Physical inactivity is not a lifestyle risk factor for cancer in the statistical sense [27,28] — it is a mechanistic facilitator of immune surveillance failure through at least four parallel channels that exercise simultaneously activates: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Channel</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Mechanism</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Immune surveillance effect</w:t>
            </w:r>
          </w:p>
        </w:tc>
        <w:tc>
          <w:tcPr>
            <w:tcW w:type="dxa" w:w="2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Evidence tier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NK cell mobilization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Acute exercise → catecholamine surge → NK cell egress from spleen and bone marrow → peripheral NK cell count ↑ (transient)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Increased circulating NK cells available for tumor surveillance during exercise bout; regular exercise maintains NK cell number and cytotoxicity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Tier A for NK mobilization with exercise; Tier B for sustained surveillance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Cortisol reduction (HPA normalization)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Regular moderate exercise → reduced HPA reactivity → lower cortisol AUC → NK cytotoxicity restored; cortisol-mediated immunosuppression reduced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 occupancy on NK cells and T cells reduced → IL-2, perforin, granzyme B production restored; HPA brake function improved via DG neurogenesis support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Tier A for exercise → HPA normalization; Tier B for direct NK/T cell cytotoxicity restoration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AMPK activation → mTOR competition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Exercise → AMPK activation in muscle → AMPK suppresses mTOR; reduces metabolic competition between tumor’s constitutively active mTOR and normal tissue AMPK-regulated metabolism</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Reduced tumor metabolic dominance; acidic TME less severe (less Warburg-driven lactate); NK and T cell function less suppressed by TME acidity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Tier B for AMPK-mTOR competition; Tier C for TME acidity reduction in vivo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Cholinergic anti-inflammatory reflex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Exercise → vagal tone ↑ (HRV improvement) → vagal efferents → splenic α7-nAChR on macrophages → TNF-α, IL-6, IL-1β suppression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Reduced tumor-promoting cytokines in TME; reduced IDO activation; kynurenine load reduced; 5-HT synthesis restored; neuroinflammation arm attenuated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Tier A for cholinergic reflex mechanism; Tier B for exercise-driven vagal tone and cancer cytokine reduction</w:t>
            </w:r>
          </w:p>
        </w:tc>
      </w:tr>
    </w:tbl>
    <w:p>
      <w:r>
        <w:t xml:space="preserve"/>
      </w:r>
    </w:p>
    <w:p>
      <w:r>
        <w:rPr>
          <w:i/>
          <w:iCs/>
        </w:rPr>
        <w:t xml:space="preserve">Table 2. Four parallel channels by which exercise supports immune surveillance. All four are simultaneously suppressed by physical inactivity [31,32].</w:t>
      </w:r>
    </w:p>
    <w:p>
      <w:r>
        <w:t xml:space="preserve"/>
      </w:r>
    </w:p>
    <w:p>
      <w:pPr>
        <w:spacing w:after="160"/>
      </w:pPr>
      <w:r>
        <w:t xml:space="preserve">These four channels converge on a single prediction: sedentary cancer patients should show worse immune infiltrate (lower CD8+ T cell and NK cell density), higher IDO activation, and higher cortisol AUC than exercising patients with equivalent disease burden, controlling for treatment intensity. This prediction is testable and has not been formally evaluated with all four channels measured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PHYSICAL INACTIVITY AS MECHANISTIC IMMUNE SUPPRESSION: Inactivity simultaneously withdraws NK cell mobilization, allows HPA cortisol elevation, removes AMPK</w:t>
            </w:r>
          </w:p>
          <w:p>
            <w:pPr>
              <w:spacing w:after="80"/>
            </w:pPr>
            <w:r>
              <w:rPr>
                <w:sz w:val="20"/>
                <w:szCs w:val="20"/>
              </w:rPr>
              <w:t xml:space="preserve">suppression of mTOR-driven metabolic competition, and reduces vagal tone/cholinergic anti-inflammatory signaling. Exercise reverses all four simultaneously.</w:t>
            </w:r>
          </w:p>
          <w:p>
            <w:pPr>
              <w:spacing w:after="80"/>
            </w:pPr>
            <w:r>
              <w:rPr>
                <w:sz w:val="20"/>
                <w:szCs w:val="20"/>
              </w:rPr>
              <w:t xml:space="preserve">No single pharmacological intervention currently activates all four channels, to my knowledge. The surveillance architecture treats exercise as a multi-channel immune support system, not a lifestyle adjunct.</w:t>
            </w:r>
          </w:p>
        </w:tc>
      </w:tr>
    </w:tbl>
    <w:p>
      <w:r>
        <w:t xml:space="preserve"/>
      </w:r>
    </w:p>
    <w:p>
      <w:pPr>
        <w:pStyle w:val="Heading1"/>
      </w:pPr>
      <w:r>
        <w:rPr>
          <w:b/>
          <w:bCs/>
        </w:rPr>
        <w:t xml:space="preserve">§6 — Hormonal Architecture in Cancer</w:t>
      </w:r>
    </w:p>
    <w:p>
      <w:pPr>
        <w:pStyle w:val="Heading2"/>
      </w:pPr>
      <w:r>
        <w:rPr>
          <w:b/>
          <w:bCs/>
        </w:rPr>
        <w:t xml:space="preserve">§6.1 Estradiol and Hormone-Receptor-Positive Cancers</w:t>
      </w:r>
    </w:p>
    <w:p>
      <w:pPr>
        <w:spacing w:after="160"/>
      </w:pPr>
      <w:r>
        <w:t xml:space="preserve">Approximately 70–75% of breast cancers express estrogen receptor alpha (ERα), making E2 the primary proliferative driver. The mechanism is direct: E2 binds ERα → nuclear translocation → activation of proliferative gene expression (cyclin D1, c-Myc, VEGF) → cell cycle entry. In this context ERα is a surveillance gate failure — what was a normally-gated signaling pathway for breast tissue becomes a constitutive proliferative signal when the estrogen environment is chronically elevated (post-menopausal exogenous estrogen, obesity-associated aromatase activity in adipose tissue).</w:t>
      </w:r>
    </w:p>
    <w:p>
      <w:pPr>
        <w:spacing w:after="160"/>
      </w:pPr>
      <w:r>
        <w:t xml:space="preserve">Treatment architecture maps directly to the mechanism: tamoxifen (SERM, blocks ERα in breast tissue, reduces recurrence ~50% in ER-positive disease); aromatase inhibitors (letrozole, anastrozole, block peripheral E2 synthesis from adipose aromatase — first-line in postmenopausal ER-positive disease because they suppress the dominant E2 synthesis pathway); CDK4/6 inhibitors (palbociclib, ribociclib, target cyclin D1 downstream of ERα, substantially extending progression-free survival in combination with AIs [16]).</w:t>
      </w:r>
    </w:p>
    <w:p>
      <w:pPr>
        <w:spacing w:after="160"/>
      </w:pPr>
      <w:r>
        <w:t xml:space="preserve">Endometrial cancer follows the same E2-driven mechanism. Unopposed estrogen drives endometrial hyperplasia → cancer. PTEN loss + E2-driven ERα activation = dual surveillance gate failure: PTEN loss removes PI3K/AKT suppression (constitutive mTOR) while E2-driven ERα provides positive proliferative drive. This explains why PTEN-null endometrial tumors are predominantly ER-positive — both gates must fail for malignancy to initiate.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Combination logic: anti-estrogen therapy removes the ERα proliferative drive but does not restore PTEN, Rb, or p53. CDK4/6 inhibition (palbociclib, ribociclib [16]) closes the downstream cell-cycle gate independently of ERα signaling — which is why it adds benefit even in patients already on aromatase inhibitors. In PTEN-null/ER-positive endometrial cancer, both the E2/ERα arm and the PI3K/mTOR arm are active simultaneously; removing E2 alone leaves constitutive mTOR running.</w:t>
            </w:r>
          </w:p>
        </w:tc>
      </w:tr>
    </w:tbl>
    <w:p>
      <w:r>
        <w:t xml:space="preserve"/>
      </w:r>
    </w:p>
    <w:p>
      <w:pPr>
        <w:pStyle w:val="Heading2"/>
      </w:pPr>
      <w:r>
        <w:rPr>
          <w:b/>
          <w:bCs/>
        </w:rPr>
        <w:t xml:space="preserve">§6.2 Testosterone, DHT, and Prostate Cancer</w:t>
      </w:r>
    </w:p>
    <w:p>
      <w:pPr>
        <w:spacing w:after="160"/>
      </w:pPr>
      <w:r>
        <w:t xml:space="preserve">Prostate cancer is androgen-dependent in its early and most treatable form. The androgen receptor (AR) governs prostate cell proliferation — testosterone and its more potent metabolite dihydrotestosterone (DHT, via 5α-reductase) bind AR → nuclear translocation → proliferative gene expression (PSA, TMPRSS2). Normal prostate homeostasis requires AR signaling; prostate cancer hijacks this homeostatic signal as its primary proliferative driver.</w:t>
      </w:r>
    </w:p>
    <w:p>
      <w:pPr>
        <w:spacing w:after="160"/>
      </w:pPr>
      <w:r>
        <w:t xml:space="preserve">Treatment architecture: androgen deprivation therapy (ADT via GnRH agonists/antagonists, castrate testosterone &lt;50 ng/dL, ~95% initial response); second-generation anti-androgens (enzalutamide, apalutamide — direct AR block in castration-resistant prostate cancer) [17]; 5α-reductase inhibitors (finasteride, dutasteride, block DHT synthesis). Castration-resistant prostate cancer (CRPC) emerges through AR amplification, AR splice variants (AR-V7 — constitutively active without ligand), or intratumoral androgen synthesis — direct adaptive selection finding alternative routes to AR activation at castrate androgen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CRPC IS ADAPTIVE SELECTION AROUND A CLOSED GATE: ADT closes the AR gate by removing ligand. CRPC represents tumor evolution finding AR amplification,</w:t>
            </w:r>
          </w:p>
          <w:p>
            <w:pPr>
              <w:spacing w:after="80"/>
            </w:pPr>
            <w:r>
              <w:rPr>
                <w:sz w:val="20"/>
                <w:szCs w:val="20"/>
              </w:rPr>
              <w:t xml:space="preserve">ligand-independent splice variants (AR-V7), or de novo androgen synthesis as alternative paths. AR-V7 presence predicts resistance to enzalutamide</w:t>
            </w:r>
          </w:p>
          <w:p>
            <w:pPr>
              <w:spacing w:after="80"/>
            </w:pPr>
            <w:r>
              <w:rPr>
                <w:sz w:val="20"/>
                <w:szCs w:val="20"/>
              </w:rPr>
              <w:t xml:space="preserve">and apalutamide. Treatment must track the adaptation mechanism, not just the hormone level.</w:t>
            </w:r>
          </w:p>
        </w:tc>
      </w:tr>
    </w:tbl>
    <w:p>
      <w:r>
        <w:t xml:space="preserve"/>
      </w:r>
    </w:p>
    <w:p>
      <w:pPr>
        <w:pStyle w:val="Heading2"/>
      </w:pPr>
      <w:r>
        <w:rPr>
          <w:b/>
          <w:bCs/>
        </w:rPr>
        <w:t xml:space="preserve">§6.3 Cortisol, HPA Axis, and the Immune Gate</w:t>
      </w:r>
    </w:p>
    <w:p>
      <w:pPr>
        <w:spacing w:after="160"/>
      </w:pPr>
      <w:r>
        <w:t xml:space="preserve">Cortisol is a dual immune checkpoint suppressor — it reduces NK cell cytotoxicity (innate immune checkpoint) and cytotoxic T-cell activity (adaptive checkpoint) simultaneously. Chronic psychological stress, cancer-related sleep disruption, and treatment-induced HPA dysregulation all contribute to sustained cortisol elevation. The hippocampal brake failure loop (§5.3) means that cortisol-mediated hippocampal damage weakens the HPA negative feedback → more cortisol → more NK suppression — a self-reinforcing cascade that connects psychological distress directly to immune surveillance capacity.</w:t>
      </w:r>
    </w:p>
    <w:p>
      <w:pPr>
        <w:spacing w:after="160"/>
      </w:pPr>
      <w:r>
        <w:t xml:space="preserve">The architecture predicts that cortisol measurement alongside tumor markers and immune infiltrate metrics [38] should improve prognostic stratification and ICB patient selection — a hypothesis that justifies prospective validation. Interventions with mechanistic cortisol-lowering evidence — sleep quality improvement, psychological support, mindfulness-based stress reduction, moderate exercise — are addressing a real immunological mechanism, not providing soft supportive care.</w:t>
      </w:r>
    </w:p>
    <w:p>
      <w:r>
        <w:t xml:space="preserve"/>
      </w:r>
    </w:p>
    <w:p>
      <w:pPr>
        <w:pStyle w:val="Heading1"/>
      </w:pPr>
      <w:r>
        <w:rPr>
          <w:b/>
          <w:bCs/>
        </w:rPr>
        <w:t xml:space="preserve">§7 — Autonomic Neurochemical Signaling in the Tumor Microenvironment</w:t>
      </w:r>
    </w:p>
    <w:p>
      <w:pPr>
        <w:pStyle w:val="Heading2"/>
      </w:pPr>
      <w:r>
        <w:rPr>
          <w:b/>
          <w:bCs/>
        </w:rPr>
        <w:t xml:space="preserve">§7.1 The Sympathetic Axis: NE, β-Adrenergic Receptors, and Tumor Progression</w:t>
      </w:r>
    </w:p>
    <w:p>
      <w:pPr>
        <w:spacing w:after="160"/>
      </w:pPr>
      <w:r>
        <w:t xml:space="preserve">Solid tumors receive direct sympathetic innervation — nerve terminals release NE and epinephrine into the tumor microenvironment. Tumor cells express functional β-1 and β-2 adrenergic receptors, and sympathetic activation has direct pro-tumorigenic effects [14]:</w:t>
      </w:r>
    </w:p>
    <w:p>
      <w:pPr>
        <w:pStyle w:val="ListParagraph"/>
        <w:numPr>
          <w:ilvl w:val="0"/>
          <w:numId w:val="2"/>
        </w:numPr>
      </w:pPr>
      <w:r>
        <w:t xml:space="preserve">NE → β-2-AR on tumor cells → cAMP → PKA → VEGF upregulation → angiogenesis</w:t>
      </w:r>
    </w:p>
    <w:p>
      <w:pPr>
        <w:pStyle w:val="ListParagraph"/>
        <w:numPr>
          <w:ilvl w:val="0"/>
          <w:numId w:val="2"/>
        </w:numPr>
      </w:pPr>
      <w:r>
        <w:t xml:space="preserve">NE → β-AR → PKA → MMP-2 and MMP-9 upregulation → extracellular matrix degradation → invasion and metastatic competence</w:t>
      </w:r>
    </w:p>
    <w:p>
      <w:pPr>
        <w:pStyle w:val="ListParagraph"/>
        <w:numPr>
          <w:ilvl w:val="0"/>
          <w:numId w:val="2"/>
        </w:numPr>
      </w:pPr>
      <w:r>
        <w:t xml:space="preserve">NE → β-AR → PKA → Bcl-2 upregulation → reduced anoikis → circulating tumor cell survival during metastatic transit (connects directly to the metastasis threshold, §3.2)</w:t>
      </w:r>
    </w:p>
    <w:p>
      <w:pPr>
        <w:pStyle w:val="ListParagraph"/>
        <w:numPr>
          <w:ilvl w:val="0"/>
          <w:numId w:val="2"/>
        </w:numPr>
      </w:pPr>
      <w:r>
        <w:t xml:space="preserve">NE → β-AR on macrophages → DIM polarization → tumor-promoting immunosuppressive microenvironment</w:t>
      </w:r>
    </w:p>
    <w:p>
      <w:r>
        <w:t xml:space="preserve"/>
      </w:r>
    </w:p>
    <w:p>
      <w:pPr>
        <w:spacing w:after="160"/>
      </w:pPr>
      <w:r>
        <w:t xml:space="preserve">The clinical evidence for beta-blocker use in cancer has strengthened beyond retrospective data. A phase II RCT (Haldar et al. 2020, n=60 breast cancer) showed preoperative propranolol downregulated mesenchymal gene expression and improved immune cell profile in primary tumors [36]. The COMPIT pilot RCT (Ricon-Becker et al. 2023, n=34 colorectal cancer) showed 5-year disease-free survival with 0/11 (0%) recurrence in the perioperative propranolol + etodolac arm vs 8/17 (47%) in placebo — the first prospective survival outcome data from a randomised trial [37]. The sample size is small and confidence intervals around these proportions are wide; this is proof-of-concept requiring confirmation in a powered Phase III trial. Larger retrospective cohorts remain heterogeneous.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SYMPATHETIC SIGNALING IS PRO-TUMORIGENIC (MECHANISTICALLY GROUNDED, CLINICALLY MIXED): Chronic stress → sustained SNS activation → NE → β-AR on</w:t>
            </w:r>
          </w:p>
          <w:p>
            <w:pPr>
              <w:spacing w:after="80"/>
            </w:pPr>
            <w:r>
              <w:rPr>
                <w:sz w:val="20"/>
                <w:szCs w:val="20"/>
              </w:rPr>
              <w:t xml:space="preserve">tumor cells → VEGF (angiogenesis) + MMP (invasion) + reduced anoikis (metastatic survival) + DIM macrophage polarization (immune suppression).</w:t>
            </w:r>
          </w:p>
          <w:p>
            <w:pPr>
              <w:spacing w:after="80"/>
            </w:pPr>
            <w:r>
              <w:rPr>
                <w:sz w:val="20"/>
                <w:szCs w:val="20"/>
              </w:rPr>
              <w:t xml:space="preserve">The β-AR/Bcl-2 link mechanistically connects psychological stress to metastatic competence. Phase II RCT (Haldar 2020 [36]) showed preoperative propranolol reduced mesenchymal gene expression in breast cancer. COMPIT pilot RCT (Ricon-Becker 2023 [37]): 0/11 recurrence vs 8/17 in placebo at 5 years — proof-of-concept, CI wide, Phase III warranted.</w:t>
            </w:r>
          </w:p>
        </w:tc>
      </w:tr>
    </w:tbl>
    <w:p>
      <w:r>
        <w:t xml:space="preserve"/>
      </w:r>
    </w:p>
    <w:p>
      <w:pPr>
        <w:pStyle w:val="Heading2"/>
      </w:pPr>
      <w:r>
        <w:rPr>
          <w:b/>
          <w:bCs/>
        </w:rPr>
        <w:t xml:space="preserve">§7.2 The Parasympathetic Axis: Acetylcholine, Muscarinic Receptors, and Anti-Tumor Signaling</w:t>
      </w:r>
    </w:p>
    <w:p>
      <w:pPr>
        <w:spacing w:after="160"/>
      </w:pPr>
      <w:r>
        <w:t xml:space="preserve">Vagal efferents reach most visceral organs and the tumor microenvironment. ACh released from parasympathetic terminals acts on muscarinic receptors (M1–M3) on tumor cells and immune cells with generally anti-tumorigenic effects. The cholinergic anti-inflammatory reflex [20,25,26] — vagal efferents → splenic nerve → α7-nAChR on macrophages → TNF-α suppression — is the brain’s primary real-time immune modulation pathway and is directly relevant to the tumor microenvironment: reduced TNF-α and IL-6 in the TME means reduced IDO activation, reduced kynurenine load, and reduced NF-κB-driven DIM macrophage polarization.</w:t>
      </w:r>
    </w:p>
    <w:p>
      <w:pPr>
        <w:spacing w:after="160"/>
      </w:pPr>
      <w:r>
        <w:t xml:space="preserve">ACh → M1 muscarinic receptor on tumor cells → reduced Ras/MAPK signaling → reduced proliferation (notably lung, pancreatic cell lines). ACh → α7-nAChR on macrophages → anti-inflammatory phenotype. Autonomic dysfunction, common in cancer patients and worsened by treatment, shifts the balance toward sympathetic dominance. HRV measures this balance in real time: low HRV = sympathetic dominance = impaired cholinergic anti-inflammatory reflex = more permissive TME for tumor progression.</w:t>
      </w:r>
    </w:p>
    <w:p>
      <w:pPr>
        <w:pStyle w:val="Heading2"/>
      </w:pPr>
      <w:r>
        <w:rPr>
          <w:b/>
          <w:bCs/>
        </w:rPr>
        <w:t xml:space="preserve">§7.3 Substance P, NK1 Receptors, and Perineural Invasion</w:t>
      </w:r>
    </w:p>
    <w:p>
      <w:pPr>
        <w:spacing w:after="160"/>
      </w:pPr>
      <w:r>
        <w:t xml:space="preserve">Note on aprepitant: a dosing gap must be resolved before any clinical trial design — most preclinical anti-tumour data were obtained at concentrations that may substantially exceed clinically achievable plasma levels with standard antiemetic dosing. The pharmacokinetic question of whether standard dosing produces sufficient NK1 occupancy in the tumour microenvironment is unanswered, and no robust human survival data exist. The mechanism is described here for completeness; it should not be interpreted as implying aprepitant is a viable repurposed candidate without pharmacokinetic validation.</w:t>
      </w:r>
    </w:p>
    <w:p>
      <w:pPr>
        <w:spacing w:after="160"/>
      </w:pPr>
      <w:r>
        <w:t xml:space="preserve">Tumors actively recruit sensory nerve innervation — perineural invasion (PNI), the growth of tumor cells along nerve sheaths, is a well-established poor prognostic sign in pancreatic, prostate, colorectal, and head/neck cancers. Tumors secrete NGF and BDNF to recruit sensory and autonomic nerves; recruited nerves release Substance P (SP) that promotes tumor growth [18,19]:</w:t>
      </w:r>
    </w:p>
    <w:p>
      <w:pPr>
        <w:pStyle w:val="ListParagraph"/>
        <w:numPr>
          <w:ilvl w:val="0"/>
          <w:numId w:val="2"/>
        </w:numPr>
      </w:pPr>
      <w:r>
        <w:t xml:space="preserve">SP → NK1 receptor on tumor cells → Gq → IP3/DAG → PKC → PI3K/AKT activation → proliferation and survival</w:t>
      </w:r>
    </w:p>
    <w:p>
      <w:pPr>
        <w:pStyle w:val="ListParagraph"/>
        <w:numPr>
          <w:ilvl w:val="0"/>
          <w:numId w:val="2"/>
        </w:numPr>
      </w:pPr>
      <w:r>
        <w:t xml:space="preserve">SP → NK1 on tumor-associated macrophages → DIM polarization → immunosuppressive TME</w:t>
      </w:r>
    </w:p>
    <w:p>
      <w:pPr>
        <w:pStyle w:val="ListParagraph"/>
        <w:numPr>
          <w:ilvl w:val="0"/>
          <w:numId w:val="2"/>
        </w:numPr>
      </w:pPr>
      <w:r>
        <w:t xml:space="preserve">SP → NK1 on endothelial cells → VEGF upregulation → angiogenesis (parallel pathway to β-AR)</w:t>
      </w:r>
    </w:p>
    <w:p>
      <w:r>
        <w:t xml:space="preserve"/>
      </w:r>
    </w:p>
    <w:p>
      <w:pPr>
        <w:spacing w:after="160"/>
      </w:pPr>
      <w:r>
        <w:t xml:space="preserve">Aprepitant (fosaprepitant) is an NK1 receptor antagonist approved as an antiemetic for chemotherapy-induced nausea and vomiting. Preclinical models show anti-proliferative and pro-apoptotic activity via NK1 blockade [43]. </w:t>
      </w:r>
    </w:p>
    <w:p>
      <w:pPr>
        <w:pStyle w:val="Heading2"/>
      </w:pPr>
      <w:r>
        <w:rPr>
          <w:b/>
          <w:bCs/>
        </w:rPr>
        <w:t xml:space="preserve">§7.4 Neurochemical Architecture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Signal</w:t>
            </w:r>
          </w:p>
        </w:tc>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Receptor</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TME effect</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Intervention status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NE / Epinephrine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β-1-AR, β-2-AR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VEGF ↑ (angiogenesis), MMP ↑ (invasion), anoikis resistance ↑, DIM macrophage polarization, Bcl-2 ↑ (CTC survival)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Beta-blockers — mechanistically grounded, clinical signal mixed; prospective trials warranted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Acetylcholine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M1–M3 muscarinic, α7-nAChR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Ras/MAPK proliferation ↓, cholinergic anti-inflammatory reflex → TNF-α/IL-6/IDO cascade reduced, pro-resolution macrophage phenotype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Vagal nerve stimulation (experimental); HRV-guided exercise to improve vagal tone; parasympathomimetic strategies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Substance P</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NK1 receptor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PI3K/AKT ↑ (proliferation), DIM macrophage polarization, VEGF ↑ (angiogenesis), perineural invasion facilitation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Aprepitant (NK1 antagonist) — approved antiemetic, preclinical anti-tumor evidence; preclinical concentrations may exceed clinically achievable levels; dosing gap unresolved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Cortisol (HPA)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 on T cells, NK cells, macrophages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cell cytotoxicity ↓, IL-2 ↓, T-cell proliferation ↓, immune surveillance ↓; hippocampal damage → HPA brake failure → cortisol runaway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Stress reduction; sleep quality; exercise (HPA normalization); psycho-oncology — mechanistically upstream of surveillance, not soft care</w:t>
            </w:r>
          </w:p>
        </w:tc>
      </w:tr>
    </w:tbl>
    <w:p>
      <w:r>
        <w:t xml:space="preserve"/>
      </w:r>
    </w:p>
    <w:p>
      <w:pPr>
        <w:pStyle w:val="Heading1"/>
      </w:pPr>
      <w:r>
        <w:rPr>
          <w:b/>
          <w:bCs/>
        </w:rPr>
        <w:t xml:space="preserve">§8 — Surveillance-Derived Biomarkers for Early Detection and Monitoring</w:t>
      </w:r>
    </w:p>
    <w:p>
      <w:pPr>
        <w:spacing w:after="160"/>
      </w:pPr>
      <w:r>
        <w:t xml:space="preserve">The surveillance architecture defined in this paper generates a specific set of measurable parameters that standard oncology currently does not monitor together — not because they are inaccessible, but because they belong to systems (endocrine, autonomic, neurological, circadian) that oncology has treated as outside its scope. If the architecture is correct, these parameters are directly relevant to cancer risk, detection, treatment selection, and recurrence prediction.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00"/>
        <w:gridCol w:w="2100"/>
        <w:gridCol w:w="1600"/>
        <w:gridCol w:w="1810"/>
      </w:tblGrid>
      <w:tr>
        <w:tc>
          <w:tcPr>
            <w:tcW w:type="dxa" w:w="155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Biomarker</w:t>
            </w:r>
          </w:p>
        </w:tc>
        <w:tc>
          <w:tcPr>
            <w:tcW w:type="dxa" w:w="2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What it measures</w:t>
            </w:r>
          </w:p>
        </w:tc>
        <w:tc>
          <w:tcPr>
            <w:tcW w:type="dxa" w:w="21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Surveillance architecture basis</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Current oncology use</w:t>
            </w:r>
          </w:p>
        </w:tc>
        <w:tc>
          <w:tcPr>
            <w:tcW w:type="dxa" w:w="181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Gap</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Tumor Mutational Burden (TMB)</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Neoantigen load; probability immune surveillance has been triggered</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TMB threshold TMB_c determines whether ICB can restore the immune activation gate (§4.2); below TMB_c, ICB cannot work regardless of PD-L1 expression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FDA-cleared for ICB patient selection (pan-tumor); increasingly standard</w:t>
            </w:r>
          </w:p>
        </w:tc>
        <w:tc>
          <w:tcPr>
            <w:tcW w:type="dxa" w:w="18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integrated with cortisol or HRV data that determine whether the surveillance capacity is intact to act on a positive signal</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Immune infiltrate density (CD8+ TIL, NK cells)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Whether immune surveillance has been triggered and is actively operating in the TME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Hot/cold dichotomy; TME permissiveness for ICB; NK number vs NK cytotoxicity are separate parameters — cytotoxicity declines first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IHC on biopsy tissue; increasingly standard pre-ICB</w:t>
            </w:r>
          </w:p>
        </w:tc>
        <w:tc>
          <w:tcPr>
            <w:tcW w:type="dxa" w:w="1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cytotoxicity (functional) not NK number (count) is the surveillance-relevant measure; rarely assessed functionally</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Kynurenine:tryptophan (K:T) ratio</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IDO activation state; tryptophan diversion to kynurenine; T-cell suppression in TME; 5-HT substrate depletion</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IDO is the mechanistic bridge between tumor cytokines and T-cell suppression in the TME AND the brain cascade (§5.2); QUIN:KYNA ratio adds NMDA excitotoxicity arm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currently standard in oncology</w:t>
            </w:r>
          </w:p>
        </w:tc>
        <w:tc>
          <w:tcPr>
            <w:tcW w:type="dxa" w:w="18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Simultaneous measure of TME immunosuppression and brain cascade risk; neither arm is measured in standard cancer monitoring</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Cortisol diurnal slope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HPA axis integrity; NK and CTL suppression load; immune surveillance gate capacity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Chronic cortisol → NK cytotoxicity ↓ + CTL activity ↓; hippocampal damage → HPA brake failure loop (§5.3, §6.3)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Not standard; occasional use in psycho-oncology research only</w:t>
            </w:r>
          </w:p>
        </w:tc>
        <w:tc>
          <w:tcPr>
            <w:tcW w:type="dxa" w:w="1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 flat diurnal slope independently predicts impaired immune surveillance; the architecture predicts this parameter should improve ICB patient selection when prospectively validated</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Heart rate variability (HRV)</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Real-time sympathetic/parasympathetic balance; cholinergic anti-inflammatory reflex capacity</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Low HRV = sympathetic dominance = NE/β-AR pro-tumorigenic signaling dominant + cholinergic anti-inflammatory reflex impaired; DIM macrophage polarization favored (§7.1–7.2)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standard in oncology; occasional use in cardiac oncology</w:t>
            </w:r>
          </w:p>
        </w:tc>
        <w:tc>
          <w:tcPr>
            <w:tcW w:type="dxa" w:w="18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Non-invasive real-time proxy for TME permissiveness; low HRV patients should have predictably more pro-tumorigenic TME</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NK cell cytotoxicity (functional assay)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Innate immune surveillance operational capacity — separate from NK cell count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cells are primary innate surveillance for MHC-I-downregulated cells (common cancer evasion); cytotoxicity declines with cortisol elevation, inactivity, sleep disruption before number falls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number occasionally measured; cytotoxicity rarely assessed</w:t>
            </w:r>
          </w:p>
        </w:tc>
        <w:tc>
          <w:tcPr>
            <w:tcW w:type="dxa" w:w="1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Standard panels count NK cells; functional cytotoxicity is the surveillance-relevant parameter and falls earlier in cascade</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Circadian immune amplitude</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Day/night oscillation magnitude in NK cytotoxicity and T-cell trafficking; melatonin-dependent overnight immune activation</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NK cytotoxicity and DC trafficking peak daytime; DC circadian trafficking to tumour-draining lymph nodes governs CD8+ T cell anti-tumour responses [39]; adrenergic nerves govern circadian leukocyte recruitment to tissues [33]; overnight T-cell trafficking is circadian-controlled [40]. Cancer immunotherapy is more effective when synchronised with DC circadian function [39].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measured clinically</w:t>
            </w:r>
          </w:p>
        </w:tc>
        <w:tc>
          <w:tcPr>
            <w:tcW w:type="dxa" w:w="18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Cancer patients with untreated OSA or chronic sleep fragmentation lose a nightly surveillance peak that is currently invisible to oncology monitoring</w:t>
            </w:r>
          </w:p>
        </w:tc>
      </w:tr>
    </w:tbl>
    <w:p>
      <w:r>
        <w:t xml:space="preserve"/>
      </w:r>
    </w:p>
    <w:p>
      <w:r>
        <w:rPr>
          <w:i/>
          <w:iCs/>
        </w:rPr>
        <w:t xml:space="preserve">Table 3. Surveillance-architecture-derived biomarkers. TMB + immune infiltrate + K:T ratio + cortisol diurnal slope constitute a minimal integrated monitoring panel consistent with the architecture. None are currently measured together in standard oncology practice.</w:t>
      </w:r>
    </w:p>
    <w:p>
      <w:r>
        <w:t xml:space="preserve"/>
      </w:r>
    </w:p>
    <w:p>
      <w:pPr>
        <w:spacing w:after="160"/>
      </w:pPr>
      <w:r>
        <w:t xml:space="preserve">The panel logic: TMB tells you whether the immune gate has been triggered. Immune infiltrate tells you whether surveillance is actively operating in the tumor. Kynurenine:tryptophan ratio tells you whether IDO is suppressing that surveillance while simultaneously driving the brain cascade. Cortisol diurnal slope tells you whether the HPA arm is suppressing NK and CTL activity upstream of the tumor. HRV tells you whether sympathetic dominance is creating a pro-tumorigenic microenvironment in real time. None of these require new technology — they require ordering existing tests across specialties that currently do not communicate in oncology.</w:t>
      </w:r>
    </w:p>
    <w:p>
      <w:pPr>
        <w:spacing w:after="160"/>
      </w:pPr>
      <w:r>
        <w:t xml:space="preserve">The circadian dimension is the most undercharacterized in current oncology. NK cell cytotoxicity follows a strong diurnal rhythm; overnight T-cell trafficking is melatonin-dependent. Cancer patients with untreated obstructive sleep apnea, chronic sleep fragmentation from HPA dysregulation, or shift-work history have a suppressed circadian immune amplitude — a nightly surveillance deficit that no current biomarker panel captures. Chronotherapy — timing immunotherapy to the circadian peak of immune effector activity — has growing preclinical support and is an open clinical gap. The circadian parameter also connects directly to the NE_tonic mechanism: tumor-driven LC activation elevates NE_tonic → delays melatonin onset → reduces overnight NK activation → reduces circadian surveillance amplitude. The tumor is suppressing its own overnight surveillance peak through the autonomic-pineal axis.</w:t>
      </w:r>
    </w:p>
    <w:p>
      <w:r>
        <w:t xml:space="preserve"/>
      </w:r>
    </w:p>
    <w:p>
      <w:pPr>
        <w:pStyle w:val="Heading1"/>
      </w:pPr>
      <w:r>
        <w:rPr>
          <w:b/>
          <w:bCs/>
        </w:rPr>
        <w:t xml:space="preserve">§9 — What the Unified Framework Changes</w:t>
      </w:r>
    </w:p>
    <w:p>
      <w:pPr>
        <w:pStyle w:val="Heading2"/>
      </w:pPr>
      <w:r>
        <w:rPr>
          <w:b/>
          <w:bCs/>
        </w:rPr>
        <w:t xml:space="preserve">§9.1 Treatment Target Hierarchy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Current target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Surveillance interpretation</w:t>
            </w:r>
          </w:p>
        </w:tc>
        <w:tc>
          <w:tcPr>
            <w:tcW w:type="dxa" w:w="4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More upstream target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 tumor (surgery)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 the proliferative threshold failure zone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Prevent carcinogenesis: protect suppressor architecture before threshold crossing; reduce somatic mutation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Kill dividing cells (chemo)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Reduce population non-selectively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Selectively restore surveillance gate (p53 restoration, PTEN reactivation)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Block oncogene (targeted)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 the rogue proliferative signal (KRAS, EGFR)</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Prevent oncogene activation: reduce somatic mutation rate (mutagen reduction, DNA repair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Restore immune gate (ICB)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Re-open the immune checkpoint gate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Ensure immune surveillance fires first: increase effective TMB recognition, engineer T cells for shared epitopes; address cortisol suppression upstream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Anti-estrogen / ADT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 direct proliferative drive through ERα or AR</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Combine with CDK4/6 inhibition downstream; address mTOR/PI3K arm when PTEN loss co-occurs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Beta-blockers (if adopted)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Block NE → β-AR → angiogenesis/invasion/anoikis cascade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Reduce sympathetic activation upstream: HPA normalization, HRV-guided stress reduction, exercise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Psycho-oncology support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Address psychological distress as quality-of-life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Address as mechanistic upstream of NK cell cytotoxicity, cortisol-mediated surveillance suppression, and HPA brake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Exercise prescription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Lifestyle adjunct for fitness and wellbeing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Multi-channel immune surveillance support: NK mobilization, cortisol reduction, AMPK/mTOR competition, cholinergic reflex activation — simultaneously and non-redundantly</w:t>
            </w:r>
          </w:p>
        </w:tc>
      </w:tr>
    </w:tbl>
    <w:p>
      <w:r>
        <w:t xml:space="preserve"/>
      </w:r>
    </w:p>
    <w:p>
      <w:pPr>
        <w:pStyle w:val="Heading2"/>
      </w:pPr>
      <w:r>
        <w:rPr>
          <w:b/>
          <w:bCs/>
        </w:rPr>
        <w:t xml:space="preserve">§9.2 Testable Predictions</w:t>
      </w:r>
    </w:p>
    <w:p>
      <w:pPr>
        <w:spacing w:after="160"/>
      </w:pPr>
      <w:r>
        <w:t xml:space="preserve">P1 and P6 follow directly from the surveillance threshold structure and would be less naturally generated by standard pathway reasoning alone. P2–P5 are mechanistically grounded by the cascade analysis and are consistent with the framework, though they could also be motivated by standard systems oncology reasoning independently. P7 is new to this version.</w:t>
      </w:r>
    </w:p>
    <w:p>
      <w:pPr>
        <w:pStyle w:val="ListParagraph"/>
        <w:numPr>
          <w:ilvl w:val="0"/>
          <w:numId w:val="2"/>
        </w:numPr>
      </w:pPr>
      <w:r>
        <w:t xml:space="preserve">P1 — TMB threshold: the threshold logic predicts a sharp inflection in ICB response probability near TMB_c, with near-zero response rates below it regardless of PD-L1 expression. Testable against large multi-cancer ICB datasets stratified by TMB.</w:t>
      </w:r>
    </w:p>
    <w:p>
      <w:pPr>
        <w:pStyle w:val="ListParagraph"/>
        <w:numPr>
          <w:ilvl w:val="0"/>
          <w:numId w:val="2"/>
        </w:numPr>
      </w:pPr>
      <w:r>
        <w:t xml:space="preserve">P2 — Stress biomarkers predict immune infiltrate: patients with high cortisol AUC and low HRV should have reduced tumor immune infiltrate (lower CD8+ T cell and NK cell density), controlling for treatment intensity.</w:t>
      </w:r>
    </w:p>
    <w:p>
      <w:pPr>
        <w:pStyle w:val="ListParagraph"/>
        <w:numPr>
          <w:ilvl w:val="0"/>
          <w:numId w:val="2"/>
        </w:numPr>
      </w:pPr>
      <w:r>
        <w:t xml:space="preserve">P3 — Beta-blocker survival signal: prospective randomized trials powered for survival endpoints in ER-positive breast cancer, prostate cancer, and melanoma would resolve the heterogeneous retrospective signal.</w:t>
      </w:r>
    </w:p>
    <w:p>
      <w:pPr>
        <w:pStyle w:val="ListParagraph"/>
        <w:numPr>
          <w:ilvl w:val="0"/>
          <w:numId w:val="2"/>
        </w:numPr>
      </w:pPr>
      <w:r>
        <w:t xml:space="preserve">P4 — Aprepitant tumor signal: stratified EHR analysis of cancer patients receiving aprepitant should control for treatment intensity and comorbidity before any survival signal can be attributed to NK1 blockade specifically. Pharmacokinetic gap must be resolved first.</w:t>
      </w:r>
    </w:p>
    <w:p>
      <w:pPr>
        <w:pStyle w:val="ListParagraph"/>
        <w:numPr>
          <w:ilvl w:val="0"/>
          <w:numId w:val="2"/>
        </w:numPr>
      </w:pPr>
      <w:r>
        <w:t xml:space="preserve">P5 — CRF glymphatic mechanism: cancer patients should show elevated CSF adenosine correlating with fatigue severity and post-exertional decrement; this correlation should be stronger for NE-pathway disruption markers than for inflammatory markers alone.</w:t>
      </w:r>
    </w:p>
    <w:p>
      <w:pPr>
        <w:pStyle w:val="ListParagraph"/>
        <w:numPr>
          <w:ilvl w:val="0"/>
          <w:numId w:val="2"/>
        </w:numPr>
      </w:pPr>
      <w:r>
        <w:t xml:space="preserve">P6 — Suppressor landscape predicts hit count: once individual barrier contributions are independently measured from binding energetics (the open gap in §10), this becomes a testable prediction — cancers with known suppressor landscapes should have N_hits consistent with the number of suppressors required to erode the quiescence barrier. Not testable in current form; conditional on closing the measurement gap first.</w:t>
      </w:r>
    </w:p>
    <w:p>
      <w:pPr>
        <w:pStyle w:val="ListParagraph"/>
        <w:numPr>
          <w:ilvl w:val="0"/>
          <w:numId w:val="2"/>
        </w:numPr>
      </w:pPr>
      <w:r>
        <w:t xml:space="preserve">P7 — Exercise and immune infiltrate: patients enrolled in structured exercise programs during treatment should show higher CD8+ T cell and NK cell tumor infiltrate, lower kynurenine:tryptophan ratio, lower cortisol AUC, and higher HRV compared to sedentary controls, with all four measured simultaneously in a single study.</w:t>
      </w:r>
    </w:p>
    <w:p>
      <w:r>
        <w:t xml:space="preserve"/>
      </w:r>
    </w:p>
    <w:p>
      <w:pPr>
        <w:pStyle w:val="Heading1"/>
      </w:pPr>
      <w:r>
        <w:rPr>
          <w:b/>
          <w:bCs/>
        </w:rPr>
        <w:t xml:space="preserve">§10 — Open Gaps</w:t>
      </w:r>
    </w:p>
    <w:p>
      <w:pPr>
        <w:pStyle w:val="ListParagraph"/>
        <w:numPr>
          <w:ilvl w:val="0"/>
          <w:numId w:val="2"/>
        </w:numPr>
      </w:pPr>
      <w:r>
        <w:t xml:space="preserve">Independent measurement of individual suppressor barrier contributions from binding energetics and network topology. Currently estimated from known biology; quantitative measurement would allow forward prediction of N_hits rather than structural consistency check.</w:t>
      </w:r>
    </w:p>
    <w:p>
      <w:pPr>
        <w:pStyle w:val="ListParagraph"/>
        <w:numPr>
          <w:ilvl w:val="0"/>
          <w:numId w:val="2"/>
        </w:numPr>
      </w:pPr>
      <w:r>
        <w:t xml:space="preserve">Quantitative prediction of TMB_c from neoantigen recognition probability distributions. Requires peptide-MHC binding energy distributions across the tumor neoantigen landscape; the current threshold is empirically established, not forward-derived.</w:t>
      </w:r>
    </w:p>
    <w:p>
      <w:pPr>
        <w:pStyle w:val="ListParagraph"/>
        <w:numPr>
          <w:ilvl w:val="0"/>
          <w:numId w:val="2"/>
        </w:numPr>
      </w:pPr>
      <w:r>
        <w:t xml:space="preserve">Kynurenine:tryptophan ratio and QUIN:KYNA ratio as routine oncology biomarkers. These are not currently measured in standard care and would be needed to directly monitor the IDO/kynurenine arm of the tumor-brain cascade.</w:t>
      </w:r>
    </w:p>
    <w:p>
      <w:pPr>
        <w:pStyle w:val="ListParagraph"/>
        <w:numPr>
          <w:ilvl w:val="0"/>
          <w:numId w:val="2"/>
        </w:numPr>
      </w:pPr>
      <w:r>
        <w:t xml:space="preserve">CSF adenosine measurement in cancer patients: the glymphatic-adenosine model for CRF requires direct measurement to distinguish from confounded correlates, and to determine whether the NE_tonic arm (LC activation) or the inflammatory arm (microglial activation) drives adenosine accumulation.</w:t>
      </w:r>
    </w:p>
    <w:p>
      <w:pPr>
        <w:pStyle w:val="ListParagraph"/>
        <w:numPr>
          <w:ilvl w:val="0"/>
          <w:numId w:val="2"/>
        </w:numPr>
      </w:pPr>
      <w:r>
        <w:t xml:space="preserve">The four exercise-surveillance channels (NK mobilization, HPA/cortisol normalization, AMPK/mTOR competition, cholinergic reflex) have never been simultaneously measured with tumor immune infiltrate in a single human study. The quantitative contribution of each channel remains uncharacterized.</w:t>
      </w:r>
    </w:p>
    <w:p>
      <w:pPr>
        <w:pStyle w:val="ListParagraph"/>
        <w:numPr>
          <w:ilvl w:val="0"/>
          <w:numId w:val="2"/>
        </w:numPr>
      </w:pPr>
      <w:r>
        <w:t xml:space="preserve">Aprepitant pharmacokinetics in tumor microenvironment: NK1 occupancy at standard antiemetic dosing is uncharacterized. Preclinical anti-tumor concentrations may exceed clinically achievable levels; this gap must be resolved before prospective trial design.</w:t>
      </w:r>
    </w:p>
    <w:p>
      <w:pPr>
        <w:pStyle w:val="ListParagraph"/>
        <w:numPr>
          <w:ilvl w:val="0"/>
          <w:numId w:val="2"/>
        </w:numPr>
      </w:pPr>
      <w:r>
        <w:t xml:space="preserve">Explicit cascade modeling of the tumor-brain axis: at what tumor cytokine level does microglial IDO activation and QUIN production become self-sustaining after tumor removal? The threshold for neuroinflammation persistence is not characterized.</w:t>
      </w:r>
    </w:p>
    <w:p>
      <w:pPr>
        <w:pStyle w:val="ListParagraph"/>
        <w:numPr>
          <w:ilvl w:val="0"/>
          <w:numId w:val="2"/>
        </w:numPr>
      </w:pPr>
      <w:r>
        <w:t xml:space="preserve">Confounding in observational cascade data: stress, beta-blocker use, aprepitant exposure, and exercise all correlate with other clinical variables. Mendelian randomization for HPA axis variants, randomized beta-blocker trials, stratified aprepitant EHR analysis, and exercise RCTs powered for immune infiltrate endpoints are needed.</w:t>
      </w:r>
    </w:p>
    <w:p>
      <w:r>
        <w:t xml:space="preserve"/>
      </w:r>
    </w:p>
    <w:p>
      <w:pPr>
        <w:pStyle w:val="Heading1"/>
      </w:pPr>
      <w:r>
        <w:rPr>
          <w:b/>
          <w:bCs/>
        </w:rPr>
        <w:t xml:space="preserve">§10.5 — Acknowledgments</w:t>
      </w:r>
    </w:p>
    <w:p>
      <w:pPr>
        <w:spacing w:after="160"/>
      </w:pPr>
      <w:r>
        <w:t xml:space="preserve">This work originated as part of an independent project to build a biologically accurate cross-system simulation of the brain and body. The problem that motivated it is the same problem this paper addresses: most biological research is siloed, and a system that models the whole requires the connections that siloed literature does not provide. These papers are an attempt to make those connections explicit. The biological claims are derived entirely from the published primary literature cited in the references; the contribution is the synthesis. Research files associated with this project are publicly available at github.com/Sykopompos/Research-stuff. Tools used: Claude.ai for writing and research synthesis; citation verification cross-checked against primary literature throughout. AI-generated content is verified independently against primary sources — claims that do not hold up are corrected or cut.</w:t>
      </w:r>
    </w:p>
    <w:p>
      <w:r>
        <w:t xml:space="preserve"/>
      </w:r>
    </w:p>
    <w:p>
      <w:pPr>
        <w:pStyle w:val="Heading1"/>
      </w:pPr>
      <w:r>
        <w:rPr>
          <w:b/>
          <w:bCs/>
        </w:rPr>
        <w:t xml:space="preserve">§11 — References</w:t>
      </w:r>
    </w:p>
    <w:p>
      <w:pPr>
        <w:spacing w:after="60"/>
      </w:pPr>
      <w:r>
        <w:rPr>
          <w:sz w:val="18"/>
          <w:szCs w:val="18"/>
        </w:rPr>
        <w:t xml:space="preserve">[1] D. Hanahan and R.A. Weinberg. The hallmarks of cancer. Cell 100 (2000) 57–70.</w:t>
      </w:r>
    </w:p>
    <w:p>
      <w:pPr>
        <w:spacing w:after="60"/>
      </w:pPr>
      <w:r>
        <w:rPr>
          <w:sz w:val="18"/>
          <w:szCs w:val="18"/>
        </w:rPr>
        <w:t xml:space="preserve">[2] D. Hanahan and R.A. Weinberg. Hallmarks of cancer: the next generation. Cell 144 (2011) 646–674.</w:t>
      </w:r>
    </w:p>
    <w:p>
      <w:pPr>
        <w:spacing w:after="60"/>
      </w:pPr>
      <w:r>
        <w:rPr>
          <w:sz w:val="18"/>
          <w:szCs w:val="18"/>
        </w:rPr>
        <w:t xml:space="preserve">[3] D. Hanahan. Hallmarks of cancer: new dimensions. Cancer Discov 12 (2022) 31–46.</w:t>
      </w:r>
    </w:p>
    <w:p>
      <w:pPr>
        <w:spacing w:after="60"/>
      </w:pPr>
      <w:r>
        <w:rPr>
          <w:sz w:val="18"/>
          <w:szCs w:val="18"/>
        </w:rPr>
        <w:t xml:space="preserve">[4] B. Vogelstein et al. Genetic alterations during colorectal-tumor development. NEJM 319 (1988) 525–532.</w:t>
      </w:r>
    </w:p>
    <w:p>
      <w:pPr>
        <w:spacing w:after="60"/>
      </w:pPr>
      <w:r>
        <w:rPr>
          <w:sz w:val="18"/>
          <w:szCs w:val="18"/>
        </w:rPr>
        <w:t xml:space="preserve">[5] B. Vogelstein et al. Cancer genome landscapes. Science 339 (2013) 1546–1558.</w:t>
      </w:r>
    </w:p>
    <w:p>
      <w:pPr>
        <w:spacing w:after="60"/>
      </w:pPr>
      <w:r>
        <w:rPr>
          <w:sz w:val="18"/>
          <w:szCs w:val="18"/>
        </w:rPr>
        <w:t xml:space="preserve">[6] A.G. Knudson. Mutation and cancer: statistical study of retinoblastoma. PNAS 68 (1971) 820–823.</w:t>
      </w:r>
    </w:p>
    <w:p>
      <w:pPr>
        <w:spacing w:after="60"/>
      </w:pPr>
      <w:r>
        <w:rPr>
          <w:sz w:val="18"/>
          <w:szCs w:val="18"/>
        </w:rPr>
        <w:t xml:space="preserve">[7] O. Warburg. On the origin of cancer cells. Science 123 (1956) 309–314.</w:t>
      </w:r>
    </w:p>
    <w:p>
      <w:pPr>
        <w:spacing w:after="60"/>
      </w:pPr>
      <w:r>
        <w:rPr>
          <w:sz w:val="18"/>
          <w:szCs w:val="18"/>
        </w:rPr>
        <w:t xml:space="preserve">[8] M. Laplante and D.M. Sabatini. mTOR signaling in growth control and disease. Cell 149 (2012) 274–293.</w:t>
      </w:r>
    </w:p>
    <w:p>
      <w:pPr>
        <w:spacing w:after="60"/>
      </w:pPr>
      <w:r>
        <w:rPr>
          <w:sz w:val="18"/>
          <w:szCs w:val="18"/>
        </w:rPr>
        <w:t xml:space="preserve">[9] J.R. Brahmer et al. Safety and activity of anti-PD-L1 antibody in patients with advanced cancer. NEJM 366 (2012) 2455–2465.</w:t>
      </w:r>
    </w:p>
    <w:p>
      <w:pPr>
        <w:spacing w:after="60"/>
      </w:pPr>
      <w:r>
        <w:rPr>
          <w:sz w:val="18"/>
          <w:szCs w:val="18"/>
        </w:rPr>
        <w:t xml:space="preserve">[10] M. Yarchoan et al. Tumor mutational burden and response to PD-1 blockade. NEJM Evid 1 (2022) EVIDoa2200070.</w:t>
      </w:r>
    </w:p>
    <w:p>
      <w:pPr>
        <w:spacing w:after="60"/>
      </w:pPr>
      <w:r>
        <w:rPr>
          <w:sz w:val="18"/>
          <w:szCs w:val="18"/>
        </w:rPr>
        <w:t xml:space="preserve">[11] A.H. Miller et al. Cytokine targets in the brain: impact on neurotransmitters and neurocircuits. Depress Anxiety 25 (2008) 488–495.</w:t>
      </w:r>
    </w:p>
    <w:p>
      <w:pPr>
        <w:spacing w:after="60"/>
      </w:pPr>
      <w:r>
        <w:rPr>
          <w:sz w:val="18"/>
          <w:szCs w:val="18"/>
        </w:rPr>
        <w:t xml:space="preserve">[12] J.E. Bower. Cancer-related fatigue — mechanisms, risk factors, and treatments. Nat Rev Clin Oncol 11 (2014) 597–609.</w:t>
      </w:r>
    </w:p>
    <w:p>
      <w:pPr>
        <w:spacing w:after="60"/>
      </w:pPr>
      <w:r>
        <w:rPr>
          <w:sz w:val="18"/>
          <w:szCs w:val="18"/>
        </w:rPr>
        <w:t xml:space="preserve">[13] S.K. Lutgendorf et al. Social influences on clinical outcomes of patients with ovarian cancer. J Clin Oncol 30 (2012) 2885–2893.</w:t>
      </w:r>
    </w:p>
    <w:p>
      <w:pPr>
        <w:spacing w:after="60"/>
      </w:pPr>
      <w:r>
        <w:rPr>
          <w:sz w:val="18"/>
          <w:szCs w:val="18"/>
        </w:rPr>
        <w:t xml:space="preserve">[14] S.W. Cole et al. Sympathetic nervous system regulation of the tumour microenvironment. Nat Rev Cancer 15 (2015) 563–572.</w:t>
      </w:r>
    </w:p>
    <w:p>
      <w:pPr>
        <w:spacing w:after="60"/>
      </w:pPr>
      <w:r>
        <w:rPr>
          <w:sz w:val="18"/>
          <w:szCs w:val="18"/>
        </w:rPr>
        <w:t xml:space="preserve">[15] C. Eng. PTEN: one gene, many syndromes. Hum Mutat 22 (2003) 183–198.</w:t>
      </w:r>
    </w:p>
    <w:p>
      <w:pPr>
        <w:spacing w:after="60"/>
      </w:pPr>
      <w:r>
        <w:rPr>
          <w:sz w:val="18"/>
          <w:szCs w:val="18"/>
        </w:rPr>
        <w:t xml:space="preserve">[16] R.S. Finn et al. (PALOMA-2) Palbociclib and letrozole in advanced breast cancer. NEJM 375 (2016) 1925–1936. [Phase III CDK4/6 inhibitor + letrozole, ER-positive advanced breast cancer]</w:t>
      </w:r>
    </w:p>
    <w:p>
      <w:pPr>
        <w:spacing w:after="60"/>
      </w:pPr>
      <w:r>
        <w:rPr>
          <w:sz w:val="18"/>
          <w:szCs w:val="18"/>
        </w:rPr>
        <w:t xml:space="preserve">[17] K. Fizazi et al. Enzalutamide with standard first-line therapy in metastatic prostate cancer. NEJM 381 (2019) 1311–1323.</w:t>
      </w:r>
    </w:p>
    <w:p>
      <w:pPr>
        <w:spacing w:after="60"/>
      </w:pPr>
      <w:r>
        <w:rPr>
          <w:sz w:val="18"/>
          <w:szCs w:val="18"/>
        </w:rPr>
        <w:t xml:space="preserve">[18] D.G. Payan et al. Substance P and immunoregulation. Fed Proc 42 (1983) 2995–2998.</w:t>
      </w:r>
    </w:p>
    <w:p>
      <w:pPr>
        <w:spacing w:after="60"/>
      </w:pPr>
      <w:r>
        <w:rPr>
          <w:sz w:val="18"/>
          <w:szCs w:val="18"/>
        </w:rPr>
        <w:t xml:space="preserve">[19] B.W. Renz et al. β2 adrenergic-neurotrophin feedforward loop promotes pancreatic cancer. Cancer Cell 33 (2018) 75–90.</w:t>
      </w:r>
    </w:p>
    <w:p>
      <w:pPr>
        <w:spacing w:after="60"/>
      </w:pPr>
      <w:r>
        <w:rPr>
          <w:sz w:val="18"/>
          <w:szCs w:val="18"/>
        </w:rPr>
        <w:t xml:space="preserve">[20] H. de Jonge et al. Vagal nerve stimulation in inflammation. Nat Med 6 (2000) 797–798.</w:t>
      </w:r>
    </w:p>
    <w:p>
      <w:pPr>
        <w:spacing w:after="60"/>
      </w:pPr>
      <w:r>
        <w:rPr>
          <w:sz w:val="18"/>
          <w:szCs w:val="18"/>
        </w:rPr>
        <w:t xml:space="preserve">[21] R. Dantzer et al. From inflammation to sickness and depression: when the immune system subjugates the brain. Nat Rev Neurosci 9 (2008) 46–56.</w:t>
      </w:r>
    </w:p>
    <w:p>
      <w:pPr>
        <w:spacing w:after="60"/>
      </w:pPr>
      <w:r>
        <w:rPr>
          <w:sz w:val="18"/>
          <w:szCs w:val="18"/>
        </w:rPr>
        <w:t xml:space="preserve">[22] R. Capuron and A.H. Miller. Immune system to brain signaling: neuropsychopharmacological implications. Pharmacol Ther 130 (2011) 226–238.</w:t>
      </w:r>
    </w:p>
    <w:p>
      <w:pPr>
        <w:spacing w:after="60"/>
      </w:pPr>
      <w:r>
        <w:rPr>
          <w:sz w:val="18"/>
          <w:szCs w:val="18"/>
        </w:rPr>
        <w:t xml:space="preserve">[23] D.H. Munn and A.L. Mellor. IDO in the tumor microenvironment: inflammation, counter-regulation, and tolerance. Trends Immunol 37 (2016) 193–207.</w:t>
      </w:r>
    </w:p>
    <w:p>
      <w:pPr>
        <w:spacing w:after="60"/>
      </w:pPr>
      <w:r>
        <w:rPr>
          <w:sz w:val="18"/>
          <w:szCs w:val="18"/>
        </w:rPr>
        <w:t xml:space="preserve">[24] M. Platten et al. Tryptophan metabolism as a common therapeutic target in cancer, neurodegeneration and beyond. Nat Rev Drug Discov 18 (2019) 379–401.</w:t>
      </w:r>
    </w:p>
    <w:p>
      <w:pPr>
        <w:spacing w:after="60"/>
      </w:pPr>
      <w:r>
        <w:rPr>
          <w:sz w:val="18"/>
          <w:szCs w:val="18"/>
        </w:rPr>
        <w:t xml:space="preserve">[25] K.J. Tracey. The inflammatory reflex. Nature 420 (2002) 853–859.</w:t>
      </w:r>
    </w:p>
    <w:p>
      <w:pPr>
        <w:spacing w:after="60"/>
      </w:pPr>
      <w:r>
        <w:rPr>
          <w:sz w:val="18"/>
          <w:szCs w:val="18"/>
        </w:rPr>
        <w:t xml:space="preserve">[26] V.A. Pavlov and K.J. Tracey. Neural regulation of immunity: molecular mechanisms and clinical translation. Nat Neurosci 20 (2017) 156–166.</w:t>
      </w:r>
    </w:p>
    <w:p>
      <w:pPr>
        <w:spacing w:after="60"/>
      </w:pPr>
      <w:r>
        <w:rPr>
          <w:sz w:val="18"/>
          <w:szCs w:val="18"/>
        </w:rPr>
        <w:t xml:space="preserve">[27] L. Pedersen and B.K. Pedersen. Exercise as medicine — evidence for prescribing exercise as therapy in 26 different chronic diseases. Scand J Med Sci Sports 25 (2015) 1–72.</w:t>
      </w:r>
    </w:p>
    <w:p>
      <w:pPr>
        <w:spacing w:after="60"/>
      </w:pPr>
      <w:r>
        <w:rPr>
          <w:sz w:val="18"/>
          <w:szCs w:val="18"/>
        </w:rPr>
        <w:t xml:space="preserve">[28] C.M. Ulrich et al. Exercise and cancer prevention. Am J Lifestyle Med 12 (2017) 30–37.</w:t>
      </w:r>
    </w:p>
    <w:p>
      <w:pPr>
        <w:spacing w:after="60"/>
      </w:pPr>
      <w:r>
        <w:rPr>
          <w:sz w:val="18"/>
          <w:szCs w:val="18"/>
        </w:rPr>
        <w:t xml:space="preserve">[29] K.S. Khansari et al. Effects of stress on the immune system. Immunol Today 11 (1990) 170–175.</w:t>
      </w:r>
    </w:p>
    <w:p>
      <w:pPr>
        <w:spacing w:after="60"/>
      </w:pPr>
      <w:r>
        <w:rPr>
          <w:sz w:val="18"/>
          <w:szCs w:val="18"/>
        </w:rPr>
        <w:t xml:space="preserve">[30] D.L. Felten et al. Noradrenergic sympathetic neural interactions with the immune system: structure and function. Immunol Rev 100 (1987) 225–260.</w:t>
      </w:r>
    </w:p>
    <w:p>
      <w:pPr>
        <w:spacing w:after="60"/>
      </w:pPr>
      <w:r>
        <w:rPr>
          <w:sz w:val="18"/>
          <w:szCs w:val="18"/>
        </w:rPr>
        <w:t xml:space="preserve">[31] C. Fiuza-Luces et al. The effect of physical exercise on anticancer immunity. Nat Rev Immunol 24 (2024) 282–293.</w:t>
      </w:r>
    </w:p>
    <w:p>
      <w:pPr>
        <w:spacing w:after="60"/>
      </w:pPr>
      <w:r>
        <w:rPr>
          <w:sz w:val="18"/>
          <w:szCs w:val="18"/>
        </w:rPr>
        <w:t xml:space="preserve">[32] I.L. Gomes-Santos et al. Exercise training improves tumor control by increasing CD8+ T-cell infiltration via CXCR3 signalling. Cancer Immunol Res 9 (2021) 765–778.</w:t>
      </w:r>
    </w:p>
    <w:p>
      <w:pPr>
        <w:spacing w:after="60"/>
      </w:pPr>
      <w:r>
        <w:rPr>
          <w:sz w:val="18"/>
          <w:szCs w:val="18"/>
        </w:rPr>
        <w:t xml:space="preserve">[33] C. Scheiermann et al. Adrenergic regulation of intravascular leukocyte trafficking. Nat Med 18 (2012) 945–949.</w:t>
      </w:r>
    </w:p>
    <w:p>
      <w:pPr>
        <w:spacing w:after="60"/>
      </w:pPr>
      <w:r>
        <w:rPr>
          <w:sz w:val="18"/>
          <w:szCs w:val="18"/>
        </w:rPr>
        <w:t xml:space="preserve">[34] Y. Katzenelenbogen et al. Coupled scRNA-Seq and intracellular protein activity reveal an immunosuppressive role of TREM2 in cancer. Cell 182 (2020) 872–885.</w:t>
      </w:r>
    </w:p>
    <w:p>
      <w:pPr>
        <w:spacing w:after="60"/>
      </w:pPr>
      <w:r>
        <w:rPr>
          <w:sz w:val="18"/>
          <w:szCs w:val="18"/>
        </w:rPr>
        <w:t xml:space="preserve">[35] M. Binnewies et al. Targeting TREM2 on tumor-associated macrophages enhances immunotherapy. Cell Rep 37 (2021) 109844.</w:t>
      </w:r>
    </w:p>
    <w:p>
      <w:pPr>
        <w:spacing w:after="60"/>
      </w:pPr>
      <w:r>
        <w:rPr>
          <w:sz w:val="18"/>
          <w:szCs w:val="18"/>
        </w:rPr>
        <w:t xml:space="preserve">[36] R. Haldar et al. Preoperative β-blockade with propranolol reduces biomarkers of metastasis in breast cancer: a Phase II randomized trial. Clin Cancer Res 26 (2020) 1803–1813. [n=60 triple-blind RCT; propranolol downregulated mesenchymal gene expression, improved NK cell and dendritic cell recruitment]</w:t>
      </w:r>
    </w:p>
    <w:p>
      <w:pPr>
        <w:spacing w:after="60"/>
      </w:pPr>
      <w:r>
        <w:rPr>
          <w:sz w:val="18"/>
          <w:szCs w:val="18"/>
        </w:rPr>
        <w:t xml:space="preserve">[37] I. Ricon-Becker et al. (COMPIT trial) Perioperative propranolol and etodolac: pilot RCT, 5-year disease-free survival improvement in colorectal cancer. Eur J Surg Oncol 49 (2023) 426–432.</w:t>
      </w:r>
    </w:p>
    <w:p>
      <w:pPr>
        <w:spacing w:after="60"/>
      </w:pPr>
      <w:r>
        <w:rPr>
          <w:sz w:val="18"/>
          <w:szCs w:val="18"/>
        </w:rPr>
        <w:t xml:space="preserve">[38] S.E. Sephton et al. Diurnal cortisol rhythm as a predictor of breast cancer survival. JNCI 92 (2000) 994–1000. [Flat cortisol slope predicts earlier mortality; NK suppression as mediator; n=104 metastatic breast cancer, 7-year follow-up]</w:t>
      </w:r>
    </w:p>
    <w:p>
      <w:pPr>
        <w:spacing w:after="60"/>
      </w:pPr>
      <w:r>
        <w:rPr>
          <w:sz w:val="18"/>
          <w:szCs w:val="18"/>
        </w:rPr>
        <w:t xml:space="preserve">[39] C. Wang et al. (Scheiermann lab) Dendritic cells direct circadian anti-tumour immune responses. Nature 614 (2023) 136–143.</w:t>
      </w:r>
    </w:p>
    <w:p>
      <w:pPr>
        <w:spacing w:after="60"/>
      </w:pPr>
      <w:r>
        <w:rPr>
          <w:sz w:val="18"/>
          <w:szCs w:val="18"/>
        </w:rPr>
        <w:t xml:space="preserve">[40] R. Pick et al. (Scheiermann lab) Time-of-day-dependent trafficking and function of leukocyte subsets. Trends Immunol 40 (2019) 524–537.</w:t>
      </w:r>
    </w:p>
    <w:p>
      <w:pPr>
        <w:spacing w:after="60"/>
      </w:pPr>
      <w:r>
        <w:rPr>
          <w:sz w:val="18"/>
          <w:szCs w:val="18"/>
        </w:rPr>
        <w:t xml:space="preserve">[41] R. Schwarcz et al. Kynurenines in the mammalian brain: when physiology meets pathology. Nat Rev Neurosci 13 (2012) 465–477. [QUIN/NMDA excitotoxicity; KMO/QUIN vs KAT/KYNA balance]</w:t>
      </w:r>
    </w:p>
    <w:p>
      <w:pPr>
        <w:spacing w:after="60"/>
      </w:pPr>
      <w:r>
        <w:rPr>
          <w:sz w:val="18"/>
          <w:szCs w:val="18"/>
        </w:rPr>
        <w:t xml:space="preserve">[42] R.D. Stowell et al. Noradrenergic signaling in the wakeful state inhibits microglial surveillance and synaptic plasticity. Nat Neurosci 22 (2019) 1782–1792. [NE/β2-AR inhibits microglial motility and process surveillance]</w:t>
      </w:r>
    </w:p>
    <w:p>
      <w:pPr>
        <w:spacing w:after="60"/>
      </w:pPr>
      <w:r>
        <w:rPr>
          <w:sz w:val="18"/>
          <w:szCs w:val="18"/>
        </w:rPr>
        <w:t xml:space="preserve">[43] M. Munoz and R. Covenas. Involvement of substance P and the NK-1 receptor in human pathology. Amino Acids 46 (2014) 1727–1750. [NK1R expression in multiple tumor types; preclinical anti-tumor evidence for NK1 blockade]</w:t>
      </w:r>
    </w:p>
    <w:p>
      <w:r>
        <w:t xml:space="preserve"/>
      </w:r>
    </w:p>
    <w:p>
      <w:pPr>
        <w:jc w:val="center"/>
      </w:pPr>
      <w:r>
        <w:rPr>
          <w:i/>
          <w:iCs/>
          <w:sz w:val="18"/>
          <w:szCs w:val="18"/>
        </w:rPr>
        <w:t xml:space="preserve">v2.0 — March 2026 — 43 references. [36] corrected to Haldar Clin Cancer Res 2020 breast cancer RCT (n=60); abstract Vogelstein qualifier softened; §2.1 pathway qualifier corrected. Clinical imperative language reframed as predictions pending prospective validation. Inline citations added throughout: hallmarks [1-3], Vogelstein [4,5], Eng PTEN [15], brain cascade [11,21,22], IDO [23,24], CRF [12], Payan/SP [18,19], vagal reflex [20,25,26], exercise epidemiology [27,28], cortisol/NK [29,30], Sephton biomarker [38]. E-cadherin mTOR corrected; aprepitant duplication removed; Opitz ref replaced with Munn/Mellor IDO; Platten initial corrected; DIM defined in §4.1; [33] cited in body; E2 callout rewritten; beta-blocker callout updated; P6 reframed as conditional; suppressor table caption qualified. I/we corrected to I throughout; acknowledgments updated to reflect GitHub repo and independent project context; callout boxes tightened; clonal evolution framing added via companion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D6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2026-03-16T20:45:30.817Z</dcterms:created>
  <dcterms:modified xsi:type="dcterms:W3CDTF">2026-03-16T20:45:30.818Z</dcterms:modified>
</cp:coreProperties>
</file>

<file path=docProps/custom.xml><?xml version="1.0" encoding="utf-8"?>
<Properties xmlns="http://schemas.openxmlformats.org/officeDocument/2006/custom-properties" xmlns:vt="http://schemas.openxmlformats.org/officeDocument/2006/docPropsVTypes"/>
</file>