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left"/>
      </w:pPr>
      <w:r>
        <w:rPr>
          <w:rFonts w:ascii="Arial" w:cs="Arial" w:eastAsia="Arial" w:hAnsi="Arial"/>
          <w:b/>
          <w:bCs/>
          <w:color w:val="1F3864"/>
          <w:sz w:val="52"/>
          <w:szCs w:val="52"/>
        </w:rPr>
        <w:t xml:space="preserve">Tourette Syndrome</w:t>
      </w:r>
    </w:p>
    <w:p>
      <w:pPr>
        <w:spacing w:before="60" w:after="80"/>
      </w:pPr>
      <w:r>
        <w:rPr>
          <w:rFonts w:ascii="Arial" w:cs="Arial" w:eastAsia="Arial" w:hAnsi="Arial"/>
          <w:i/>
          <w:iCs/>
          <w:color w:val="444444"/>
          <w:sz w:val="28"/>
          <w:szCs w:val="28"/>
        </w:rPr>
        <w:t xml:space="preserve">Gate Failure, the Premonitory Urge, and the Neurochemical Architecture of Tic Disorders</w:t>
      </w:r>
    </w:p>
    <w:p>
      <w:pPr>
        <w:spacing w:before="80" w:after="80"/>
      </w:pPr>
      <w:r>
        <w:t xml:space="preserve"/>
      </w:r>
    </w:p>
    <w:p>
      <w:pPr>
        <w:spacing w:before="40" w:after="40"/>
      </w:pPr>
      <w:r>
        <w:rPr>
          <w:rFonts w:ascii="Arial" w:cs="Arial" w:eastAsia="Arial" w:hAnsi="Arial"/>
          <w:color w:val="555555"/>
          <w:sz w:val="24"/>
          <w:szCs w:val="24"/>
        </w:rPr>
        <w:t xml:space="preserve">M. Finnegan · ORCID: 0009-0009-4921-7722</w:t>
      </w:r>
    </w:p>
    <w:p>
      <w:pPr>
        <w:spacing w:before="40" w:after="40"/>
      </w:pPr>
      <w:r>
        <w:rPr>
          <w:rFonts w:ascii="Arial" w:cs="Arial" w:eastAsia="Arial" w:hAnsi="Arial"/>
          <w:color w:val="777777"/>
          <w:sz w:val="22"/>
          <w:szCs w:val="22"/>
        </w:rPr>
        <w:t xml:space="preserve">Version 2.13 · March 2026 · Preprint · Not yet peer reviewed</w:t>
      </w:r>
    </w:p>
    <w:p>
      <w:pPr>
        <w:spacing w:before="40" w:after="40"/>
      </w:pPr>
      <w:r>
        <w:rPr>
          <w:rFonts w:ascii="Arial" w:cs="Arial" w:eastAsia="Arial" w:hAnsi="Arial"/>
          <w:color w:val="2E5090"/>
          <w:sz w:val="22"/>
          <w:szCs w:val="22"/>
        </w:rPr>
        <w:t xml:space="preserve">github.com/Sykopompos/Research-Papers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Abstract</w:t>
      </w:r>
    </w:p>
    <w:p>
      <w:pPr>
        <w:spacing w:before="80" w:after="80"/>
        <w:jc w:val="left"/>
      </w:pPr>
      <w:r>
        <w:rPr>
          <w:rFonts w:ascii="Arial" w:cs="Arial" w:eastAsia="Arial" w:hAnsi="Arial"/>
          <w:sz w:val="24"/>
          <w:szCs w:val="24"/>
        </w:rPr>
        <w:t xml:space="preserve">Tourette syndrome (TS) is a neurodevelopmental condition characterized by motor and vocal tics that are widely understood to involve dysfunction within cortico-striato-thalamo-cortical (CSTC) motor circuits. This paper advances a perspective-based gate-failure model in which tics arise when inhibitory striatal control is insufficient to suppress unwanted motor programs. The aim is not to provide a systematic review or resolve all competing accounts of TS pathophysiology, but to show how findings across circuit anatomy, neurochemistry, urge phenomenology, behavioral treatment, hormonal modulation, and immune mechanisms can be interpreted within a shared mechanistic framework.</w:t>
      </w:r>
    </w:p>
    <w:p>
      <w:pPr>
        <w:spacing w:before="80" w:after="80"/>
        <w:jc w:val="left"/>
      </w:pPr>
      <w:r>
        <w:rPr>
          <w:rFonts w:ascii="Arial" w:cs="Arial" w:eastAsia="Arial" w:hAnsi="Arial"/>
          <w:sz w:val="24"/>
          <w:szCs w:val="24"/>
        </w:rPr>
        <w:t xml:space="preserve">Within this model, altered dopaminergic regulation of the indirect pathway is proposed as one contributor to impaired GABA-mediated suppression of competing motor programs. The premonitory urge — reported by approximately 90% of adult patients at some point in their disease course — is interpreted as an interoceptive signal associated with motor-program escape and propagation toward execution, although the precise mechanistic relationship between urge generation, tic emergence, and their neural substrates remains unresolved. On this account, Comprehensive Behavioral Intervention for Tics (CBIT) is of particular interest because it trains patients to detect the urge and deploy a competing response before tic execution, making it broadly consistent with the proposed circuit model.</w:t>
      </w:r>
    </w:p>
    <w:p>
      <w:pPr>
        <w:spacing w:before="80" w:after="80"/>
        <w:jc w:val="left"/>
      </w:pPr>
      <w:r>
        <w:rPr>
          <w:rFonts w:ascii="Arial" w:cs="Arial" w:eastAsia="Arial" w:hAnsi="Arial"/>
          <w:sz w:val="24"/>
          <w:szCs w:val="24"/>
        </w:rPr>
        <w:t xml:space="preserve">The framework integrates several interacting layers of evidence, including GABAergic inhibitory architecture, dopamine D1/D2 balance, corticostriatal glutamatergic drive, histaminergic and noradrenergic modulation, hormonal influences, and immune-related mechanisms relevant to PANDAS/PANS. The paper also highlights several under-integrated connections across these literatures: possible convergence between CM/PF deep brain stimulation and D2-blocking pharmacology on indirect-pathway regulation; recent single-cell multiomic findings linking interneuron loss, medium spiny neuron metabolic stress, and microglial activation as interacting rather than independent pathologies in severe adult-persistent TS; and a speculative parallel between immune dysregulation in TS and autoimmune conditions in which lymphoid cancer risk has been formally studied. These latter links are presented as hypothesis-generating syntheses rather than established conclusions.</w:t>
      </w:r>
    </w:p>
    <w:p>
      <w:pPr>
        <w:spacing w:before="80" w:after="80"/>
        <w:jc w:val="left"/>
      </w:pPr>
      <w:r>
        <w:rPr>
          <w:rFonts w:ascii="Arial" w:cs="Arial" w:eastAsia="Arial" w:hAnsi="Arial"/>
          <w:sz w:val="24"/>
          <w:szCs w:val="24"/>
        </w:rPr>
        <w:t xml:space="preserve">The treatment section includes discussion of ecopipam and other emerging pharmacologic approaches in the context of the broader circuit framework. As of March 2026, ecopipam has received FDA expanded access authorization following positive Phase 3 (D1AMOND) results and an NDA submission is anticipated; regulatory status should be verified at time of reading. Overall, the paper argues that a gate-failure perspective provides a useful organizing model for relating tic generation, premonitory urge, treatment response, and biological heterogeneity in TS, while leaving substantial room for competing interpretations and future empirical refinement.</w:t>
      </w:r>
    </w:p>
    <w:p>
      <w:pPr>
        <w:spacing w:before="80" w:after="80"/>
        <w:jc w:val="left"/>
      </w:pPr>
      <w:r>
        <w:rPr>
          <w:rFonts w:ascii="Arial" w:cs="Arial" w:eastAsia="Arial" w:hAnsi="Arial"/>
          <w:sz w:val="24"/>
          <w:szCs w:val="24"/>
        </w:rPr>
        <w:t xml:space="preserve">Keywords: Tourette syndrome, tic disorders, CSTC loop, striatal gate failure, premonitory urge, GABA, dopamine D1/D2, VMAT2, ecopipam, CBIT, PANDAS, PANS, norepinephrine, locus coeruleus, testosterone</w:t>
      </w:r>
    </w:p>
    <w:p>
      <w:pPr>
        <w:spacing w:before="80" w:after="80"/>
        <w:jc w:val="left"/>
      </w:pPr>
      <w:r>
        <w:rPr>
          <w:rFonts w:ascii="Arial" w:cs="Arial" w:eastAsia="Arial" w:hAnsi="Arial"/>
          <w:sz w:val="24"/>
          <w:szCs w:val="24"/>
        </w:rPr>
        <w:t xml:space="preserve">Evidence Tier System: All claims are graded using a three-tier system. Tier A: replicated human evidence with confirmed mechanism. Tier B: mechanistically supported; consistent findings in humans or animals; not yet fully replicated. Tier C: author synthesis — component evidence is Tier A/B individually; the integrated claim has not been directly demonstrated. Author syntheses are explicitly flagged in prose. Animal-model-only evidence is noted inline.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§1 — The CSTC Loop: Normal Function and Gate Failure in Tourette’s</w:t>
      </w:r>
    </w:p>
    <w:p>
      <w:pPr>
        <w:spacing w:before="80" w:after="80"/>
        <w:jc w:val="left"/>
      </w:pPr>
      <w:r>
        <w:rPr>
          <w:rFonts w:ascii="Arial" w:cs="Arial" w:eastAsia="Arial" w:hAnsi="Arial"/>
          <w:sz w:val="24"/>
          <w:szCs w:val="24"/>
        </w:rPr>
        <w:t xml:space="preserve">The gate-failure model proposed in this paper begins with the normal function of the basal ganglia as a motor selection filter. Every voluntary movement begins as a motor program in the cortex — a neural activation pattern encoding a specific movement sequence. The cortex generates far more motor programs than should be executed. The basal ganglia, particularly the striatum, act as the selection filter: they determine which programs execute and which are suppressed. This selection is the central gating mechanism of the motor system, and its disruption in specific circuits is what the model proposes as the generator of tics.</w:t>
      </w:r>
    </w:p>
    <w:p>
      <w:pPr>
        <w:spacing w:before="80" w:after="80"/>
        <w:jc w:val="left"/>
      </w:pPr>
      <w:r>
        <w:rPr>
          <w:rFonts w:ascii="Arial" w:cs="Arial" w:eastAsia="Arial" w:hAnsi="Arial"/>
          <w:sz w:val="24"/>
          <w:szCs w:val="24"/>
        </w:rPr>
        <w:t xml:space="preserve">The basal ganglia operate through two opposing pathways that share the same anatomical substrate but produce opposite outputs. The direct pathway (D1 dopamine receptors) opens the gate: striatum → GPi/SNr inhibited → thalamus disinhibited → motor cortex activated. This releases the brake on selected motor programs, allowing them to execute. The indirect pathway (D2 dopamine receptors) closes the gate: striatum (D2 MSNs) → GPe inhibited (GABA) → STN released from GPe’s GABA hold → STN excites GPi/SNr (glutamate) → GPi/SNr fires more GABA onto thalamus → thalamus suppressed → motor cortex inhibited. This applies the brake to competing, unwanted motor programs. [Tier A; Albin RL et al., Trends Neurosci 12 (1989) 366]</w:t>
      </w:r>
    </w:p>
    <w:p>
      <w:pPr>
        <w:spacing w:before="80" w:after="80"/>
        <w:jc w:val="left"/>
      </w:pPr>
      <w:r>
        <w:rPr>
          <w:rFonts w:ascii="Arial" w:cs="Arial" w:eastAsia="Arial" w:hAnsi="Arial"/>
          <w:sz w:val="24"/>
          <w:szCs w:val="24"/>
        </w:rPr>
        <w:t xml:space="preserve">The inhibitory architecture of the basal ganglia is GABA-mediated throughout. With the single exception of the glutamatergic STN→GPi synapse, every synapse in both pathways uses GABA as its inhibitory transmitter. Striatum→GPi (direct pathway): GABA delivers the Go signal via inhibition of the brake. Striatum→GPe (indirect pathway): GABA initiates the NoGo cascade. GPe→STN: GABA suppresses STN firing. GPi→Thalamus: the most potent GABAergic projection, firing tonically at approximately 70 Hz to continuously brake thalamic relay neurons. All motor selection is achieved by releasing or strengthening this tonic GABA brake. Dopamine at D1 receptors facilitates the direct pathway GABA output onto GPi (Go). Dopamine at D2 receptors suppresses the indirect pathway GABA output onto GPe (reducing NoGo).</w:t>
      </w:r>
    </w:p>
    <w:p>
      <w:pPr>
        <w:spacing w:before="80" w:after="80"/>
        <w:jc w:val="left"/>
      </w:pPr>
      <w:r>
        <w:rPr>
          <w:rFonts w:ascii="Arial" w:cs="Arial" w:eastAsia="Arial" w:hAnsi="Arial"/>
          <w:sz w:val="24"/>
          <w:szCs w:val="24"/>
        </w:rPr>
        <w:t xml:space="preserve">In Tourette Syndrome, this balance is disrupted in specific motor circuits. The leading mechanistic account points to hyperdopaminergic activity at D2 receptors in the sensorimotor striatum (putamen), though the pathophysiology is not fully settled: excess dopamine at D2 receptors suppresses indirect pathway GABA output, leaving the direct pathway (Go) relatively unopposed for tic-generating circuits. The indirect pathway failure cascade: D2 hyperstimulation → striatum→GPe GABA output reduced → GPe not fully suppressed → GPe’s GABA hold on STN maintained → STN not released to drive GPi glutamate → GPi does not adequately inhibit thalamus → thalamus is not adequately suppressed → motor cortex receives the tic-generating motor program. This framework may help explain why D2 antagonists (haloperidol, aripiprazole) can reduce tic severity — by blocking D2 receptors, restoring indirect pathway GABA function and raising the gate threshold. Whether TS is better characterized as hyperdopaminergic or as a disorder of impaired DA regulation — rather than DA excess per se — is examined in §3.3 in the context of deep brain stimulation mechanisms and pharmacological efficacy data. Both framings are consistent with the circuit account described here. [Tier A; Leckman JF et al., Arch Gen Psychiatry 59 (2002) 812]</w:t>
      </w:r>
    </w:p>
    <w:p>
      <w:pPr>
        <w:spacing w:before="80" w:after="80"/>
        <w:jc w:val="left"/>
      </w:pPr>
      <w:r>
        <w:rPr>
          <w:rFonts w:ascii="Arial" w:cs="Arial" w:eastAsia="Arial" w:hAnsi="Arial"/>
          <w:sz w:val="24"/>
          <w:szCs w:val="24"/>
        </w:rPr>
        <w:t xml:space="preserve">This paper is best understood as a mechanistic synthesis intended to support model-building and hypothesis generation rather than as an exhaustive review of all TS literatures. Some links in the proposed architecture are directly supported by replicated human evidence; others are provisional integrative inferences, labelled by evidence tier throughout, and intended to guide future empirical testing.</w:t>
      </w:r>
    </w:p>
    <w:p>
      <w:pPr>
        <w:spacing w:before="80" w:after="80"/>
        <w:jc w:val="left"/>
      </w:pPr>
      <w:r>
        <w:rPr>
          <w:rFonts w:ascii="Arial" w:cs="Arial" w:eastAsia="Arial" w:hAnsi="Arial"/>
          <w:sz w:val="24"/>
          <w:szCs w:val="24"/>
        </w:rPr>
        <w:t xml:space="preserve">Scope note: the gate-failure model in this paper applies to idiopathic Tourette syndrome and related tic disorders. Functional tic-like behaviors (FTLB) — which surged during the COVID-19 pandemic, particularly among adolescent females, and appear linked to social media exposure and functional neurological disorder mechanisms — are a clinically distinct category that does not share the CSTC interneuron and dopaminergic pathology described here. The distinction matters clinically because treatment approaches differ substantially.</w:t>
      </w:r>
    </w:p>
    <w:p>
      <w:pPr>
        <w:pStyle w:val="Heading2"/>
        <w:spacing w:before="280" w:after="100"/>
      </w:pPr>
      <w:r>
        <w:rPr>
          <w:rFonts w:ascii="Arial" w:cs="Arial" w:eastAsia="Arial" w:hAnsi="Arial"/>
          <w:b/>
          <w:bCs/>
          <w:color w:val="2E5090"/>
          <w:sz w:val="28"/>
          <w:szCs w:val="28"/>
        </w:rPr>
        <w:t xml:space="preserve">1.1 — The Neuroanatomy of Tic Generation</w:t>
      </w:r>
    </w:p>
    <w:p>
      <w:pPr>
        <w:spacing w:before="80" w:after="80"/>
        <w:jc w:val="left"/>
      </w:pPr>
      <w:r>
        <w:rPr>
          <w:rFonts w:ascii="Arial" w:cs="Arial" w:eastAsia="Arial" w:hAnsi="Arial"/>
          <w:sz w:val="24"/>
          <w:szCs w:val="24"/>
        </w:rPr>
        <w:t xml:space="preserve">The tic-generating circuit is more specific than the basal ganglia broadly. Neuroimaging studies consistently implicate the sensorimotor striatum (putamen) and its connections to the supplementary motor area (SMA) and primary motor cortex. The SMA is particularly important: it is active immediately before voluntary movements in all people, and in Tourette’s patients, SMA activation precedes tics. The tic is being generated through the normal voluntary movement preparation pathway, but without the voluntary intention that would normally initiate it.</w:t>
      </w:r>
    </w:p>
    <w:p>
      <w:pPr>
        <w:spacing w:before="80" w:after="80"/>
        <w:jc w:val="left"/>
      </w:pPr>
      <w:r>
        <w:rPr>
          <w:rFonts w:ascii="Arial" w:cs="Arial" w:eastAsia="Arial" w:hAnsi="Arial"/>
          <w:sz w:val="24"/>
          <w:szCs w:val="24"/>
        </w:rPr>
        <w:t xml:space="preserve">This is mechanistically revealing: tics use the voluntary motor pathway without voluntary intent. They are not involuntary in the sense of spinal reflex, which bypass the cortex entirely. They are subcortically-initiated motor programs that propagate through the cortical voluntary movement system. This explains the defining clinical feature: tics can be voluntarily suppressed temporarily (unlike spinal reflexes), but suppression requires active prefrontal cortex effort and produces an accumulating premonitory urge. When suppression is released, the accumulated queue discharges. Children with TS often tic more at home than at school because school requires sustained suppression; home is where the accumulated urge discharges. Suppression rebound may reflect the expected consequence of delaying tic expression under sustained inhibitory load rather than worsening of disease.</w:t>
      </w:r>
    </w:p>
    <w:p>
      <w:pPr>
        <w:spacing w:before="80" w:after="80"/>
        <w:jc w:val="left"/>
      </w:pPr>
      <w:r>
        <w:rPr>
          <w:rFonts w:ascii="Arial" w:cs="Arial" w:eastAsia="Arial" w:hAnsi="Arial"/>
          <w:sz w:val="24"/>
          <w:szCs w:val="24"/>
        </w:rPr>
        <w:t xml:space="preserve">The basal ganglia operate via two parallel output channels that explain the full topography of tic types in TS. The first, described above, runs through the globus pallidus internus (GPi) — disinhibition of the ventrolateral thalamus — and generates tics in limb and trunk muscles via the motor cortex. The second runs through the substantia nigra pars reticulata (SNpr), a parallel output nucleus that projects not to the thalamus but directly to the superior colliculus (head/eye movement) and brainstem motor nuclei (laryngeal, respiratory, facial). The same D1/D2 gate failure that generates limb tics via GPi simultaneously produces vocal and head/face tics when the striatal disinhibition occurs in the caudate regions that project through SNpr. This is why the somatotopic organization of tics maps directly onto striatal topography: the striatum is somatotopically organized, so which cluster fires determines both the output nucleus (GPi or SNpr) and the motor territory of the resulting tic. Motor tics in limbs and trunk = GPi arm. Vocal tics (coprolalia, echolalia, throat clearing) and head/eye tics = SNpr arm. One circuit failure, two output channels, two phenotypic classes of tic. [Albin RL et al., Trends Neurosci 12 (1989) 366; canonical BG direct/indirect pathway; GPi/SNpr as parallel output nuclei established in BG anatomy; application to TS tic somatotopy is an author synthesis — Tier B; direct recordings from SNpr during vocal tics in TS patients have not been performed]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§2 — The Premonitory Urge: Phenomenology and Mechanistic Models</w:t>
      </w:r>
    </w:p>
    <w:p>
      <w:pPr>
        <w:spacing w:before="80" w:after="80"/>
        <w:jc w:val="left"/>
      </w:pPr>
      <w:r>
        <w:rPr>
          <w:rFonts w:ascii="Arial" w:cs="Arial" w:eastAsia="Arial" w:hAnsi="Arial"/>
          <w:sz w:val="24"/>
          <w:szCs w:val="24"/>
        </w:rPr>
        <w:t xml:space="preserve">The premonitory urge is reported by approximately 90% of adult patients, and by the majority of children old enough to articulate it (typically from age 10 onward). Consistent temporal coupling between urge and tic varies by measurement method: one observational study found reliable preceding urges in 57–66% of tics depending on how urges were assessed, suggesting the urge is a clinically important but not universally coupled signal. [Leckman JF et al., Arch Gen Psychiatry 59 (2002) 812; Brandt VC et al., 2016] It is described as a pressure, tension, tingling, itching, or “just right” sensation localized to the body part that will tic — the shoulder before a shoulder shrug, the throat before a throat-clearing tic, the eye before an eye-blink tic. Performing the tic produces temporary relief of the urge, which then rebuilds until the next tic. [Leckman JF et al., Arch Gen Psychiatry 59 (2002) 812]</w:t>
      </w:r>
    </w:p>
    <w:p>
      <w:pPr>
        <w:spacing w:before="80" w:after="80"/>
        <w:jc w:val="left"/>
      </w:pPr>
      <w:r>
        <w:rPr>
          <w:rFonts w:ascii="Arial" w:cs="Arial" w:eastAsia="Arial" w:hAnsi="Arial"/>
          <w:sz w:val="24"/>
          <w:szCs w:val="24"/>
        </w:rPr>
        <w:t xml:space="preserve"> On this model, the urge is the sensory correlate of the failed inhibitory gate — not a psychological state preceding a choice, but a neurological signal consistent with a motor program that is already in the execution pipeline without voluntary authorization. The precise mechanism remains under investigation. The SMA, insular cortex, and anterior cingulate cortex are all active during the premonitory urge, generating the sensory experience of impending involuntary movement.</w:t>
      </w:r>
    </w:p>
    <w:p>
      <w:pPr>
        <w:spacing w:before="80" w:after="80"/>
        <w:jc w:val="left"/>
      </w:pPr>
      <w:r>
        <w:rPr>
          <w:rFonts w:ascii="Arial" w:cs="Arial" w:eastAsia="Arial" w:hAnsi="Arial"/>
          <w:sz w:val="24"/>
          <w:szCs w:val="24"/>
        </w:rPr>
        <w:t xml:space="preserve">The insula’s role in the premonitory urge is underappreciated. The insula is the primary cortical structure for interoception — the sensing of the body’s internal state. The premonitory urge has a strong interoceptive quality: patients do not just know a tic is coming, they feel it in the specific body part. The insula may contribute to translating the escaped motor program’s propagation signal into a somatic sensory experience. This is why awareness training — teaching patients to notice the urge before it peaks — is an effective component of CBIT: on this account, it may train insula-based interoceptive detection of a specific circuit event, though the insula mechanism of CBIT has not been directly tested.</w:t>
      </w:r>
    </w:p>
    <w:p>
      <w:pPr>
        <w:spacing w:before="80" w:after="80"/>
        <w:jc w:val="left"/>
      </w:pPr>
      <w:r>
        <w:rPr>
          <w:rFonts w:ascii="Arial" w:cs="Arial" w:eastAsia="Arial" w:hAnsi="Arial"/>
          <w:sz w:val="24"/>
          <w:szCs w:val="24"/>
        </w:rPr>
        <w:t xml:space="preserve">Neuroimaging has identified the right dorsal anterior insula as the specific hub of this urge network. Functional connectivity between the right dorsal anterior insula and bilateral supplementary motor area positively correlates with urge severity: stronger insula-SMA coupling predicts stronger urges, not stronger tics directly. [Tinaz S et al., Mov Disord 30 (2015) 1190] A 2024 mental imagery study further dissociated the networks for each phase of tic behavior: urge distress activates primarily sensorimotor areas; tic relief engages inferior frontal cortex, insula, and basal ganglia; tic inhibition correlates with superior frontal gyrus activity. [Zapparoli L et al., 2024] These are distinct networks — not a single urge-tic system. CBIT may preferentially engage neural systems involved in suppression (superior frontal gyrus), not the urge-generation network (insula-SMA). A 2023 meta-analysis of 22 studies including 1,236 patients confirmed the insula, PFC, ACC, and SMA as the consistent neural correlates of premonitory urge severity, while noting that the precise mechanistic relationship between these structures and tic generation remains an active area of investigation. [Li Y et al., J Integr Neurosci 22 (2023) 159]</w:t>
      </w:r>
    </w:p>
    <w:p>
      <w:pPr>
        <w:spacing w:before="80" w:after="80"/>
        <w:jc w:val="left"/>
      </w:pPr>
      <w:r>
        <w:rPr>
          <w:rFonts w:ascii="Arial" w:cs="Arial" w:eastAsia="Arial" w:hAnsi="Arial"/>
          <w:sz w:val="24"/>
          <w:szCs w:val="24"/>
        </w:rPr>
        <w:t xml:space="preserve">Structural neuroimaging provides converging evidence. Cortical thickness within the insula and sensorimotor cortex is inversely associated with premonitory urge strength in young adults with TS — the stronger the urge, the thinner these cortices. Cortical thickness in the sensorimotor cortex, anterior cingulate, and insula is significantly reduced in TS relative to typically developing controls. [Draper A et al., J Neuropsychol 10 (2016) 143] This structural reduction is not just an epiphenomenon: PET imaging has shown decreased GABA-A receptor binding in the right insula in TS patients alongside reduced binding in the ventral striatum, globus pallidus, and thalamus — a finding consistent with the hypothesis that reduced GABAergic inhibitory tone in insular and cortico-limbic circuits underlies both the structural thinning and the heightened interoceptive sensitivity. [Lerner A et al., Brain 135 (2012) 1926]</w:t>
      </w:r>
    </w:p>
    <w:p>
      <w:pPr>
        <w:spacing w:before="80" w:after="80"/>
        <w:jc w:val="left"/>
      </w:pPr>
      <w:r>
        <w:rPr>
          <w:rFonts w:ascii="Arial" w:cs="Arial" w:eastAsia="Arial" w:hAnsi="Arial"/>
          <w:sz w:val="24"/>
          <w:szCs w:val="24"/>
        </w:rPr>
        <w:t xml:space="preserve">The intensity of the premonitory urge depends not only on whether the gate fails, but on how loudly the resulting prediction error signal is broadcast through the interoceptive system. The insula does not passively relay body-state signals — it weights them by interoceptive salience, a parameter amplified by both norepinephrine (via β-adrenergic receptors on mid-insula neurons) and cortisol (via glucocorticoid receptors at mid-insula). Under chronic stress or anxiety, NE and cortisol are simultaneously elevated, amplifying the propagation of the escaped motor program’s prediction error signal before it reaches anterior insula integration — producing a stronger urge from the same gate failure. This predicts that anxious TS patients experience more intense premonitory urges not only because the gate fails more easily (via LC tonic NE raising tic threshold — described in §5) but because the urge signal itself is amplified at a separate, earlier stage. The clinical finding that interoceptive awareness is the strongest predictor of premonitory urge severity in TS — stronger than tic severity or OCD symptoms — is consistent with this synthesis, though Ganos et al. (2015) measured interoceptive accuracy (heartbeat counting) rather than NE/cortisol directly. [Ganos C et al., Mov Disord 30 (2015) 1198]</w:t>
      </w:r>
    </w:p>
    <w:p>
      <w:pPr>
        <w:spacing w:before="80" w:after="80"/>
        <w:jc w:val="left"/>
      </w:pPr>
      <w:r>
        <w:rPr>
          <w:rFonts w:ascii="Arial" w:cs="Arial" w:eastAsia="Arial" w:hAnsi="Arial"/>
          <w:sz w:val="24"/>
          <w:szCs w:val="24"/>
        </w:rPr>
        <w:t xml:space="preserve">In this model, the dACC is proposed to function as a conflict-monitoring node in the urge-suppression circuit. The dACC continuously monitors whether competing responses are simultaneously active and sends a control demand to the dlPFC when they are. The premonitory urge is the dACC’s detection of a motor program conflict: the motor program is active and propagating, but no voluntary intention authorized it. The dACC fires a conflict signal → sends a control demand to dlPFC → dlPFC deploys top-down corticostriatal inhibitory control. This is why voluntary tic suppression requires PFC effort and why suppression strengthens with practice. [Botvinick MM et al., Psychol Rev 108 (2001) 624]</w:t>
      </w:r>
    </w:p>
    <w:p>
      <w:pPr>
        <w:spacing w:before="80" w:after="80"/>
        <w:jc w:val="left"/>
      </w:pPr>
      <w:r>
        <w:rPr>
          <w:rFonts w:ascii="Arial" w:cs="Arial" w:eastAsia="Arial" w:hAnsi="Arial"/>
          <w:sz w:val="24"/>
          <w:szCs w:val="24"/>
        </w:rPr>
        <w:t xml:space="preserve">The following Bayesian account of the premonitory urge is an author synthesis integrating the insula GABA deficit with predictive coding frameworks; it is not established consensus but a mechanistic model consistent with the available evidence. The brain continuously generates predictions about the body’s motor state via a forward model — a continuous simulation of expected sensory consequences based on intended movements. An escaped motor program, by definition, arose without voluntary intention. The forward model predicted a stable motor state — no authorized motor program was in the pipeline, so the predicted sensory state was stillness. The escaped motor program violates this prediction. This constitutes a prediction error: the body is executing a movement the forward model did not authorize. Under predictive coding, the brain propagates only the difference between prediction and incoming sensory reality forward. When that propagation is not inhibited, the prediction error is experienced as a sensory signal — the premonitory urge. [Rae CL et al., Front Psychiatry 10 (2019) 29]</w:t>
      </w:r>
    </w:p>
    <w:p>
      <w:pPr>
        <w:spacing w:before="80" w:after="80"/>
        <w:jc w:val="left"/>
      </w:pPr>
      <w:r>
        <w:rPr>
          <w:rFonts w:ascii="Arial" w:cs="Arial" w:eastAsia="Arial" w:hAnsi="Arial"/>
          <w:sz w:val="24"/>
          <w:szCs w:val="24"/>
        </w:rPr>
        <w:t xml:space="preserve">On this account, the insula GABA-A deficit completes the proposed mechanism. GABAergic inhibitory interneurons implement the precision-weighting of prediction error signals: they suppress the baseline firing of interoceptive neurons, so that only strong, anomalous signals propagate as urge sensations rather than being attenuated as predicted and therefore unremarkable. When insular GABA-A receptor density is reduced — as PET imaging confirms in TS — the precision-weighting fails: prediction errors from escaped motor programs are not adequately suppressed, and they propagate as full interoceptive signals. The urge is not a side effect of the gate failure. In this model, the premonitory urge is interpreted as an interoceptive signal arising from that failure, transmitted through an insula whose inhibitory architecture may be structurally less able to dampen it. This may help explain why urge intensity correlates with insula cortical thinning and GABA-A deficit: the same structural vulnerability that reduces the precision-weighting mechanism also reduces the anatomical substrate of the structure performing it. This synthesis predicts that the thinner and more GABA-deficient the insula, the louder the urge — a prediction that is consistent with available data but has not been prospectively tested.</w:t>
      </w:r>
    </w:p>
    <w:p>
      <w:pPr>
        <w:spacing w:before="80" w:after="80"/>
        <w:jc w:val="left"/>
      </w:pPr>
      <w:r>
        <w:rPr>
          <w:rFonts w:ascii="Arial" w:cs="Arial" w:eastAsia="Arial" w:hAnsi="Arial"/>
          <w:sz w:val="24"/>
          <w:szCs w:val="24"/>
        </w:rPr>
        <w:t xml:space="preserve">The mid-cingulate cortex (MCC), adjacent to the dACC, has a specific and underappreciated role in the TS urge-suppression circuit. Neuroimaging studies show that TS is associated with bilateral reductions in grey matter volume within the anterior and mid-cingulate cortex, and critically, anterior MCC grey matter volume correlates positively with premonitory urge severity as measured by PUTS scores. The MCC’s computational function — estimating the effort cost of an action and determining whether the conditions generating an urge have been resolved — positions it as the structure that monitors whether suppression is working and at what cost. Structural reduction in MCC in TS may impair this monitoring function, reducing the precision with which the suppression circuit can track urge resolution and effort expenditure during voluntary tic suppression. [Jackson SR et al., J Neuropsychol (2021); Tier B for MCC structural reduction finding; the monitoring-function interpretation is an author synthesis from MCC general neuroscience applied to TS]</w:t>
      </w:r>
    </w:p>
    <w:p>
      <w:pPr>
        <w:pStyle w:val="Heading2"/>
        <w:spacing w:before="280" w:after="100"/>
      </w:pPr>
      <w:r>
        <w:rPr>
          <w:rFonts w:ascii="Arial" w:cs="Arial" w:eastAsia="Arial" w:hAnsi="Arial"/>
          <w:b/>
          <w:bCs/>
          <w:color w:val="2E5090"/>
          <w:sz w:val="28"/>
          <w:szCs w:val="28"/>
        </w:rPr>
        <w:t xml:space="preserve">2.1 — CBIT: A Treatment Derived From the Mechanism</w:t>
      </w:r>
    </w:p>
    <w:p>
      <w:pPr>
        <w:spacing w:before="80" w:after="80"/>
        <w:jc w:val="left"/>
      </w:pPr>
      <w:r>
        <w:rPr>
          <w:rFonts w:ascii="Arial" w:cs="Arial" w:eastAsia="Arial" w:hAnsi="Arial"/>
          <w:sz w:val="24"/>
          <w:szCs w:val="24"/>
        </w:rPr>
        <w:t xml:space="preserve">Comprehensive Behavioral Intervention for Tics (CBIT) is the most effective evidence-based treatment for TS, with demonstrated superiority over supportive therapy in a pivotal RCT (Piacentini J et al., JAMA 303 (2010) 1929). Its mechanism maps directly onto the circuit architecture. Habit Reversal Training teaches patients to: (1) become aware of the premonitory urge before the tic peaks — catching the insula/dACC detection signal early; and (2) perform a competing response (an incompatible motor action) when the urge appears. The competing response blocks the tic motor program from executing. The urge, no longer relieved by the tic, gradually extinguishes through habituation. On this account, the treatment trains patients to use the detection signal to intervene at the gate failure moment before the tic fires.</w:t>
      </w:r>
    </w:p>
    <w:p>
      <w:pPr>
        <w:spacing w:before="80" w:after="80"/>
        <w:jc w:val="left"/>
      </w:pPr>
      <w:r>
        <w:rPr>
          <w:rFonts w:ascii="Arial" w:cs="Arial" w:eastAsia="Arial" w:hAnsi="Arial"/>
          <w:sz w:val="24"/>
          <w:szCs w:val="24"/>
        </w:rPr>
        <w:t xml:space="preserve">Neurophysiological evidence supports this mechanistic account. CBIT produces changes in motor cortical GABAergic inhibitory circuitry: cortical silent period (CSP) and motor evoked potential (MEP) ratios increase post-CBIT, consistent with strengthening of the inhibitory control pathway. [Eapen V et al., J Integr Neurosci 21 (2022) 89] CBIT may therefore be doing more than teaching coping: available neurophysiological evidence suggests it may strengthen the dACC→dlPFC→striatum control circuit, progressively strengthening the speed and reliability of the conflict detection-to-suppression chain.</w:t>
      </w:r>
    </w:p>
    <w:p>
      <w:pPr>
        <w:spacing w:before="80" w:after="80"/>
        <w:jc w:val="left"/>
      </w:pPr>
      <w:r>
        <w:rPr>
          <w:rFonts w:ascii="Arial" w:cs="Arial" w:eastAsia="Arial" w:hAnsi="Arial"/>
          <w:sz w:val="24"/>
          <w:szCs w:val="24"/>
        </w:rPr>
        <w:t xml:space="preserve">Neuroimaging has identified the specific subcortical pathway CBIT strengthens. During voluntary tic suppression, the inferior frontal gyrus (IFG) amplifies descending drive from the pre-supplementary motor area (preSMA) to the subthalamic nucleus (STN) via the hyperdirect pathway — the fastest available action suppression route, bypassing the striatum entirely. STN excites GPi, broadly suppressing thalamic motor gating before the striatum has evaluated competing options. In TS, the IFG is hyperactive during volitional tic withholding relative to free-ticcing, and TS patients require greater IFG engagement than healthy controls to achieve the same level of suppression — the brake must push harder because downstream motor drive is stronger. A critical and clinically recognizable consequence: voluntary suppression in TS typically does not eliminate the premonitory urge, because the hyperdirect pathway pauses motor outflow by blocking the tic action plan in the direct pathway without removing it. This may help explain why suppression feels like holding something back rather than extinguishing the urge. On this account, CBIT’s competing response training works by providing an alternative direct-pathway action plan that reduces the suppression demand placed on the hyperdirect brake. Whether CBIT produces structural or functional changes specifically in the IFG→STN hyperdirect projection has not been directly tested; this is a mechanistic inference from the circuit anatomy. [Author synthesis; Tier B for IFG/preSMA/STN involvement in effortful tic suppression; Tier C for CBIT→hyperdirect pathway specific account] [Rae CL et al., Brain Commun 5 (2023) fcad224; Aron AR &amp; Poldrack RA, J Neurosci 26 (2006) 981; Tier A for IFG hyperdirect mechanism in TS; Tier B for CBIT mechanistic account]</w:t>
      </w:r>
    </w:p>
    <w:p>
      <w:pPr>
        <w:spacing w:before="80" w:after="80"/>
        <w:jc w:val="left"/>
      </w:pPr>
      <w:r>
        <w:rPr>
          <w:rFonts w:ascii="Arial" w:cs="Arial" w:eastAsia="Arial" w:hAnsi="Arial"/>
          <w:sz w:val="24"/>
          <w:szCs w:val="24"/>
        </w:rPr>
        <w:t xml:space="preserve">Suppression rebound may reflect the expected consequence of sustained inhibitory load rather than a failure of willpower or worsening of disease. Tic execution appears to provide genuine, if temporary, neurological relief from the premonitory urge — not behavioral reward in the conventional sense. Tics are not performed for social effect or attention; the urge-tic-relief cycle is mechanistically grounded in the circuit architecture described here. Suppressing tics without addressing the underlying gate failure does not eliminate the urge — it only delays the discharge.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§3 — The Neurochemical Architecture</w:t>
      </w:r>
    </w:p>
    <w:p>
      <w:pPr>
        <w:pStyle w:val="Heading2"/>
        <w:spacing w:before="280" w:after="100"/>
      </w:pPr>
      <w:r>
        <w:rPr>
          <w:rFonts w:ascii="Arial" w:cs="Arial" w:eastAsia="Arial" w:hAnsi="Arial"/>
          <w:b/>
          <w:bCs/>
          <w:color w:val="2E5090"/>
          <w:sz w:val="28"/>
          <w:szCs w:val="28"/>
        </w:rPr>
        <w:t xml:space="preserve">3.1 — GABA: The Inhibitory Architecture of the Entire Gate</w:t>
      </w:r>
    </w:p>
    <w:p>
      <w:pPr>
        <w:spacing w:before="80" w:after="80"/>
        <w:jc w:val="left"/>
      </w:pPr>
      <w:r>
        <w:rPr>
          <w:rFonts w:ascii="Arial" w:cs="Arial" w:eastAsia="Arial" w:hAnsi="Arial"/>
          <w:sz w:val="24"/>
          <w:szCs w:val="24"/>
        </w:rPr>
        <w:t xml:space="preserve">The basal ganglia gate is GABA-mediated throughout. Every suppressive synapse in the direct and indirect pathways uses GABA as its transmitter. This GABA-centricity is consistent with the elevated co-occurrence of Tourette’s with epilepsy, dystonia, and OCD: each may represent GABA gate failure in an overlapping but distinct CSTC circuit. The specific symptom — tic, seizure, repetitive thought, dystonic posture — may depend on which circuit’s gate is most compromised. On this framework, the elevated co-occurrence rates of TS, OCD, and dystonia reflect shared circuit architecture. This is an integrative framing; molecular mechanisms of the shared vulnerability have not been fully characterized.</w:t>
      </w:r>
    </w:p>
    <w:p>
      <w:pPr>
        <w:spacing w:before="80" w:after="80"/>
        <w:jc w:val="left"/>
      </w:pPr>
      <w:r>
        <w:rPr>
          <w:rFonts w:ascii="Arial" w:cs="Arial" w:eastAsia="Arial" w:hAnsi="Arial"/>
          <w:sz w:val="24"/>
          <w:szCs w:val="24"/>
        </w:rPr>
        <w:t xml:space="preserve">The GABA deficit in TS may extend beyond the basal ganglia gate into the sensorimotor cortex itself, though findings are mixed across studies. In vivo magnetic resonance spectroscopy showed reduced GABA concentration over the primary sensorimotor cortex in children with TS compared to healthy controls, with GABA levels correlating with motor tic severity. [Puts NA et al., J Neurophysiol 114 (2015) 808] A subsequent 7T MRS study in a larger sample (75 participants: 32 TS, 43 controls) found no significant GABA differences in any measured region including sensorimotor cortex, though elevated glutamate in premotor cortex was identified. [Mahone EM et al., Psychiatry Res Neuroimaging 267 (2018) 53–62] This inconsistency suggests the sensorimotor GABA finding is age- or methodology-dependent and should be treated as Tier B pending replication with standardized protocols. If the cortical GABA reduction is confirmed in larger samples, it would be mechanistically significant: it may lower the threshold at which sensory input activates the sensorimotor cortex, making premonitory urge sensations more intrusive. The tentative implication is that the GABA deficit may not be localized to the gate — it may also shape the sensory experience of gate failure. This inference awaits replication of the MRS finding with standardized protocols.</w:t>
      </w:r>
    </w:p>
    <w:p>
      <w:pPr>
        <w:spacing w:before="80" w:after="80"/>
        <w:jc w:val="left"/>
      </w:pPr>
      <w:r>
        <w:rPr>
          <w:rFonts w:ascii="Arial" w:cs="Arial" w:eastAsia="Arial" w:hAnsi="Arial"/>
          <w:sz w:val="24"/>
          <w:szCs w:val="24"/>
        </w:rPr>
        <w:t xml:space="preserve">Benzodiazepines (GABA-A positive allosteric modulators) produce inconsistent effects in TS because they enhance GABA globally, including the GABA projections that normally suppress competing motor programs in circuits other than the tic-generating one. Enhancing GABA everywhere does not selectively restore the specific gate that has failed. Targeted GABA restoration — via D2 antagonism that allows indirect pathway GABA output to normalize — is more mechanism-precise. This may also help explain why clonazepam has modest and variable anti-tic effects compared to D2 antagonists.</w:t>
      </w:r>
    </w:p>
    <w:p>
      <w:pPr>
        <w:spacing w:before="80" w:after="80"/>
        <w:jc w:val="left"/>
      </w:pPr>
      <w:r>
        <w:rPr>
          <w:rFonts w:ascii="Arial" w:cs="Arial" w:eastAsia="Arial" w:hAnsi="Arial"/>
          <w:sz w:val="24"/>
          <w:szCs w:val="24"/>
        </w:rPr>
        <w:t xml:space="preserve">Postmortem neuropathology has identified a second interneuron population that is structurally reduced in TS: parvalbumin-expressing (PV+) fast-spiking interneurons, which are mechanistically distinct from the cholinergic interneurons described in §3.4. PV interneurons are GABAergic and provide fast somatic inhibition to MSNs — they sharpen gate selectivity by suppressing competing MSN populations between tic-generating events. Kataoka et al. (2010) found a 50–60% reduction in PV+ interneurons in the caudate and putamen of postmortem TS brains by unbiased stereological analysis, spanning both associative and sensorimotor striatal regions. If confirmed, PV loss would mean the gate has two independent structural failure points: CIN loss degrades precision at the moment of sharpest selection (the pause window), while PV loss degrades the background suppression of competing MSN populations continuously — mechanistically separable failure modes. Important caveats: the postmortem sample is small (n = 5), all subjects were on dopamine antagonists at death, a known confound for cholinergic markers. The PV finding has not been independently replicated in larger cohorts and is included as a structural candidate mechanism awaiting confirmation. [Kataoka Y et al., J Comp Neurol 518 (2010) 277 for initial postmortem finding; Tier B for PV reduction; Tier C for two-failure-point synthesis] A 2025 single-nucleus multiomics study (snRNA-seq + snATAC-seq) from the same Yale group independently confirmed and extended these findings with cell-type resolution. Interneurons were decreased by approximately 50% across all three populations — cholinergic, parvalbumin, and somatostatin — with no reduction in medium spiny neurons or other cell types. This is the first single-cell resolution confirmation of interneuron loss in TS, and provides evidence that the structural deficit affects all three major interneuron classes simultaneously in severe adult-persistent disease — the degree to which this generalizes to milder or remitting TS remains to be determined. The same study revealed two additional pathologies not previously documented: MSNs showed decreased mitochondrial gene expression consistent with metabolic stress, and microglia showed increased inflammatory activation directly correlated with MSN mitochondrial dysfunction. The coupling of interneuron loss, MSN metabolic impairment, and microglial activation suggests these are not independent pathologies but interacting elements of the same underlying process. Importantly, the changes appear to be epigenomic rather than genetic — altered enhancer activity driving cell-type-specific gene expression dysregulation — opening potential therapeutic directions that do not require targeting rare sequence variants. The same small-sample caveats apply (n = 6 TS, all with severe adult-persistent disease). A specific confound is antipsychotic medication exposure: virtually all TS cases had received D2 antagonists. Wang et al. address this by comparison with antipsychotic-treated monkey studies, which consistently show no reduction in interneuron density or interneuron transcript expression — indicating the interneuron loss pattern is not explained by antipsychotic exposure, though the confound is not fully eliminated. [Wang Y et al., Biol Psychiatry 98 (2025) 260–270. doi:10.1016/j.biopsych.2024.12.022; Tier A for confirming interneuron loss across three populations; Tier B for MSN mitochondrial and microglia findings; Tier C for mechanistic coupling interpretation]</w:t>
      </w:r>
    </w:p>
    <w:p>
      <w:pPr>
        <w:spacing w:before="80" w:after="80"/>
        <w:jc w:val="left"/>
      </w:pPr>
      <w:r>
        <w:rPr>
          <w:rFonts w:ascii="Arial" w:cs="Arial" w:eastAsia="Arial" w:hAnsi="Arial"/>
          <w:sz w:val="24"/>
          <w:szCs w:val="24"/>
        </w:rPr>
        <w:t xml:space="preserve">The relationship between genetic risk and interneuron pathology in TS requires careful framing, because animal models tell a different story than postmortem human tissue. Nasello et al. (2024) generated mice expressing mutations in high-confidence Tourette disorder risk genes using CRISPR engineering with true construct validity. These animals showed sensorimotor gating deficits and repetitive motor behaviors consistent with tic phenomenology — both attenuated by dopaminergic drugs. Critically, the mice also showed enhanced reward learning and elevated striatal dopamine. What they did not show was interneuron loss: brain development and cortical layering were grossly normal, and no reduction in striatal interneurons was detected. This creates a productive tension with the Wang et al. (2025) postmortem findings of approximately 50% interneuron depletion. The two findings are not necessarily contradictory. The postmortem subjects had severe, adult-persistent TS — a subset of the TS population in whom disease did not remit by adolescence. Interneuron loss may represent a consequence of severe, prolonged disease rather than the universal initiating mechanism. The genetic models, by contrast, may capture the early-state biology: genetic risk factors dysregulate striatal dopamine and reward learning without requiring structural interneuron loss as the initial event. A unified model may therefore involve two partially distinct pathways to gate failure: a genetic-dopaminergic route in which altered DA signaling destabilizes action selection without structural interneuron loss, and a structural route in which interneuron depletion (from developmental failure, epigenomic dysregulation, or chronic neuroinflammation driven by microglial activation) progressively degrades gate precision over the course of severe, persistent disease. The simplest interpretation is that interneuron loss is a consequence of severe, prolonged disease — potentially mediated by the microglial activation documented by Wang et al. — rather than the primary etiological event: genetic models capture early-state DA dysregulation without structural loss; postmortem tissue captures the end-state of patients whose disease was severe enough to drive progressive neuroinflammatory interneuron depletion. If correct, DA-targeting interventions may be most relevant early, while anti-neuroinflammatory approaches may be more relevant in severe persistent disease. This framing is an author synthesis. [Nasello C et al. (Tischfield MA, senior author), Proc Natl Acad Sci USA 121 (2024) e2307156121. doi:10.1073/pnas.2307156121; Tier B for the construct-valid mouse phenotype findings; Tier C for the two-pathway synthesis integrating genetic and postmortem datasets]</w:t>
      </w:r>
    </w:p>
    <w:p>
      <w:pPr>
        <w:pStyle w:val="Heading2"/>
        <w:spacing w:before="280" w:after="100"/>
      </w:pPr>
      <w:r>
        <w:rPr>
          <w:rFonts w:ascii="Arial" w:cs="Arial" w:eastAsia="Arial" w:hAnsi="Arial"/>
          <w:b/>
          <w:bCs/>
          <w:color w:val="2E5090"/>
          <w:sz w:val="28"/>
          <w:szCs w:val="28"/>
        </w:rPr>
        <w:t xml:space="preserve">3.2 — Glutamate: Cortical Drive and the STN→GPi Excitatory Synapse</w:t>
      </w:r>
    </w:p>
    <w:p>
      <w:pPr>
        <w:spacing w:before="80" w:after="80"/>
        <w:jc w:val="left"/>
      </w:pPr>
      <w:r>
        <w:rPr>
          <w:rFonts w:ascii="Arial" w:cs="Arial" w:eastAsia="Arial" w:hAnsi="Arial"/>
          <w:sz w:val="24"/>
          <w:szCs w:val="24"/>
        </w:rPr>
        <w:t xml:space="preserve">Glutamate has two critical roles in the Tourette’s circuit. First, corticostriatal glutamate: the corticostriatal projection is the primary excitatory input to the striatum. Cortical glutamate activates both direct pathway (D1) and indirect pathway (D2) medium spiny neurons. Excess cortical glutamatergic drive onto direct pathway neurons can overwhelm the indirect pathway NoGo gate — particularly in moments of stress or excitement when PFC top-down regulation of glutamate release is reduced. One possible explanation for tic worsening during anxiety is that heightened cortical excitability increases glutamatergic drive on the direct pathway, pushing Go above NoGo in tic-generating circuits.</w:t>
      </w:r>
    </w:p>
    <w:p>
      <w:pPr>
        <w:spacing w:before="80" w:after="80"/>
        <w:jc w:val="left"/>
      </w:pPr>
      <w:r>
        <w:rPr>
          <w:rFonts w:ascii="Arial" w:cs="Arial" w:eastAsia="Arial" w:hAnsi="Arial"/>
          <w:sz w:val="24"/>
          <w:szCs w:val="24"/>
        </w:rPr>
        <w:t xml:space="preserve">Second, the STN→GPi glutamatergic synapse is the sole excitatory synapse in the basal ganglia circuit and the engine of the NoGo signal. When GPe’s GABA hold on STN is released (because indirect pathway D2 neurons are adequately suppressing GPe), STN fires glutamate onto GPi, activating GPi’s GABA output onto thalamus, suppressing the motor cortex. In Tourette’s, D2 hyperstimulation prevents GPe from being adequately suppressed, maintaining GPe’s GABA hold on STN, preventing STN from driving GPi with glutamate. On this account, the NoGo signal may fail to develop fully in tic-generating circuits. Glutamatergic modulators (riluzole, memantine) have been explored in TS trials with modest results, consistent with the complexity of targeting a single synapse in a multi-step cascade. [Tier B for glutamatergic modulation as a therapeutic target in TS]</w:t>
      </w:r>
    </w:p>
    <w:p>
      <w:pPr>
        <w:pStyle w:val="Heading2"/>
        <w:spacing w:before="280" w:after="100"/>
      </w:pPr>
      <w:r>
        <w:rPr>
          <w:rFonts w:ascii="Arial" w:cs="Arial" w:eastAsia="Arial" w:hAnsi="Arial"/>
          <w:b/>
          <w:bCs/>
          <w:color w:val="2E5090"/>
          <w:sz w:val="28"/>
          <w:szCs w:val="28"/>
        </w:rPr>
        <w:t xml:space="preserve">3.3 — Dopamine: The D1/D2 Balance and Its Disruption</w:t>
      </w:r>
    </w:p>
    <w:p>
      <w:pPr>
        <w:spacing w:before="80" w:after="80"/>
        <w:jc w:val="left"/>
      </w:pPr>
      <w:r>
        <w:rPr>
          <w:rFonts w:ascii="Arial" w:cs="Arial" w:eastAsia="Arial" w:hAnsi="Arial"/>
          <w:sz w:val="24"/>
          <w:szCs w:val="24"/>
        </w:rPr>
        <w:t xml:space="preserve">Dopamine from the substantia nigra pars compacta (SNc) projects to the striatum and sets the D1/D2 balance that determines the Go/NoGo ratio. High dopamine activity at D1 receptors on direct pathway neurons facilitates Go. High dopamine activity at D2 receptors on indirect pathway neurons suppresses NoGo. One influential account proposes that a primary disruption in Tourette’s involves D2 hyperstimulation in specific sensorimotor circuits: excess dopamine at D2 receptors suppresses indirect pathway GABA output, leaving Go relatively unopposed in those circuits. [Tier A for dopamine D2 mechanism; Leckman JF et al., 2002]</w:t>
      </w:r>
    </w:p>
    <w:p>
      <w:pPr>
        <w:spacing w:before="80" w:after="80"/>
        <w:jc w:val="left"/>
      </w:pPr>
      <w:r>
        <w:rPr>
          <w:rFonts w:ascii="Arial" w:cs="Arial" w:eastAsia="Arial" w:hAnsi="Arial"/>
          <w:sz w:val="24"/>
          <w:szCs w:val="24"/>
        </w:rPr>
        <w:t xml:space="preserve">The dopaminergic model of TS is supported primarily by pharmacological evidence: D2 antagonists reduce tics, VMAT2 inhibition reduces dopamine release and reduces tics, and D1 antagonism (ecopipam) also reduces tics. Direct neuroimaging evidence is more complex. A meta-analysis of 16 PET and SPECT studies found a modest increase in striatal dopamine transporter (DAT) binding in TS patients — consistent with increased dopamine reuptake capacity — but this effect was not significant after correcting for age differences between cohorts. D2/D3 receptor binding showed a nonsignificant trend toward lower availability, which would be consistent with chronic receptor downregulation from hyperstimulation but falls short of confirmation. [Hienert M et al., Transl Psychiatry 8 (2018) 143] An alternative tonic-phasic model proposes that tonic dopamine tone may actually be reduced in TS, with a hyperresponsive phasic (spike-dependent) system producing excessive burst release. This would explain why DAT upregulation might represent a compensatory mechanism and why direct D2 receptor evidence is inconsistent. The pharmacological response evidence remains the strongest support for dopaminergic dysfunction in TS; the precise nature of that dysfunction at the molecular level is not yet resolved by imaging. [Tier A for dopaminergic involvement in TS; mechanism uncertain beyond pharmacological inference]</w:t>
      </w:r>
    </w:p>
    <w:p>
      <w:pPr>
        <w:spacing w:before="80" w:after="80"/>
        <w:jc w:val="left"/>
      </w:pPr>
      <w:r>
        <w:rPr>
          <w:rFonts w:ascii="Arial" w:cs="Arial" w:eastAsia="Arial" w:hAnsi="Arial"/>
          <w:sz w:val="24"/>
          <w:szCs w:val="24"/>
        </w:rPr>
        <w:t xml:space="preserve">A second dopaminergic mechanism operates at the level of tic reinforcement rather than gate selection. In TS, phasic dopamine responses \u2014 the brief bursts encoding positive prediction errors \u2014 appear to be abnormally elevated. When a tic executes and temporarily relieves the premonitory urge, that relief constitutes a positive prediction error: the suppression system predicted the urge would persist, but it resolved. This generates a phasic DA burst at the striatum, reinforcing the tic-relief association in the motor CSTC loop. The insula, basal ganglia, and dopamine neurons interact to calculate these prediction errors: the insula encodes the urge state, the basal ganglia gate the tic motor program, and phasic DA release encodes the relief signal. This framework suggests that tics may become self-reinforcing: each execution strengthens the tic-relief habit through aberrant phasic DA signaling. This dopaminergic reinforcement mechanism is independent of \u2014 and additive with \u2014 the cerebellar long-term depression mechanism described in \u00A76, which separately encodes tic stereotypy through olivocerebellar climbing-fiber timing. Together, the two mechanisms explain why established tics are resistant to extinction: phasic DA reinforces that this tic relieves this urge, while cerebellar LTD encodes the precise motor signature. CBIT targets both simultaneously: competing response practice deprives the phasic DA system of the tic-relief prediction error, while depriving the inferior olive climbing fiber of the reinforcement signal needed to maintain LTD. [Maia TV &amp; Concei\u00E7\u00E3o VA, Biol Psychiatry 82 (2017) 401; Concei\u00E7\u00E3o VA et al., Curr Opin Neurobiol 46 (2017) 107; Tier A/B for the phasic DA reinforcement model; the dual-engine synthesis with cerebellar LTD is an author synthesis]</w:t>
      </w:r>
    </w:p>
    <w:p>
      <w:pPr>
        <w:spacing w:before="80" w:after="80"/>
        <w:jc w:val="left"/>
      </w:pPr>
      <w:r>
        <w:rPr>
          <w:rFonts w:ascii="Arial" w:cs="Arial" w:eastAsia="Arial" w:hAnsi="Arial"/>
          <w:sz w:val="24"/>
          <w:szCs w:val="24"/>
        </w:rPr>
        <w:t xml:space="preserve">A 2024 naturalistic study provides direct behavioral evidence that tic timing tracks reward-predictive signals in real time. Raz et al. analyzed tic occurrence moment-by-moment while children with tic disorders watched a movie and played a video game. Tics were not randomly distributed across time: they clustered during specific emotionally salient moments of the film and — critically — during reward-expectation windows in the video game, precisely when striatal dopamine is known to peak in anticipation paradigms. This is the first behavioral confirmation that tic generation co-occurs with the neural state most favorable to phasic DA reinforcement: when the striatum is primed to register a positive prediction error, the system is also most vulnerable to anomalous gate opening. The observation also aligns with the motor-action portrayal hypothesis: watching goal-directed movement in a film activates the same motor preparation circuitry implicated in tic generation (§1.1), consistent with SMA pre-tic activation preceding any conscious urge. [Hartmann A et al., F1000Research 13 (2024) 677. doi:10.12688/f1000research.150931.2; describes Raz G et al. naturalistic tic-timing study; Tier B]</w:t>
      </w:r>
    </w:p>
    <w:p>
      <w:pPr>
        <w:spacing w:before="80" w:after="80"/>
        <w:jc w:val="left"/>
      </w:pPr>
      <w:r>
        <w:rPr>
          <w:rFonts w:ascii="Arial" w:cs="Arial" w:eastAsia="Arial" w:hAnsi="Arial"/>
          <w:sz w:val="24"/>
          <w:szCs w:val="24"/>
        </w:rPr>
        <w:t xml:space="preserve">The dopaminergic account of Tourette syndrome has long contained an apparent paradox. Antipsychotic drugs that block D2 receptors reduce tics — consistent with a hyperdopaminergic model. Yet deep brain stimulation of the centromedian-parafascicular thalamic complex (CM/PF), an approved intervention for refractory TS, also reduces tics — and Rusheen et al. (2023) demonstrated that it does so by increasing striatal dopamine. In a rat model of striatal GABAergic disruption that recapitulates tic phenomenology, CM/PF DBS evoked both phasic synaptic dopamine release and elevated tonic dopamine in the dorsomedial striatum. The mechanism was mediated specifically through striatal cholinergic interneurons: CM/PF drives CINs, CINs release DA. Blocking D2 receptors — not D1 — abolished the therapeutic effect, localizing the suppressive action to the indirect pathway. The paradox may be resolved when the circuit architecture is considered: TS may be better characterized as a disorder of impaired dopamine regulation — caused by interneuron loss on this account — rather than simple hyper- or hypodopaminergic state. The following account is a Tier C synthesis. Healthy CINs modulate both phasic and tonic DA with precision, sharpening gate selectivity at the moment of action selection. When CINs are depleted (§3.1, §3.2), the DA signal becomes poorly timed and inadequately gated — not globally elevated, but dysregulated. D2-blocking antipsychotics reduce tics by globally dampening phasic DA bursts and reducing their reinforcing impact. CM/PF DBS reduces tics by driving the remaining CINs to release regulated DA at the moment of the thalamic salience signal, restoring precision to the gate. Both interventions may converge functionally on indirect-pathway regulation, though the broader synthesis remains provisional, from opposite directions — explaining why both work despite their apparently contradictory effects on DA levels. This CIN-mediated DA regulation framing is an author synthesis extending the Rusheen findings to the broader circuit context; it is not established consensus. [Rusheen AE et al., Brain 146 (2023) 4174–4190. doi:10.1093/brain/awad142; Tier B for electrophysiological and pharmacological findings in the rat model; Tier C for mechanistic extension to human TS and full CM/PF-CIN-DA-D2 synthesis]</w:t>
      </w:r>
    </w:p>
    <w:p>
      <w:pPr>
        <w:spacing w:before="80" w:after="80"/>
        <w:jc w:val="left"/>
      </w:pPr>
      <w:r>
        <w:rPr>
          <w:rFonts w:ascii="Arial" w:cs="Arial" w:eastAsia="Arial" w:hAnsi="Arial"/>
          <w:sz w:val="24"/>
          <w:szCs w:val="24"/>
        </w:rPr>
        <w:t xml:space="preserve">The treatment implications follow directly. D2 antagonists (haloperidol, pimozide, aripiprazole at partial agonist doses) reduce D2 stimulation, restoring indirect pathway GABA function and raising the gate threshold. Aripiprazole’s superior clinical profile relative to full D2 antagonists reflects two simultaneous mechanisms. First, its partial D2 agonist profile acts as a functional antagonist at hyperstimulated D2 sites while providing partial activation where D2 tone is normal, preventing the over-blockade that drives tardive dyskinesia and hyperprolactinemia. Second, aripiprazole is a 5-HT2A receptor antagonist. 5-HT2A receptors on cortical glutamatergic pyramidal neurons drive excitatory input to the striatum; 5-HT2A antagonism reduces this cortical glutamatergic drive, dampening striatal excitation simultaneously with D2 partial agonism reducing dopaminergic suppression of the indirect pathway — addressing the Go/NoGo imbalance through two independent mechanisms. Pure D2 antagonists work only on the NoGo side. This dual mechanism may help explain why aripiprazole consistently outperforms haloperidol and pimozide in tolerability and is increasingly the first-choice agent in clinical practice. VMAT2 inhibitors (valbenazine, deutetrabenazine) reduce dopamine release presynaptically by depleting vesicular stores, normalizing D2 stimulation without direct receptor blockade — a mechanism that avoids the chronic D2 receptor upregulation driving tardive dyskinesia risk. However, placebo-controlled trials of valbenazine and deutetrabenazine specifically in Tourette syndrome did not demonstrate benefit over placebo, despite earlier open-label optimism. Real-world use continues off-label based on clinical experience and the favorable tolerability profile. [Tier A for VMAT2 mechanism; Tier B for efficacy in TS specifically; not FDA-approved for TS]</w:t>
      </w:r>
    </w:p>
    <w:p>
      <w:pPr>
        <w:pStyle w:val="Heading2"/>
        <w:spacing w:before="280" w:after="100"/>
      </w:pPr>
      <w:r>
        <w:rPr>
          <w:rFonts w:ascii="Arial" w:cs="Arial" w:eastAsia="Arial" w:hAnsi="Arial"/>
          <w:b/>
          <w:bCs/>
          <w:color w:val="2E5090"/>
          <w:sz w:val="28"/>
          <w:szCs w:val="28"/>
        </w:rPr>
        <w:t xml:space="preserve">3.4 — Histamine H3 Receptors: The Third Dopamine Modulator</w:t>
      </w:r>
    </w:p>
    <w:p>
      <w:pPr>
        <w:spacing w:before="80" w:after="80"/>
        <w:jc w:val="left"/>
      </w:pPr>
      <w:r>
        <w:rPr>
          <w:rFonts w:ascii="Arial" w:cs="Arial" w:eastAsia="Arial" w:hAnsi="Arial"/>
          <w:sz w:val="24"/>
          <w:szCs w:val="24"/>
        </w:rPr>
        <w:t xml:space="preserve">Histaminergic neurons in the tuberomammillary nucleus (TMN) of the posterior hypothalamus project diffusely to the striatum, where histamine acts on H3 autoreceptors on dopaminergic terminals from the substantia nigra. The H3 receptor is a presynaptic inhibitory receptor: histamine binding at H3 reduces dopamine release from those terminals. Histamine is therefore an endogenous brake on striatal dopamine release, and H3 is the molecular interface between the histaminergic and dopaminergic systems at the level of the striatum. [Rapanelli M et al., Trends Neurosci 40 (2017) 397]</w:t>
      </w:r>
    </w:p>
    <w:p>
      <w:pPr>
        <w:spacing w:before="80" w:after="80"/>
        <w:jc w:val="left"/>
      </w:pPr>
      <w:r>
        <w:rPr>
          <w:rFonts w:ascii="Arial" w:cs="Arial" w:eastAsia="Arial" w:hAnsi="Arial"/>
          <w:sz w:val="24"/>
          <w:szCs w:val="24"/>
        </w:rPr>
        <w:t xml:space="preserve">This mechanism has direct clinical implications. Antihistamines that cross the blood-brain barrier and block H3 receptors (such as diphenhydramine at higher doses) can transiently worsen tics in some patients by removing the histaminergic brake and increasing striatal dopamine release. On the H3 mechanism described above, this may represent the predicted consequence of H3 blockade rather than an idiosyncratic reaction, though systematic clinical data on antihistamine-induced tic worsening are limited to case reports. Conversely, H3 agonism (increasing endogenous histamine’s suppression of dopamine release) has theoretical anti-tic activity. HDC knockout mouse models (lacking histamine-producing neurons) show spontaneous tic-like behaviors, and the TMN-striatum-dopamine axis is an underexplored pharmacological target in TS.</w:t>
      </w:r>
    </w:p>
    <w:p>
      <w:pPr>
        <w:spacing w:before="80" w:after="80"/>
        <w:jc w:val="left"/>
      </w:pPr>
      <w:r>
        <w:rPr>
          <w:rFonts w:ascii="Arial" w:cs="Arial" w:eastAsia="Arial" w:hAnsi="Arial"/>
          <w:sz w:val="24"/>
          <w:szCs w:val="24"/>
        </w:rPr>
        <w:t xml:space="preserve">VMAT2 inhibitors reduce dopamine release at terminals that also express H3 autoreceptors, producing overlapping mechanistic effects with H3 agonism. The convergence of these two systems on the same presynaptic terminal points to a dopamine release control node that may be more accessible to pharmacological targeting than post-synaptic receptor modulation. [Tier B for H3 as independent therapeutic target in TS; H3 agonist trials have not been conducted in human TS populations]</w:t>
      </w:r>
    </w:p>
    <w:p>
      <w:pPr>
        <w:pStyle w:val="Heading2"/>
        <w:spacing w:before="280" w:after="100"/>
      </w:pPr>
      <w:r>
        <w:rPr>
          <w:rFonts w:ascii="Arial" w:cs="Arial" w:eastAsia="Arial" w:hAnsi="Arial"/>
          <w:b/>
          <w:bCs/>
          <w:color w:val="2E5090"/>
          <w:sz w:val="28"/>
          <w:szCs w:val="28"/>
        </w:rPr>
        <w:t xml:space="preserve">3.5 — Ecopipam and the D1 Receptor: A Novel Mechanism</w:t>
      </w:r>
    </w:p>
    <w:p>
      <w:pPr>
        <w:spacing w:before="80" w:after="80"/>
        <w:jc w:val="left"/>
      </w:pPr>
      <w:r>
        <w:rPr>
          <w:rFonts w:ascii="Arial" w:cs="Arial" w:eastAsia="Arial" w:hAnsi="Arial"/>
          <w:sz w:val="24"/>
          <w:szCs w:val="24"/>
        </w:rPr>
        <w:t xml:space="preserve">Until 2025, every pharmacological treatment for Tourette’s targeted the D2 receptor directly or indirectly. Ecopipam represents a mechanistically distinct approach: selective D1 receptor antagonism. The rationale is that D1 receptor supersensitivity in tic-generating circuits may amplify direct pathway Go drive independently of D2 function, and that blocking D1 could reduce direct pathway activation without the indirect effects of D2 antagonism. [Gilbert DL et al., Pediatrics 151 (2023) e2022059574]</w:t>
      </w:r>
    </w:p>
    <w:p>
      <w:pPr>
        <w:spacing w:before="80" w:after="80"/>
        <w:jc w:val="left"/>
      </w:pPr>
      <w:r>
        <w:rPr>
          <w:rFonts w:ascii="Arial" w:cs="Arial" w:eastAsia="Arial" w:hAnsi="Arial"/>
          <w:sz w:val="24"/>
          <w:szCs w:val="24"/>
        </w:rPr>
        <w:t xml:space="preserve">The Phase 3 D1AMOND trial (Emalex Biosciences) reported topline results in February 2025. The following data are from a company press release; the full peer-reviewed publication had not appeared at time of writing and independent verification is not possible from this source. The time-to-relapse primary endpoint was met (p = 0.0084): 41.9% of ecopipam-treated patients relapsed versus 68.1% of placebo patients. The 12-month safety study (Gilbert DL et al., Mov Disord Clin Pract 2025) confirmed tolerability in pediatric patients, with no antipsychotic-associated adverse effects. Most common adverse events were headache, insomnia, fatigue, somnolence, anxiety, nausea, and restlessness. [D1AMOND25; Emalex Biosciences press release, February 25, 2025]</w:t>
      </w:r>
    </w:p>
    <w:p>
      <w:pPr>
        <w:spacing w:before="80" w:after="80"/>
        <w:jc w:val="left"/>
      </w:pPr>
      <w:r>
        <w:rPr>
          <w:rFonts w:ascii="Arial" w:cs="Arial" w:eastAsia="Arial" w:hAnsi="Arial"/>
          <w:sz w:val="24"/>
          <w:szCs w:val="24"/>
        </w:rPr>
        <w:t xml:space="preserve">In October 2025, the FDA authorized an expanded access program for ecopipam for patients who have failed at least one approved TS treatment, to be provided while the NDA is being prepared and submitted. As of the time of this preprint (March 2026), NDA submission was planned for late 2025 per company reporting. The current FDA review status has not been independently verified by this paper; readers should consult current FDA records and company disclosures for the most recent regulatory status. If approved (as of March 2026, NDA anticipated), ecopipam could represent the first TS treatment with a mechanism entirely distinct from D2 blockade and the first new pharmacological mechanism in Tourette’s in decades. The D1 mechanism is particularly interesting given the GABA architecture of the basal ganglia: D1 receptor antagonism would reduce direct pathway facilitation of GPi GABA inhibition (the Go signal), raising the gate threshold from the opposite direction of D2 antagonism. These two mechanisms are not redundant — they address different sides of the Go/NoGo imbalance and may be complementary in treatment-refractory patients.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§4 — The Hormonal Layer: Testosterone, D2 Density, and Male Predominance</w:t>
      </w:r>
    </w:p>
    <w:p>
      <w:pPr>
        <w:spacing w:before="80" w:after="80"/>
        <w:jc w:val="left"/>
      </w:pPr>
      <w:r>
        <w:rPr>
          <w:rFonts w:ascii="Arial" w:cs="Arial" w:eastAsia="Arial" w:hAnsi="Arial"/>
          <w:sz w:val="24"/>
          <w:szCs w:val="24"/>
        </w:rPr>
        <w:t xml:space="preserve">Tourette Syndrome affects boys at approximately 4:1 relative to girls. The sex ratio is consistent with — though not yet causally established by — at least two candidate hormonal mechanisms that may reduce the CSTC NoGo gate in the same direction, and with potential underdiagnosis of girls whose tic presentations may be more subtle or more frequently accompanied by internalizing comorbidities that attract attention first. [Leckman JF et al., Arch Gen Psychiatry 59 (2002) 812]</w:t>
      </w:r>
    </w:p>
    <w:p>
      <w:pPr>
        <w:pStyle w:val="Heading2"/>
        <w:spacing w:before="280" w:after="100"/>
      </w:pPr>
      <w:r>
        <w:rPr>
          <w:rFonts w:ascii="Arial" w:cs="Arial" w:eastAsia="Arial" w:hAnsi="Arial"/>
          <w:b/>
          <w:bCs/>
          <w:color w:val="2E5090"/>
          <w:sz w:val="28"/>
          <w:szCs w:val="28"/>
        </w:rPr>
        <w:t xml:space="preserve">4.1 — Testosterone and Striatal D2 Receptor Density</w:t>
      </w:r>
    </w:p>
    <w:p>
      <w:pPr>
        <w:spacing w:before="80" w:after="80"/>
        <w:jc w:val="left"/>
      </w:pPr>
      <w:r>
        <w:rPr>
          <w:rFonts w:ascii="Arial" w:cs="Arial" w:eastAsia="Arial" w:hAnsi="Arial"/>
          <w:sz w:val="24"/>
          <w:szCs w:val="24"/>
        </w:rPr>
        <w:t xml:space="preserve">Testosterone is a candidate regulator of striatal dopamine D2 receptor expression through androgen receptor (AR) signaling in the striatum. AR activation in D2-expressing medium spiny neurons upregulates D2 receptor mRNA and sensitivity — a mechanism demonstrated directly in adolescent rat nigrostriatal tissue, where androgen administration increased D2 mRNA in substantia nigra and striatum via AR-mediated transcription. [Walker QD et al., PLOS ONE 9(3) (2014) e91151] Higher D2 receptor density in the indirect pathway means greater D2-mediated suppression of indirect pathway GABA output for any given level of dopamine — a lower threshold for the NoGo gate failure that generates tics. Males experience this at two hormonal exposures: fetal (organizational, during weeks 8–24 of gestation) and pubertal (activational). The fetal testosterone surge — peaking between weeks 12 and 18 of gestation — is the candidate for the organizational exposure. Prenatal androgens produce enduring, epigenetically encoded changes in brain circuit organization via AR activation, including in striatum, as documented in animal models of the organizational/activational framework. If AR expression in D2-expressing MSNs is set higher by this prenatal exposure, pubertal testosterone would produce disproportionate D2 receptor upregulation in males relative to females. This is a mechanistic inference from the organizational/activational framework applied to the striatal D2 system; direct measurement of prenatal testosterone-driven AR priming specifically in striatal D2 MSNs in TS has not been performed. [Tier B for the organizational/activational framework as applied here; Leckman JF et al., Arch Gen Psychiatry 59 (2002) 812 for TS sex ratio; Walker QD et al. 2014 for pubertal AR→D2 mechanism]</w:t>
      </w:r>
    </w:p>
    <w:p>
      <w:pPr>
        <w:spacing w:before="80" w:after="80"/>
        <w:jc w:val="left"/>
      </w:pPr>
      <w:r>
        <w:rPr>
          <w:rFonts w:ascii="Arial" w:cs="Arial" w:eastAsia="Arial" w:hAnsi="Arial"/>
          <w:sz w:val="24"/>
          <w:szCs w:val="24"/>
        </w:rPr>
        <w:t xml:space="preserve">Tic severity peaks in early puberty (ages 10–12) in boys, coinciding with the surge in testosterone at puberty. On the proposed hormonal model, the activational mechanism holds that testosterone rises → androgen receptor signaling in striatum → D2 density and sensitivity increase → indirect pathway NoGo gate suppressed → tic threshold lowered. This cascade is a Tier B mechanistic inference; the full human in vivo chain has not been directly demonstrated in TS patients. After peak tic severity, PFC myelination progressively strengthens top-down inhibitory control, and for most patients this dominates over the testosterone effect in late adolescence. The natural history of TS — peak severity in early puberty, followed by improvement in most but not all patients by adulthood — is mechanistically consistent with this testosterone surge then PFC maturation sequence.</w:t>
      </w:r>
    </w:p>
    <w:p>
      <w:pPr>
        <w:pStyle w:val="Heading2"/>
        <w:spacing w:before="280" w:after="100"/>
      </w:pPr>
      <w:r>
        <w:rPr>
          <w:rFonts w:ascii="Arial" w:cs="Arial" w:eastAsia="Arial" w:hAnsi="Arial"/>
          <w:b/>
          <w:bCs/>
          <w:color w:val="2E5090"/>
          <w:sz w:val="28"/>
          <w:szCs w:val="28"/>
        </w:rPr>
        <w:t xml:space="preserve">4.2 — Allopregnanolone, GABA, and Female Protective Effects</w:t>
      </w:r>
    </w:p>
    <w:p>
      <w:pPr>
        <w:spacing w:before="80" w:after="80"/>
        <w:jc w:val="left"/>
      </w:pPr>
      <w:r>
        <w:rPr>
          <w:rFonts w:ascii="Arial" w:cs="Arial" w:eastAsia="Arial" w:hAnsi="Arial"/>
          <w:sz w:val="24"/>
          <w:szCs w:val="24"/>
        </w:rPr>
        <w:t xml:space="preserve">[Tier B throughout this section: evidence rests more heavily on animal models and mechanistic inference than §3.1–3.3.] Allopregnanolone (ALLO), a progesterone metabolite, is a potent positive allosteric modulator of GABA-A receptors. It enhances GABA-A function throughout the brain, including in the basal ganglia gate architecture. In females of reproductive age, cyclically elevated progesterone → ALLO provides fluctuating but generally higher GABA-A potentiation than males experience tonically. This ALLO-mediated GABA-A enhancement raises the effective gate threshold across the CSTC circuit, potentially explaining part of the female protection from severe TS.</w:t>
      </w:r>
    </w:p>
    <w:p>
      <w:pPr>
        <w:spacing w:before="80" w:after="80"/>
        <w:jc w:val="left"/>
      </w:pPr>
      <w:r>
        <w:rPr>
          <w:rFonts w:ascii="Arial" w:cs="Arial" w:eastAsia="Arial" w:hAnsi="Arial"/>
          <w:sz w:val="24"/>
          <w:szCs w:val="24"/>
        </w:rPr>
        <w:t xml:space="preserve">The clinical correlate: some girls with TS report cyclical worsening of tic severity correlating with the premenstrual phase, when progesterone/ALLO levels drop precipitously after the luteal peak. This premenstrual pattern would be consistent with the hormonal gate model, though direct ALLO-based testing in TS remains limited — ALLO withdrawal reduces GABA-A potentiation in the basal ganglia gate, transiently lowering the suppression threshold. This pattern, when present, is diagnostically informative and consistent with the proposed hormonal gate mechanism — though direct ALLO measurement in TS patients during premenstrual phases has not yet been performed. [Tier B; direct ALLO measurement in TS not yet systematically studied]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§5 — The NE/Locus Coeruleus System: Arousal as Gate Threshold Calibrator</w:t>
      </w:r>
    </w:p>
    <w:p>
      <w:pPr>
        <w:spacing w:before="80" w:after="80"/>
        <w:jc w:val="left"/>
      </w:pPr>
      <w:r>
        <w:rPr>
          <w:rFonts w:ascii="Arial" w:cs="Arial" w:eastAsia="Arial" w:hAnsi="Arial"/>
          <w:sz w:val="24"/>
          <w:szCs w:val="24"/>
        </w:rPr>
        <w:t xml:space="preserve">The locus coeruleus (LC) is the primary source of norepinephrine (NE) in the brain and the central regulator of arousal, attention, and stress response. Its projections reach every cortical and subcortical region, including the prefrontal cortex, striatum, and thalamus. This section presents an integrative mechanistic model for how LC-NE, glucocorticoid, and adenosine systems may modulate the CSTC gate threshold. Review literature supports clinical worsening of tics with stress and fatigue, but the full mechanistic chain described here is a synthesis rather than established consensus. [Tier B/C for the integrated model; individual components as noted inline]</w:t>
      </w:r>
    </w:p>
    <w:p>
      <w:pPr>
        <w:spacing w:before="80" w:after="80"/>
        <w:jc w:val="left"/>
      </w:pPr>
      <w:r>
        <w:rPr>
          <w:rFonts w:ascii="Arial" w:cs="Arial" w:eastAsia="Arial" w:hAnsi="Arial"/>
          <w:sz w:val="24"/>
          <w:szCs w:val="24"/>
        </w:rPr>
        <w:t xml:space="preserve">The first mechanism is tonic NE and systemic arousal. NE_tonic level — the baseline firing rate of LC neurons — sets the signal-to-noise ratio of neural processing across the brain. Elevated tonic NE (high arousal, anxiety, stress) reduces the specificity of neural gating: more signals pass through more gates simultaneously. In the CSTC context, elevated tonic NE lowers the effective threshold for motor program escape across all circuits. This may help explain why tics worsen with anxiety, stress, excitement, and sleep deprivation: all of these states elevate LC tonic firing and reduce the selectivity of the striatal gate. The gate does not fail in a new way — it fails more easily in the same way, across more circuits simultaneously. [Berridge CW &amp; Waterhouse BD, Brain Res Rev 42 (2003) 33]</w:t>
      </w:r>
    </w:p>
    <w:p>
      <w:pPr>
        <w:spacing w:before="80" w:after="80"/>
        <w:jc w:val="left"/>
      </w:pPr>
      <w:r>
        <w:rPr>
          <w:rFonts w:ascii="Arial" w:cs="Arial" w:eastAsia="Arial" w:hAnsi="Arial"/>
          <w:sz w:val="24"/>
          <w:szCs w:val="24"/>
        </w:rPr>
        <w:t xml:space="preserve">Critically, the effect of elevated tonic NE on the CSTC gate is not merely quantitative — it is qualitatively different network topology. Optogenetic and fMRI evidence demonstrates that tonic LC activation specifically shifts network activity toward associative cortical regions, while phasic LC burst stimulation shifts activity toward sensory regions. On this account, these are not the same arousal state at different intensities — they may represent qualitatively distinct network modes with different connectivity profiles, though this distinction has not been directly tested in TS. [Tier C] [Grimm C et al., Nature Neurosci 27 (2024) 2167] In the TS context, sustained high-anxiety states do not simply lower the gate threshold by a fixed amount. They move the brain into an associative-dominant network mode in which top-down PFC inhibitory control over the CSTC loop is structurally weakened — because PFC inhibitory control is a task-focused, phasic-mode function, and tonic LC mode de-emphasizes exactly those networks. This may help explain why the anxiety-tic relationship in TS is so difficult to break by willpower alone: the network state produced by chronic anxiety is the state in which voluntary tic suppression is most costly to maintain.</w:t>
      </w:r>
    </w:p>
    <w:p>
      <w:pPr>
        <w:spacing w:before="80" w:after="80"/>
        <w:jc w:val="left"/>
      </w:pPr>
      <w:r>
        <w:rPr>
          <w:rFonts w:ascii="Arial" w:cs="Arial" w:eastAsia="Arial" w:hAnsi="Arial"/>
          <w:sz w:val="24"/>
          <w:szCs w:val="24"/>
        </w:rPr>
        <w:t xml:space="preserve">The second mechanism is PFC modulation. LC NE projects to the prefrontal cortex via α2A-adrenergic receptors on dlPFC dendritic spines. At optimal NE levels, α2A signaling strengthens PFC network connectivity, improving top-down inhibitory control over the CSTC loop. Guanfacine (selective α2A agonist) and clonidine (less selective α2 agonist) both reduce tic severity in part by strengthening PFC→striatum inhibitory drive, raising the effective gate threshold from above. [Arnsten AFT, Neurobiol Learn Mem 176 (2020) 107327] Alpha-2 agonists therefore work through two simultaneous mechanisms: reducing LC tonic firing (lowering systemic arousal) and strengthening PFC top-down control (raising gate threshold directly).</w:t>
      </w:r>
    </w:p>
    <w:p>
      <w:pPr>
        <w:spacing w:before="80" w:after="80"/>
        <w:jc w:val="left"/>
      </w:pPr>
      <w:r>
        <w:rPr>
          <w:rFonts w:ascii="Arial" w:cs="Arial" w:eastAsia="Arial" w:hAnsi="Arial"/>
          <w:sz w:val="24"/>
          <w:szCs w:val="24"/>
        </w:rPr>
        <w:t xml:space="preserve">The clinical implication is that arousal management is not ancillary to TS treatment — it is mechanistically central. Anxiety reduction, sleep hygiene, and stress management are not soft interventions. On the LC-NE model developed in this paper, they should reduce LC tonic firing, restore the specificity of the striatal gate, and lower the effective threshold for tic escape — though direct measurement of LC firing in TS patients during these interventions has not been performed. The frequent co-occurrence of anxiety and TS is not merely comorbidity — anxiety and elevated NE_tonic are part of the same gate-lowering mechanism that produces tics.</w:t>
      </w:r>
    </w:p>
    <w:p>
      <w:pPr>
        <w:spacing w:before="80" w:after="80"/>
        <w:jc w:val="left"/>
      </w:pPr>
      <w:r>
        <w:rPr>
          <w:rFonts w:ascii="Arial" w:cs="Arial" w:eastAsia="Arial" w:hAnsi="Arial"/>
          <w:sz w:val="24"/>
          <w:szCs w:val="24"/>
        </w:rPr>
        <w:t xml:space="preserve">Chronic stress lowers the tic gate threshold through a second, independent mechanism: glucocorticoid receptors on D2-expressing medium spiny neurons directly sensitize the indirect pathway. Cortisol binding to GRs on D2 MSNs increases their excitability, sensitizing D2 MSNs to dopamine’s inhibitory effect on their firing — making the indirect pathway more easily suppressed by whatever striatal dopamine level is present, compounding the D2 hyperstimulation mechanism that is already excessive in TS. Chronic stress therefore compounds D2 hyperstimulation from below (increasing D2 receptor sensitivity) while simultaneously reducing gate specificity from above (LC tonic NE). These two mechanisms are mechanistically independent and additive, which may help explain why stress produces disproportionate tic worsening relative to its magnitude: it hits the gate from two angles at once. [Tier B; GR on D2 MSN mechanism confirmed; unified contribution to tic threshold in TS is an integrative synthesis]</w:t>
      </w:r>
    </w:p>
    <w:p>
      <w:pPr>
        <w:pStyle w:val="Heading2"/>
        <w:spacing w:before="280" w:after="100"/>
      </w:pPr>
      <w:r>
        <w:rPr>
          <w:rFonts w:ascii="Arial" w:cs="Arial" w:eastAsia="Arial" w:hAnsi="Arial"/>
          <w:b/>
          <w:bCs/>
          <w:color w:val="2E5090"/>
          <w:sz w:val="28"/>
          <w:szCs w:val="28"/>
        </w:rPr>
        <w:t xml:space="preserve">5.1 — Sleep Deprivation as a Specific Gate Vulnerability</w:t>
      </w:r>
    </w:p>
    <w:p>
      <w:pPr>
        <w:spacing w:before="80" w:after="80"/>
        <w:jc w:val="left"/>
      </w:pPr>
      <w:r>
        <w:rPr>
          <w:rFonts w:ascii="Arial" w:cs="Arial" w:eastAsia="Arial" w:hAnsi="Arial"/>
          <w:sz w:val="24"/>
          <w:szCs w:val="24"/>
        </w:rPr>
        <w:t xml:space="preserve">Sleep deprivation produces specific vulnerability to tic exacerbation through two convergent mechanisms. First, sleep deprivation elevates LC tonic NE, producing the same arousal-mediated gate threshold reduction described above. Second, and more specifically, NREM slow-wave sleep is associated with restoration of GABAergic inhibitory function in cortical and subcortical circuits. The adenosine-LC interaction during NREM sleep is mechanistically central: adenosine accumulates during waking, progressively suppressing LC firing and promoting NREM onset; during NREM, adenosine clearance resets the LC, and GABAergic circuits throughout the basal ganglia system undergo restorative normalization. A second adenosine pathway is also relevant: adenosine A2A receptors on D2-expressing medium spiny neurons oppose dopamine at D2, making the indirect pathway more tonically active. During waking as adenosine builds, A2A activation on D2 MSNs increases indirect pathway tone — a compensatory anti-tic effect. Sleep deprivation disrupts this balance: the dominant effect of accumulated adenosine is LC suppression failure (NE_tonic rises paradoxically in sleep-deprived states) and GABAergic restoration failure, which together override the A2A-mediated indirect pathway compensation and produce net gate threshold reduction. [Tier B for the A2A/D2 MSN pathway in TS gate modulation]</w:t>
      </w:r>
    </w:p>
    <w:p>
      <w:pPr>
        <w:spacing w:before="80" w:after="80"/>
        <w:jc w:val="left"/>
      </w:pPr>
      <w:r>
        <w:rPr>
          <w:rFonts w:ascii="Arial" w:cs="Arial" w:eastAsia="Arial" w:hAnsi="Arial"/>
          <w:sz w:val="24"/>
          <w:szCs w:val="24"/>
        </w:rPr>
        <w:t xml:space="preserve">Actigraphy studies confirm that children with TS show increased sleep onset latency, reduced sleep efficiency, and reduced NREM sleep time compared to controls — with 83% of TS children meeting clinical cut-off criteria for a sleep disorder in one study. [Keenan L et al., Sleep Medicine 113 (2024) 313] Sleep disruption in TS is not a secondary consequence of tic severity at night: it is a bidirectional relationship in which disrupted sleep reduces GABAergic gate restoration, lowering daytime tic threshold. The practical implication is direct: sleep optimization should be treated as a core component of tic management rather than an afterthought. Daytime tic severity is partly a readout of the previous night’s sleep quality.</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§6 — The Cerebellar Contribution to Tic Timing</w:t>
      </w:r>
    </w:p>
    <w:p>
      <w:pPr>
        <w:spacing w:before="80" w:after="80"/>
        <w:jc w:val="left"/>
      </w:pPr>
      <w:r>
        <w:rPr>
          <w:rFonts w:ascii="Arial" w:cs="Arial" w:eastAsia="Arial" w:hAnsi="Arial"/>
          <w:sz w:val="24"/>
          <w:szCs w:val="24"/>
        </w:rPr>
        <w:t xml:space="preserve">The cerebellum’s role in Tourette’s has been undercharacterized but is mechanistically important. The cerebellum is the brain’s precision timing and error-correction system: it compares intended motor output to actual output via climbing fiber signals from the inferior olive, and adjusts future motor plans via long-term depression at parallel fiber-Purkinje cell synapses. In the context of TS, the cerebellum contributes to two distinct aspects of tic biology.</w:t>
      </w:r>
    </w:p>
    <w:p>
      <w:pPr>
        <w:spacing w:before="80" w:after="80"/>
        <w:jc w:val="left"/>
      </w:pPr>
      <w:r>
        <w:rPr>
          <w:rFonts w:ascii="Arial" w:cs="Arial" w:eastAsia="Arial" w:hAnsi="Arial"/>
          <w:sz w:val="24"/>
          <w:szCs w:val="24"/>
        </w:rPr>
        <w:t xml:space="preserve">First, tic stereotypy. Tics in a given patient are remarkably consistent — the same movement, the same force, the same trajectory, repeated across months and years. This stereotypy is inconsistent with the idea that tics are random motor noise. One possible mechanism contributing to tic stereotypy is cerebellar long-term depression (LTD). Each time a tic executes, the inferior olive generates a climbing fiber signal representing the sensory outcome of that tic. When this climbing fiber signal coincides with the parallel fiber activity that preceded the tic, LTD is induced at those parallel fiber-Purkinje cell synapses — progressively encoding the exact timing signature of that tic’s execution. The tic may fire consistently because the cerebellar timing module has been progressively calibrated through repeated execution — on the LTD account described here. [Schmahmann JD, J Neuropsychiatry Clin Neurosci 16 (2004) 367; Ito M, Ann NY Acad Sci 978 (2002) 273]</w:t>
      </w:r>
    </w:p>
    <w:p>
      <w:pPr>
        <w:spacing w:before="80" w:after="80"/>
        <w:jc w:val="left"/>
      </w:pPr>
      <w:r>
        <w:rPr>
          <w:rFonts w:ascii="Arial" w:cs="Arial" w:eastAsia="Arial" w:hAnsi="Arial"/>
          <w:sz w:val="24"/>
          <w:szCs w:val="24"/>
        </w:rPr>
        <w:t xml:space="preserve">This LTD framework offers one mechanistically interesting account of how CBIT might weaken tic stereotypy over time. By training a competing response — a different movement executed when the premonitory urge appears — CBIT deprives the tic’s cerebellar timing module of its reinforcement signal. The tic motor program does not execute, so the climbing fiber cannot fire the tic’s sensory outcome signal, so the LTD that encodes the tic’s timing is not reinforced. Over repeated training sessions, the tic’s cerebellar timing module undergoes progressive depotentiation — the precision of the encoded timing signature degrades, the tic becomes less stereotyped and less automatic, and the urge-to-tic cycle weakens. CBIT may therefore work partly by interrupting the cerebellar LTD reinforcement cycle: the competing response deprives the inferior olive of the tic-execution signal needed to maintain LTD encoding. This mechanism is proposed as an author synthesis; it has not been directly tested. [Tier B for cerebellar LTD account; Tier C for direct link to CBIT]</w:t>
      </w:r>
    </w:p>
    <w:p>
      <w:pPr>
        <w:spacing w:before="80" w:after="80"/>
        <w:jc w:val="left"/>
      </w:pPr>
      <w:r>
        <w:rPr>
          <w:rFonts w:ascii="Arial" w:cs="Arial" w:eastAsia="Arial" w:hAnsi="Arial"/>
          <w:sz w:val="24"/>
          <w:szCs w:val="24"/>
        </w:rPr>
        <w:t xml:space="preserve">Second, the cerebellar-CSTC interface. Neuroimaging studies in TS show structural and functional abnormalities in cortico-striatal-cerebellar networks, not only in the direct CSTC loop. [Worbe Y et al., Brain 138 (2015) 472] The cerebellum projects back to the thalamus (via dentate nucleus → VL thalamus → motor cortex), forming a second loop that converges with the CSTC output at the thalamus. Disruption of the cerebellar-thalamic projection may contribute to the aberrant thalamocortical synchrony observed in TS, potentially amplifying the motor program escape that the striatal gate has failed to suppress.</w:t>
      </w:r>
    </w:p>
    <w:p>
      <w:pPr>
        <w:spacing w:before="80" w:after="80"/>
        <w:jc w:val="left"/>
      </w:pPr>
      <w:r>
        <w:rPr>
          <w:rFonts w:ascii="Arial" w:cs="Arial" w:eastAsia="Arial" w:hAnsi="Arial"/>
          <w:sz w:val="24"/>
          <w:szCs w:val="24"/>
        </w:rPr>
        <w:t xml:space="preserve">The centromedian thalamic nucleus — the primary DBS target for refractory TS — is not a simple motor relay. The centromedian-parafascicular (CM/PF) complex provides a diffuse salience input to the striatum, arriving via glutamate before the dopaminergic reward prediction error signal. Driven by brainstem arousal systems including LC norepinephrine, raphe serotonin, and pedunculopontine cholinergic projections, the CM/PF signals to the striatum that a given input is urgent or salient — amplifying the striatal circuit’s response to that input. In TS, chronically elevated LC tonic NE from anxiety or stress produces elevated CM/PF drive, amplifying the salience signal at the tic-generating striatal circuits and making motor program escape more likely. On this account, centromedian DBS does not merely disrupt pathological oscillatory synchrony — it may interrupt the thalamic salience amplifier that is boosting the tic-generating circuit’s excitability. This mechanistic account, derived from the thalamic salience pathway literature, has not been explicitly framed in the TS DBS literature, which tends to describe the centromedian target in terms of oscillatory disruption rather than salience pathway interruption. [Tier B; CM/PF salience function confirmed; application to DBS mechanism in TS is an integrative synthesis]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§7 — Natural History: Why Tourette’s Often Improves in Adulthood</w:t>
      </w:r>
    </w:p>
    <w:p>
      <w:pPr>
        <w:spacing w:before="80" w:after="80"/>
        <w:jc w:val="left"/>
      </w:pPr>
      <w:r>
        <w:rPr>
          <w:rFonts w:ascii="Arial" w:cs="Arial" w:eastAsia="Arial" w:hAnsi="Arial"/>
          <w:sz w:val="24"/>
          <w:szCs w:val="24"/>
        </w:rPr>
        <w:t xml:space="preserve">Tic severity peaks in most patients between ages 10 and 12. Review literature indicates tics usually improve with age in most patients, though outcomes vary considerably: longitudinal studies indicate approximately 17% achieve complete remission after age 16, approximately 60% continue with mild-to-moderate tics, and up to 23% have persistent severe tics into adulthood. [Robertson MM, Brain 123 (2000) 425] This natural history may reflect progressive maturation of top-down inhibitory control rather than representing spontaneous resolution — it is predictable from the neurodevelopmental timeline of the prefrontal cortex.</w:t>
      </w:r>
    </w:p>
    <w:p>
      <w:pPr>
        <w:spacing w:before="80" w:after="80"/>
        <w:jc w:val="left"/>
      </w:pPr>
      <w:r>
        <w:rPr>
          <w:rFonts w:ascii="Arial" w:cs="Arial" w:eastAsia="Arial" w:hAnsi="Arial"/>
          <w:sz w:val="24"/>
          <w:szCs w:val="24"/>
        </w:rPr>
        <w:t xml:space="preserve">PFC myelination is the primary driver. The prefrontal cortex provides top-down inhibitory control over the CSTC loop: mature PFC→striatum glutamatergic projections strengthen the competing inhibitory signal against escaped motor programs. PFC myelination continues through approximately age 25. As myelination proceeds, the PFC’s ability to deploy top-down control faster and more reliably increases, raising the effective gate threshold and reducing tic frequency and severity. This is a structural refinement — the architecture updating to provide better suppression capacity as it matures.</w:t>
      </w:r>
    </w:p>
    <w:p>
      <w:pPr>
        <w:spacing w:before="80" w:after="80"/>
        <w:jc w:val="left"/>
      </w:pPr>
      <w:r>
        <w:rPr>
          <w:rFonts w:ascii="Arial" w:cs="Arial" w:eastAsia="Arial" w:hAnsi="Arial"/>
          <w:sz w:val="24"/>
          <w:szCs w:val="24"/>
        </w:rPr>
        <w:t xml:space="preserve">The testosterone-PFC interaction may help explain the age-10–12 peak. Testosterone rises at puberty, activating D2 receptor upregulation in the striatum (lowering the gate threshold) simultaneously with early PFC maturation (raising it). The net effect in early puberty is gate-lowering, because the testosterone effect dominates the partially-myelinated PFC effect. By late adolescence and early adulthood, PFC myelination has advanced far enough to dominate the testosterone effect, producing the characteristic improvement. Patients who do not show this improvement by age 18 tend to have either more severe underlying circuit disruption or co-occurring conditions (OCD, ADHD, anxiety) that sustain elevated corticostriatal drive independently.</w:t>
      </w:r>
    </w:p>
    <w:p>
      <w:pPr>
        <w:spacing w:before="80" w:after="80"/>
        <w:jc w:val="left"/>
      </w:pPr>
      <w:r>
        <w:rPr>
          <w:rFonts w:ascii="Arial" w:cs="Arial" w:eastAsia="Arial" w:hAnsi="Arial"/>
          <w:sz w:val="24"/>
          <w:szCs w:val="24"/>
        </w:rPr>
        <w:t xml:space="preserve">The 30–50% who do not substantially improve in adulthood represent the persistent TS population. Their continued tic burden reflects a circuit-level difference in the degree of indirect pathway restoration achievable by PFC maturation alone, consistent with the neurobiological framing developed throughout this paper. These patients are the appropriate candidates for ongoing pharmacological management and the population in which novel mechanisms like ecopipam are being evaluated.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§8 — Co-occurring Conditions: OCD, ADHD, and Anxiety</w:t>
      </w:r>
    </w:p>
    <w:p>
      <w:pPr>
        <w:spacing w:before="80" w:after="80"/>
        <w:jc w:val="left"/>
      </w:pPr>
      <w:r>
        <w:rPr>
          <w:rFonts w:ascii="Arial" w:cs="Arial" w:eastAsia="Arial" w:hAnsi="Arial"/>
          <w:sz w:val="24"/>
          <w:szCs w:val="24"/>
        </w:rPr>
        <w:t xml:space="preserve">Tourette’s rarely occurs in isolation. Approximately 60% of TS patients have OCD or significant obsessive-compulsive symptoms; 50–60% have ADHD; 40–50% have clinically significant anxiety. These conditions may not be fully independent comorbidities and may reflect, in part, overlapping CSTC vulnerabilities that happen to co-occur with TS — they share the same CSTC gate architecture expressed across overlapping neural territories. [Robertson MM, Brain 123 (2000) 425]</w:t>
      </w:r>
    </w:p>
    <w:p>
      <w:pPr>
        <w:pStyle w:val="Heading2"/>
        <w:spacing w:before="280" w:after="100"/>
      </w:pPr>
      <w:r>
        <w:rPr>
          <w:rFonts w:ascii="Arial" w:cs="Arial" w:eastAsia="Arial" w:hAnsi="Arial"/>
          <w:b/>
          <w:bCs/>
          <w:color w:val="2E5090"/>
          <w:sz w:val="28"/>
          <w:szCs w:val="28"/>
        </w:rPr>
        <w:t xml:space="preserve">8.1 — OCD: The Cognitive CSTC Loop</w:t>
      </w:r>
    </w:p>
    <w:p>
      <w:pPr>
        <w:spacing w:before="80" w:after="80"/>
        <w:jc w:val="left"/>
      </w:pPr>
      <w:r>
        <w:rPr>
          <w:rFonts w:ascii="Arial" w:cs="Arial" w:eastAsia="Arial" w:hAnsi="Arial"/>
          <w:sz w:val="24"/>
          <w:szCs w:val="24"/>
        </w:rPr>
        <w:t xml:space="preserve">OCD involves the same GABA gate failure architecture as Tourette’s, expressed in the cognitive (orbitofrontal-caudate) rather than the sensorimotor CSTC loop. In this framework, obsessions can be viewed as thought patterns — cognitive patterns that have escaped the orbitofrontal gate and propagate without voluntary authorization. Compulsions provide temporary relief from the obsession (the cognitive premonitory urge), exactly as tics provide temporary relief from the somatic premonitory urge. On the gate-failure model, the urge-compulsion-relief cycle in OCD is structurally analogous to the urge-tic-relief cycle in TS — this parallel is an author synthesis and not a directly tested claim. The treatment approach is also structurally analogous: Exposure and Response Prevention (ERP) for OCD trains patients to tolerate the obsessive urge without performing the compulsion, allowing the urge to extinguish through habituation — the same mechanism as CBIT for tics, applied to the cognitive loop.</w:t>
      </w:r>
    </w:p>
    <w:p>
      <w:pPr>
        <w:spacing w:before="80" w:after="80"/>
        <w:jc w:val="left"/>
      </w:pPr>
      <w:r>
        <w:rPr>
          <w:rFonts w:ascii="Arial" w:cs="Arial" w:eastAsia="Arial" w:hAnsi="Arial"/>
          <w:sz w:val="24"/>
          <w:szCs w:val="24"/>
        </w:rPr>
        <w:t xml:space="preserve">The co-occurrence of TS and OCD at rates far above chance (20–60% depending on definition) reflects their shared GABA gate architecture. A patient with reduced indirect pathway GABA output due to D2 hyperstimulation may express this as motor tics (sensorimotor striatum affected), OCD (caudate-orbitofrontal loop affected), or both — depending on which circuits show the most hyperdopaminergic activity.</w:t>
      </w:r>
    </w:p>
    <w:p>
      <w:pPr>
        <w:pStyle w:val="Heading2"/>
        <w:spacing w:before="280" w:after="100"/>
      </w:pPr>
      <w:r>
        <w:rPr>
          <w:rFonts w:ascii="Arial" w:cs="Arial" w:eastAsia="Arial" w:hAnsi="Arial"/>
          <w:b/>
          <w:bCs/>
          <w:color w:val="2E5090"/>
          <w:sz w:val="28"/>
          <w:szCs w:val="28"/>
        </w:rPr>
        <w:t xml:space="preserve">8.2 — ADHD: Dopaminergic PFC Gating</w:t>
      </w:r>
    </w:p>
    <w:p>
      <w:pPr>
        <w:spacing w:before="80" w:after="80"/>
        <w:jc w:val="left"/>
      </w:pPr>
      <w:r>
        <w:rPr>
          <w:rFonts w:ascii="Arial" w:cs="Arial" w:eastAsia="Arial" w:hAnsi="Arial"/>
          <w:sz w:val="24"/>
          <w:szCs w:val="24"/>
        </w:rPr>
        <w:t xml:space="preserve">ADHD involves reduced dopaminergic signaling at D1 receptors in the prefrontal cortex, impairing the PFC’s ability to maintain working memory representations and apply top-down inhibitory control. The PFC in ADHD is less able to deploy the competing suppression signal that the dACC→dlPFC→striatum control chain requires. The consequence in the TS context is that the natural PFC-based compensatory mechanism for tic suppression is itself impaired. A TS patient with ADHD has both a failing gate (striatal indirect pathway dysfunction) and a weakened compensatory mechanism (PFC dopaminergic insufficiency), which may help explain why the TS+ADHD combination is often more clinically severe than either condition alone.</w:t>
      </w:r>
    </w:p>
    <w:p>
      <w:pPr>
        <w:spacing w:before="80" w:after="80"/>
        <w:jc w:val="left"/>
      </w:pPr>
      <w:r>
        <w:rPr>
          <w:rFonts w:ascii="Arial" w:cs="Arial" w:eastAsia="Arial" w:hAnsi="Arial"/>
          <w:sz w:val="24"/>
          <w:szCs w:val="24"/>
        </w:rPr>
        <w:t xml:space="preserve">The stimulant medication question in TS+ADHD is complex. Historically, stimulants were believed to worsen tics through dopamine elevation. Current evidence suggests that stimulants do not reliably worsen tics in most patients and in some may improve tic control by strengthening PFC function — improving the compensatory suppression mechanism. Guanfacine addresses both ADHD (strengthening PFC→striatum via α2A) and tic suppression simultaneously, making it a mechanistically rational choice for the TS+ADHD presentation.</w:t>
      </w:r>
    </w:p>
    <w:p>
      <w:pPr>
        <w:spacing w:before="80" w:after="80"/>
        <w:jc w:val="left"/>
      </w:pPr>
      <w:r>
        <w:rPr>
          <w:rFonts w:ascii="Arial" w:cs="Arial" w:eastAsia="Arial" w:hAnsi="Arial"/>
          <w:sz w:val="24"/>
          <w:szCs w:val="24"/>
        </w:rPr>
        <w:t xml:space="preserve">The mechanistic depth of the TS+ADHD combination becomes clearer when the two circuit disruptions are placed side by side. In TS, the primary disruption is D2 hyperstimulation in the sensorimotor striatum — the indirect pathway NoGo gate is suppressed, and motor programs escape. In ADHD, the primary disruption is sub-optimal D1 activation in the mesocortical prefrontal circuit — the PFC→striatum inhibitory control pathway that provides top-down gate compensation is weakened. The D1 prefrontal inverted-U relationship is now established at single-neuron resolution: optimal D1 activation selectively sculpts PFC delay-cell firing by suppressing responses to nonpreferred inputs, sharpening the inhibitory control signal; too little D1 activation and this sculpting fails. [Vijayraghavan S et al., Nat Neurosci 10 (2007) 376; Weber DA et al., Behav Neurosci 136 (2022) 207] In the TS+ADHD combination, both disruptions are active simultaneously and mechanistically independent: D2 hyperstimulation pushes motor programs through the gate from below, while D1 underactivation weakens the PFC suppression mechanism that would normally compensate from above. These are not the same problem compounded — they are two separate mechanisms hitting the same tic threshold from opposite sides, which explains why the TS+ADHD combination is disproportionately severe and why no single pharmacological agent addresses both disruptions with equal mechanistic precision. [Tier B for the integrated two-disruption model in TS+ADHD; individual D1 and D2 mechanisms Tier A]</w:t>
      </w:r>
    </w:p>
    <w:p>
      <w:pPr>
        <w:pStyle w:val="Heading2"/>
        <w:spacing w:before="280" w:after="100"/>
      </w:pPr>
      <w:r>
        <w:rPr>
          <w:rFonts w:ascii="Arial" w:cs="Arial" w:eastAsia="Arial" w:hAnsi="Arial"/>
          <w:b/>
          <w:bCs/>
          <w:color w:val="2E5090"/>
          <w:sz w:val="28"/>
          <w:szCs w:val="28"/>
        </w:rPr>
        <w:t xml:space="preserve">8.3 — Anxiety: The Arousal-Gate Loop</w:t>
      </w:r>
    </w:p>
    <w:p>
      <w:pPr>
        <w:spacing w:before="80" w:after="80"/>
        <w:jc w:val="left"/>
      </w:pPr>
      <w:r>
        <w:rPr>
          <w:rFonts w:ascii="Arial" w:cs="Arial" w:eastAsia="Arial" w:hAnsi="Arial"/>
          <w:sz w:val="24"/>
          <w:szCs w:val="24"/>
        </w:rPr>
        <w:t xml:space="preserve">Anxiety and TS share a bidirectional relationship. Elevated anxiety raises LC tonic NE, which lowers the CSTC gate threshold across circuits — directly worsening tic severity as described in §5. Simultaneously, tic severity increases anxiety: unpredictable involuntary movements in social contexts are a direct source of social anxiety, shame, and anticipatory distress. The result is a self-amplifying loop: anxiety worsens tics, tics worsen anxiety, elevated anxiety worsens tics further.</w:t>
      </w:r>
    </w:p>
    <w:p>
      <w:pPr>
        <w:spacing w:before="80" w:after="80"/>
        <w:jc w:val="left"/>
      </w:pPr>
      <w:r>
        <w:rPr>
          <w:rFonts w:ascii="Arial" w:cs="Arial" w:eastAsia="Arial" w:hAnsi="Arial"/>
          <w:sz w:val="24"/>
          <w:szCs w:val="24"/>
        </w:rPr>
        <w:t xml:space="preserve">A second, faster mechanism operates in acutely threatening or socially embarrassing situations. The amygdala (BLA) detects the threat signal — social exposure, perceived judgment, anticipated embarrassment — and drives the dorsolateral PAG via glutamate. The dlPAG in turn projects to the LC, producing a fast norepinephrine burst that immediately lowers the CSTC gate threshold. This is not the same mechanism as chronic tonic LC elevation from sustained anxiety. It is a rapid, phasic NE spike triggered by the specific social threat detection event. The practical consequence: tic frequency can spike within seconds of entering a socially exposed situation, faster than conscious anxiety can develop, because the BLA→dlPAG→LC pathway is faster than the cortical anxiety elaboration. This is consistent with the clinical observation that TS patients often tic more in public even when they report not feeling anxious \u2014 on this account, the subcortical threat signal may fire before conscious anxiety elaborates. [Tier B for the BLA→dlPAG→LC fast-threat chain in TS social exposure; individual pathway components Tier A]</w:t>
      </w:r>
    </w:p>
    <w:p>
      <w:pPr>
        <w:spacing w:before="80" w:after="80"/>
        <w:jc w:val="left"/>
      </w:pPr>
      <w:r>
        <w:rPr>
          <w:rFonts w:ascii="Arial" w:cs="Arial" w:eastAsia="Arial" w:hAnsi="Arial"/>
          <w:sz w:val="24"/>
          <w:szCs w:val="24"/>
        </w:rPr>
        <w:t xml:space="preserve">Breaking this loop — through CBIT (reducing tic frequency and unpredictability), anxiety-specific treatment (reducing both tonic LC elevation and BLA threat sensitivity), and psychoeducation (reducing shame-based anticipatory anxiety) — is often more effective than targeting either component alone.</w:t>
      </w:r>
    </w:p>
    <w:p>
      <w:pPr>
        <w:spacing w:before="80" w:after="80"/>
        <w:jc w:val="left"/>
      </w:pPr>
      <w:r>
        <w:rPr>
          <w:rFonts w:ascii="Arial" w:cs="Arial" w:eastAsia="Arial" w:hAnsi="Arial"/>
          <w:sz w:val="24"/>
          <w:szCs w:val="24"/>
        </w:rPr>
        <w:t xml:space="preserve">Within the anxiety comorbidity, a neuroanatomical distinction separates two temporal modes of tic exacerbation. The BLA–dlPAG–LC circuit generates the fast, cue-specific threat signal: threat perceived → phasic LC NE burst → tic gate threshold drops within seconds. A distinct structure, the bed nucleus of the stria terminalis (BNST), generates the sustained, anticipatory arm: knowing that a social situation is coming — before it arrives — activates BNST, which sustains HPA output (BNST → PVN → CRH → cortisol) and maintains elevated LC NE tone for as long as the uncertain social threat persists. The BNST does not respond to the specific cue that signals danger; it responds to the context of uncertain threat duration. This predicts a clinically observable pattern: TS patients with comorbid anxiety may show worsening tics on the morning before a school performance or social event — not only during it — a different time-course than the acute BLA mechanism would predict. The BNST pathway adds a sustained, context-driven HPA and NE load that operates in parallel with the acute fear circuit, lowering the CSTC gate threshold for hours before the aversive context is entered. [Davis M et al., Ann NY Acad Sci 985 (2003) 199; canonical BNST vs BLA dissociation; application to TS is Tier C — no direct TS-BNST data; individual mechanistic components Tier A]</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§9 — PANDAS/PANS: Immune Attack on the Striatal Gate</w:t>
      </w:r>
    </w:p>
    <w:p>
      <w:pPr>
        <w:spacing w:before="80" w:after="80"/>
        <w:jc w:val="left"/>
      </w:pPr>
      <w:r>
        <w:rPr>
          <w:rFonts w:ascii="Arial" w:cs="Arial" w:eastAsia="Arial" w:hAnsi="Arial"/>
          <w:sz w:val="24"/>
          <w:szCs w:val="24"/>
        </w:rPr>
        <w:t xml:space="preserve">Pediatric Autoimmune Neuropsychiatric Disorders Associated with Streptococcal Infections (PANDAS) and the broader Pediatric Acute-onset Neuropsychiatric Syndrome (PANS) represent the immune-mediated acute form of striatal gate failure. They are mechanistically distinct from idiopathic TS but illuminate the underlying circuit vulnerability by producing the same symptoms — acute-onset tics and obsessive-compulsive behaviors — through immune attack rather than dopaminergic dysregulation.</w:t>
      </w:r>
    </w:p>
    <w:p>
      <w:pPr>
        <w:pStyle w:val="Heading2"/>
        <w:spacing w:before="280" w:after="100"/>
      </w:pPr>
      <w:r>
        <w:rPr>
          <w:rFonts w:ascii="Arial" w:cs="Arial" w:eastAsia="Arial" w:hAnsi="Arial"/>
          <w:b/>
          <w:bCs/>
          <w:color w:val="2E5090"/>
          <w:sz w:val="28"/>
          <w:szCs w:val="28"/>
        </w:rPr>
        <w:t xml:space="preserve">9.1 — Mechanism: Molecular Mimicry and Striatal Autoimmunity</w:t>
      </w:r>
    </w:p>
    <w:p>
      <w:pPr>
        <w:spacing w:before="80" w:after="80"/>
        <w:jc w:val="left"/>
      </w:pPr>
      <w:r>
        <w:rPr>
          <w:rFonts w:ascii="Arial" w:cs="Arial" w:eastAsia="Arial" w:hAnsi="Arial"/>
          <w:sz w:val="24"/>
          <w:szCs w:val="24"/>
        </w:rPr>
        <w:t xml:space="preserve">A leading mechanistic account of PANDAS involves molecular mimicry: Group A streptococcal (GAS) cell wall antigens share structural similarity with neuronal proteins in the basal ganglia, particularly in the striatum. In genetically susceptible children, GAS infection triggers an immune response that generates antibodies cross-reactive with striatal proteins. These autoantibodies — targeting CaM kinase II (CAMKII) and other striatal proteins — enter the brain via cytokine-driven tight junction disruption at the blood-brain barrier. During the acute febrile immune response to GAS, elevated IL-1\u03B2 and TNF-\u03B1 directly downregulate tight junction proteins at the blood-brain barrier, increasing paracellular permeability and creating a window of enhanced antibody transit during peak immune activation. Cortisol from the concurrent febrile stress response adds a second BBB-weakening signal. This molecular mechanism \u2014 inflammatory cytokine-driven tight junction disruption \u2014 replaces the vague framing of \u2018transiently permeable BBB\u2019 with a specific, testable mechanism. [Tier B for cytokine-driven BBB permeability; application to PANDAS autoantibody transit is Tier C pending direct measurement in PANDAS tissue] These autoantibodies disrupt striatal function. The result is acute-onset tics and OCD symptoms that appear dramatically, often overnight, following streptococcal infection. [Swedo SE et al., Am J Psychiatry 155 (1998) 264]</w:t>
      </w:r>
    </w:p>
    <w:p>
      <w:pPr>
        <w:spacing w:before="80" w:after="80"/>
        <w:jc w:val="left"/>
      </w:pPr>
      <w:r>
        <w:rPr>
          <w:rFonts w:ascii="Arial" w:cs="Arial" w:eastAsia="Arial" w:hAnsi="Arial"/>
          <w:sz w:val="24"/>
          <w:szCs w:val="24"/>
        </w:rPr>
        <w:t xml:space="preserve">Recent evidence has identified the specific striatal cell type targeted by PANDAS antibodies: cholinergic interneurons (CINs). CINs are a small but functionally critical population of striatal interneurons that are tonically active and whose “pause” response to dopamine bursts is the gate-sharpening moment of action selection: the CIN pause is precisely when D1/D2 competition is sharpest, when acetylcholine drops transiently, and when the gate's precision is highest. On this account, the CIN pause may represent more than a modulator of the gate — it may be the moment at which the gate fires with maximum selectivity. Antibodies from children with PANDAS bind specifically to striatal cholinergic interneurons and alter their activity, as shown in preclinical models. When CIN function is disrupted by autoantibodies, the gate-sharpening moment fails: D1/D2 competition becomes less precise at exactly the moment it should be most precise, and motor programs that should be suppressed escape through a blurred rather than a sharp gate. This may represent a reduction in gate precision rather than gate capacity — a mechanistically distinct failure mode that could explain why PANDAS produces the full TS symptom profile acutely. This account is an author synthesis; direct comparison of gate precision metrics between idiopathic TS and PANDAS has not been performed. [Xu J et al., Brain Behav Immun 122 (2024) 241–255 — the primary human evidence: PANS/PANDAS patient IgG drawn at symptom flare shows elevated binding to striatal CINs in both mouse and human brain sections; CIN activity is reduced (p-rpS6 marker); IgG binding resolves in the same patient during symptom recovery, paralleling clinical improvement; confirms CIN-specific targeting; Rapanelli M et al., Trends Neurosci 40 (2017) 397 for CIN pause biology; Tier A for CIN antibody binding in PANS patients]</w:t>
      </w:r>
    </w:p>
    <w:p>
      <w:pPr>
        <w:pStyle w:val="Heading2"/>
        <w:spacing w:before="280" w:after="100"/>
      </w:pPr>
      <w:r>
        <w:rPr>
          <w:rFonts w:ascii="Arial" w:cs="Arial" w:eastAsia="Arial" w:hAnsi="Arial"/>
          <w:b/>
          <w:bCs/>
          <w:color w:val="2E5090"/>
          <w:sz w:val="28"/>
          <w:szCs w:val="28"/>
        </w:rPr>
        <w:t xml:space="preserve">9.2 — Clinical Features and the Acute/Chronic Distinction</w:t>
      </w:r>
    </w:p>
    <w:p>
      <w:pPr>
        <w:spacing w:before="80" w:after="80"/>
        <w:jc w:val="left"/>
      </w:pPr>
      <w:r>
        <w:rPr>
          <w:rFonts w:ascii="Arial" w:cs="Arial" w:eastAsia="Arial" w:hAnsi="Arial"/>
          <w:sz w:val="24"/>
          <w:szCs w:val="24"/>
        </w:rPr>
        <w:t xml:space="preserve">The defining clinical feature of PANDAS is the abrupt, dramatic onset: tics and OCD symptoms that appear within hours to days of streptococcal infection, often in a child with no prior psychiatric history. This acute onset pattern is consistent with an immune-triggered mechanism — it is the timeline of the immune response and autoantibody production, not the gradual developmental emergence of idiopathic TS. The episodic course (acute onset, partial remission between episodes, exacerbation with each new GAS infection) reflects the relapsing-remitting pattern of the underlying autoimmune trigger.</w:t>
      </w:r>
    </w:p>
    <w:p>
      <w:pPr>
        <w:spacing w:before="80" w:after="80"/>
        <w:jc w:val="left"/>
      </w:pPr>
      <w:r>
        <w:rPr>
          <w:rFonts w:ascii="Arial" w:cs="Arial" w:eastAsia="Arial" w:hAnsi="Arial"/>
          <w:sz w:val="24"/>
          <w:szCs w:val="24"/>
        </w:rPr>
        <w:t xml:space="preserve">Distinguishing PANDAS/PANS from idiopathic TS is clinically important because the treatment approaches are different. Idiopathic TS is managed with behavioral therapy and dopaminergic pharmacology. PANDAS/PANS is primarily an autoimmune condition requiring anti-streptococcal treatment (antibiotics during acute GAS infections), and in severe or refractory cases, immunomodulatory interventions (IVIG, plasmapheresis) to reduce the autoantibody burden. [Swedo SE et al., 1998; PANS/PANDAS clinical practice guidelines] The diagnostic distinction rests on the acute-onset, episodic, infection-triggered presentation and the temporal relationship between GAS titers and symptom exacerbation.</w:t>
      </w:r>
    </w:p>
    <w:p>
      <w:pPr>
        <w:spacing w:before="80" w:after="80"/>
        <w:jc w:val="left"/>
      </w:pPr>
      <w:r>
        <w:rPr>
          <w:rFonts w:ascii="Arial" w:cs="Arial" w:eastAsia="Arial" w:hAnsi="Arial"/>
          <w:sz w:val="24"/>
          <w:szCs w:val="24"/>
        </w:rPr>
        <w:t xml:space="preserve">Neuroinflammation is not unique to PANDAS/PANS — emerging evidence suggests that neuroinflammatory processes may also contribute to a subset of idiopathic TS cases. Wu X et al. (Ital J Pediatr 51 (2025) 63) reviewed neuroinflammation pathways contributing to TS, identifying microglial activation and cytokine dysregulation as potential contributors to the striatal dysfunction in some patients. This emerging evidence positions PANDAS/PANS not as a categorical alternative to TS but as the acute extreme of an inflammatory contribution that may operate at subclinical levels in a proportion of idiopathic TS patients.</w:t>
      </w:r>
    </w:p>
    <w:p>
      <w:pPr>
        <w:pStyle w:val="Heading2"/>
        <w:spacing w:before="280" w:after="100"/>
      </w:pPr>
      <w:r>
        <w:rPr>
          <w:rFonts w:ascii="Arial" w:cs="Arial" w:eastAsia="Arial" w:hAnsi="Arial"/>
          <w:b/>
          <w:bCs/>
          <w:color w:val="2E5090"/>
          <w:sz w:val="28"/>
          <w:szCs w:val="28"/>
        </w:rPr>
        <w:t xml:space="preserve">9.3 — PANS: The Broader Category</w:t>
      </w:r>
    </w:p>
    <w:p>
      <w:pPr>
        <w:spacing w:before="80" w:after="80"/>
        <w:jc w:val="left"/>
      </w:pPr>
      <w:r>
        <w:rPr>
          <w:rFonts w:ascii="Arial" w:cs="Arial" w:eastAsia="Arial" w:hAnsi="Arial"/>
          <w:sz w:val="24"/>
          <w:szCs w:val="24"/>
        </w:rPr>
        <w:t xml:space="preserve">PANS (Pediatric Acute-onset Neuropsychiatric Syndrome) extends the PANDAS framework to include acute-onset neuropsychiatric symptoms triggered by any infectious agent — not only GAS. PANS may be triggered by Mycoplasma pneumoniae, Lyme disease, influenza, and other pathogens that produce transient immune responses with CNS cross-reactivity. A proposed common mechanistic feature is infection-triggered autoimmune attack on basal ganglia circuitry, producing the characteristic acute-onset tics, OCD, and restricted eating that define PANS. The broader PANS category reflects the convergent point that multiple immune triggers can produce the same circuit failure through the same molecular mimicry mechanism applied to the same anatomical target.</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§10 — Treatment Architecture</w:t>
      </w:r>
    </w:p>
    <w:p>
      <w:pPr>
        <w:spacing w:before="80" w:after="80"/>
        <w:jc w:val="left"/>
      </w:pPr>
      <w:r>
        <w:rPr>
          <w:rFonts w:ascii="Arial" w:cs="Arial" w:eastAsia="Arial" w:hAnsi="Arial"/>
          <w:sz w:val="24"/>
          <w:szCs w:val="24"/>
        </w:rPr>
        <w:t xml:space="preserve">Treatment for TS is stratified by severity, age, and co-occurring condition profile. The mechanistic framework developed in this paper generates specific predictions about which treatments address which layers of the circuit dysfunction.</w:t>
      </w:r>
    </w:p>
    <w:p>
      <w:pPr>
        <w:pStyle w:val="Heading2"/>
        <w:spacing w:before="280" w:after="100"/>
      </w:pPr>
      <w:r>
        <w:rPr>
          <w:rFonts w:ascii="Arial" w:cs="Arial" w:eastAsia="Arial" w:hAnsi="Arial"/>
          <w:b/>
          <w:bCs/>
          <w:color w:val="2E5090"/>
          <w:sz w:val="28"/>
          <w:szCs w:val="28"/>
        </w:rPr>
        <w:t xml:space="preserve">10.1 — Behavioral Therapy First</w:t>
      </w:r>
    </w:p>
    <w:p>
      <w:pPr>
        <w:spacing w:before="80" w:after="80"/>
        <w:jc w:val="left"/>
      </w:pPr>
      <w:r>
        <w:rPr>
          <w:rFonts w:ascii="Arial" w:cs="Arial" w:eastAsia="Arial" w:hAnsi="Arial"/>
          <w:sz w:val="24"/>
          <w:szCs w:val="24"/>
        </w:rPr>
        <w:t xml:space="preserve">CBIT (Comprehensive Behavioral Intervention for Tics) is the first-line treatment for TS across all severity levels and ages where the patient can engage with the protocol (typically from age 7–8 onward). Its superiority over supportive therapy has been demonstrated in a pivotal RCT (Piacentini J et al., JAMA 303 (2010) 1929) and in multiple subsequent trials. As described in §2.1, CBIT works by training the dACC→dlPFC→striatum control circuit, strengthening the inhibitory response to the premonitory urge detection signal. It produces neurophysiological changes in GABAergic inhibitory circuitry, suggesting it may do more than provide a coping response — neuroimaging evidence is consistent with measurable changes in inhibitory control circuitry.</w:t>
      </w:r>
    </w:p>
    <w:p>
      <w:pPr>
        <w:spacing w:before="80" w:after="80"/>
        <w:jc w:val="left"/>
      </w:pPr>
      <w:r>
        <w:rPr>
          <w:rFonts w:ascii="Arial" w:cs="Arial" w:eastAsia="Arial" w:hAnsi="Arial"/>
          <w:sz w:val="24"/>
          <w:szCs w:val="24"/>
        </w:rPr>
        <w:t xml:space="preserve">Approximately 25% of eligible children with TS receive behavioral therapy, primarily due to limited access to trained providers. Telehealth delivery of CBIT has been validated in multiple trials and substantially improves access. D-cycloserine (a partial NMDA receptor agonist that enhances extinction learning) is being investigated as an augmentation strategy for CBIT, based on the same rationale as its use in exposure therapy for anxiety disorders: facilitating the urge extinction process that CBIT initiates. No published RCT data in TS specifically are available at the time of writing; the rationale is extrapolated from OCD-CBIT augmentation trials and the established role of D-cycloserine in extinction learning. [Tier C for TS-specific application; Hofmann SG et al., Biol Psychiatry 67 (2010) 1139–1141 for D-cycloserine augmentation of exposure therapy]</w:t>
      </w:r>
    </w:p>
    <w:p>
      <w:pPr>
        <w:pStyle w:val="Heading2"/>
        <w:spacing w:before="280" w:after="100"/>
      </w:pPr>
      <w:r>
        <w:rPr>
          <w:rFonts w:ascii="Arial" w:cs="Arial" w:eastAsia="Arial" w:hAnsi="Arial"/>
          <w:b/>
          <w:bCs/>
          <w:color w:val="2E5090"/>
          <w:sz w:val="28"/>
          <w:szCs w:val="28"/>
        </w:rPr>
        <w:t xml:space="preserve">10.2 — Pharmacological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Drug Class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Mechanism</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Evidence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D2 antagonists (haloperidol, pimozide, aripiprazole)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Block D2 → restore indirect pathway GABA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FDA-approved for TS; aripiprazole most consistent efficacy with best tolerability profile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Risk of tardive dyskinesia with long-term haloperidol; aripiprazole partial agonist reduces this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VMAT2 inhibitors (valbenazine, deutetrabenazine)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Reduce presynaptic DA release → normalize D2 stimulation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FDA-approved for tardive dyskinesia; used off-label for TS with real-world efficacy data [Niemann N &amp; Jankovic J, J Neurol 270 (2023) 4518]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 tardive dyskinesia risk; better long-term tolerability profile than D2 antagonists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α2 agonists (guanfacine, clonidine)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α2A agonism strengthens PFC→striatum; reduces LC tonic 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Effective for tics, particularly with ADHD comorbidity; guanfacine preferred for selectivity and tolerability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First-line for mild-moderate TS especially with ADHD; somnolence is main side 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Ecopipam (investigational)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Selective D1 antagonist → reduces direct pathway Go drive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Phase 3 D1AMOND: primary endpoint met (p=0.0084); 41.9% vs 68.1% placebo relapse [D1AMOND25]. FDA expanded access authorized October 2025. NDA planned late 2025.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First novel mechanism beyond D2 blockade in decades; no antipsychotic-associated adverse effects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Deep Brain Stimulation (DBS)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GPi or centromedian thalamic stimulation disrupts pathological burst-firing patterns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Reserved for severe, refractory adult TS; optimal target still under investigation; responsive/adaptive DBS under development [Okun MS et al., Sci Rep 14 (2024) 6467]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Tier B; controlled trials limited; case series support efficacy in refractory TS</w:t>
            </w:r>
          </w:p>
        </w:tc>
      </w:tr>
    </w:tbl>
    <w:p>
      <w:pPr>
        <w:spacing w:before="80" w:after="80"/>
      </w:pPr>
      <w:r>
        <w:t xml:space="preserve"/>
      </w:r>
    </w:p>
    <w:p>
      <w:pPr>
        <w:spacing w:before="80" w:after="80"/>
        <w:jc w:val="left"/>
      </w:pPr>
      <w:r>
        <w:rPr>
          <w:rFonts w:ascii="Arial" w:cs="Arial" w:eastAsia="Arial" w:hAnsi="Arial"/>
          <w:i/>
          <w:iCs/>
          <w:sz w:val="24"/>
          <w:szCs w:val="24"/>
        </w:rPr>
        <w:t xml:space="preserve">Table 1. Pharmacological treatment options for Tourette Syndrome with mechanism, evidence level, and clinical notes. Tier A for approved agents (D2 antagonists, α2 agonists); Tier B for off-label VMAT2 use and DBS; ecopipam pending FDA approval as of March 2026.</w:t>
      </w:r>
    </w:p>
    <w:p>
      <w:pPr>
        <w:pStyle w:val="Heading2"/>
        <w:spacing w:before="280" w:after="100"/>
      </w:pPr>
      <w:r>
        <w:rPr>
          <w:rFonts w:ascii="Arial" w:cs="Arial" w:eastAsia="Arial" w:hAnsi="Arial"/>
          <w:b/>
          <w:bCs/>
          <w:color w:val="2E5090"/>
          <w:sz w:val="28"/>
          <w:szCs w:val="28"/>
        </w:rPr>
        <w:t xml:space="preserve">10.3 — PANDAS/PANS Treatment</w:t>
      </w:r>
    </w:p>
    <w:p>
      <w:pPr>
        <w:spacing w:before="80" w:after="80"/>
        <w:jc w:val="left"/>
      </w:pPr>
      <w:r>
        <w:rPr>
          <w:rFonts w:ascii="Arial" w:cs="Arial" w:eastAsia="Arial" w:hAnsi="Arial"/>
          <w:sz w:val="24"/>
          <w:szCs w:val="24"/>
        </w:rPr>
        <w:t xml:space="preserve">A 2023 network meta-analysis by Farhat et al. is the most comprehensive comparative pharmacological evidence in TS to date: 39 RCTs, 4,578 participants, 23 medications. Effect sizes: first-generation antipsychotics (SMD −0.65, low certainty); second-generation antipsychotics (SMD −0.71, moderate certainty); alpha-2 agonists (SMD −0.21, moderate certainty). VMAT2 inhibitors — which deplete presynaptic dopamine — did not reach significance (SMD −0.09, low certainty). This is mechanistically informative: if TS were simply dopamine excess, presynaptic DA depletion should be highly effective. Its failure is consistent with the CIN-dysregulation model in this paper — depleting DA does not restore gate precision when the core problem is impaired regulation. One possible circuit-level interpretation of these comparative findings is that D2 antagonists may outperform VMAT2 inhibitors because they target phasic DA tic reinforcement (§3.3) without disrupting tonic DA baseline. Alpha-2 agonists act through the NE/LC gate-threshold mechanism (§5), independent of the DA circuit. The three major drug classes thus operate on three distinct nodes of the same gate-failure architecture, which predicts their different effect sizes. [Farhat LC et al., Lancet Neurology 22 (2023) 306–316; Tier A for meta-analytic findings; Tier C for mechanistic interpretation within the CIN-dysregulation framework]</w:t>
      </w:r>
    </w:p>
    <w:p>
      <w:pPr>
        <w:spacing w:before="80" w:after="80"/>
        <w:jc w:val="left"/>
      </w:pPr>
      <w:r>
        <w:rPr>
          <w:rFonts w:ascii="Arial" w:cs="Arial" w:eastAsia="Arial" w:hAnsi="Arial"/>
          <w:sz w:val="24"/>
          <w:szCs w:val="24"/>
        </w:rPr>
        <w:t xml:space="preserve">PANDAS/PANS treatment targets the immune trigger rather than the circuit output. During acute GAS infections, antibiotic treatment is standard. For acute PANDAS episodes unresponsive to antibiotic treatment alone, immunomodulatory interventions — IVIG and plasmapheresis — have demonstrated efficacy in reducing symptom severity in controlled trials by reducing circulating autoantibody burden. [Perlmutter SJ et al., Lancet 354 (1999) 1153–1158; pivotal RCT in PANDAS; Tier A for acute IVIG/plasmapheresis efficacy; Tier B for long-term prophylaxis] Long-term antibiotic prophylaxis is used in some patients to reduce GAS re-exposure and prevent recurrent episodes. Symptomatic treatment with D2 antagonists or CBIT may be used during acute episodes but does not address the underlying autoimmune mechanism.</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§11 — Discussion and Limitations</w:t>
      </w:r>
    </w:p>
    <w:p>
      <w:pPr>
        <w:spacing w:before="80" w:after="80"/>
        <w:jc w:val="left"/>
      </w:pPr>
      <w:r>
        <w:rPr>
          <w:rFonts w:ascii="Arial" w:cs="Arial" w:eastAsia="Arial" w:hAnsi="Arial"/>
          <w:sz w:val="24"/>
          <w:szCs w:val="24"/>
        </w:rPr>
        <w:t xml:space="preserve">This paper presents a mechanistic synthesis of Tourette Syndrome pathophysiology rather than a definitive account. Its strongest claim is organizational: that the CSTC gate failure model provides a coherent framework for integrating findings across neurochemistry, urge phenomenology, behavioral treatment, hormonal modulation, and emerging therapeutics. The individual mechanisms described — the GABA gate structure, dopaminergic D1/D2 balance, histamine H3 modulation, LC-NE arousal effects, cerebellar timing contribution, testosterone-D2 regulation, and PANDAS immune mechanism — are supported by peer-reviewed literature at Tier A, Tier B, or, where explicitly labeled in the text, Tier C. Several sections of the paper are explicitly labeled as author syntheses: the Bayesian insula-GABA account of the premonitory urge, the MCC monitoring interpretation, the phasic dopamine tic-reinforcement model, the GPi/SNpr tic topography account, and the NE/cortisol interoceptive salience amplification mechanism. These represent mechanistically plausible extensions of established biology applied to TS, not established consensus. Reviewers may reasonably disagree on the weight assigned to each component, and the paper is offered as a framework for organizing current evidence rather than as a settled mechanistic account.</w:t>
      </w:r>
    </w:p>
    <w:p>
      <w:pPr>
        <w:spacing w:before="80" w:after="80"/>
        <w:jc w:val="left"/>
      </w:pPr>
      <w:r>
        <w:rPr>
          <w:rFonts w:ascii="Arial" w:cs="Arial" w:eastAsia="Arial" w:hAnsi="Arial"/>
          <w:sz w:val="24"/>
          <w:szCs w:val="24"/>
        </w:rPr>
        <w:t xml:space="preserve">The ecopipam data is based on topline press release data for the D1AMOND Phase 3 trial (February 2025) and FDA expanded access program authorization (October 2025). Peer-reviewed publication of the full D1AMOND dataset is pending; this paper reports the available evidence with appropriate caveats. The 12-month safety study by Gilbert et al. (Mov Disord Clin Pract 2025) has been published and is cited for safety data.</w:t>
      </w:r>
    </w:p>
    <w:p>
      <w:pPr>
        <w:spacing w:before="80" w:after="80"/>
        <w:jc w:val="left"/>
      </w:pPr>
      <w:r>
        <w:rPr>
          <w:rFonts w:ascii="Arial" w:cs="Arial" w:eastAsia="Arial" w:hAnsi="Arial"/>
          <w:sz w:val="24"/>
          <w:szCs w:val="24"/>
        </w:rPr>
        <w:t xml:space="preserve">The PANDAS/PANS section presents the strongest available evidence while acknowledging the ongoing controversy in this area. The PANDAS hypothesis is mechanistically well-grounded in molecular mimicry and autoantibody-mediated basal ganglia dysfunction, but prospective longitudinal studies have not produced fully conclusive results, and diagnostic criteria remain under development. This paper treats PANDAS/PANS as a mechanistically credible, clinically important entity while noting that the field requires larger controlled studies to establish definitive diagnostic boundaries and treatment protocols.</w:t>
      </w:r>
    </w:p>
    <w:p>
      <w:pPr>
        <w:spacing w:before="80" w:after="80"/>
        <w:jc w:val="left"/>
      </w:pPr>
      <w:r>
        <w:rPr>
          <w:rFonts w:ascii="Arial" w:cs="Arial" w:eastAsia="Arial" w:hAnsi="Arial"/>
          <w:sz w:val="24"/>
          <w:szCs w:val="24"/>
        </w:rPr>
        <w:t xml:space="preserve">The natural history data (50–70% improvement by adulthood) represents population-level trends. Individual trajectories vary substantially, and the factors that predict who will improve, who will persist, and who will develop severe adult TS are not yet well characterized. The largest TS genome-wide association study to date (Strom et al. 2025, 9,619 cases and 981,048 controls) is beginning to identify genetic variants contributing to TS susceptibility, which may ultimately help stratify patients by likelihood of natural improvement versus persistence.</w:t>
      </w:r>
    </w:p>
    <w:p>
      <w:pPr>
        <w:spacing w:before="80" w:after="80"/>
        <w:jc w:val="left"/>
      </w:pPr>
      <w:r>
        <w:rPr>
          <w:rFonts w:ascii="Arial" w:cs="Arial" w:eastAsia="Arial" w:hAnsi="Arial"/>
          <w:sz w:val="24"/>
          <w:szCs w:val="24"/>
        </w:rPr>
        <w:t xml:space="preserve">This paper proposes the CSTC gate-failure model as an organizing framework, but it is not the only account of TS pathophysiology. Three alternative or complementary frameworks deserve explicit acknowledgment.
First, the habit disorder model frames tics as maladaptive learned motor behaviors rather than as gate failures per se. On this account, tics are maintained through operant reinforcement — specifically the negative reinforcement provided by urge relief — and their resistance to extinction reflects the strength of this reinforcement history. The gate-failure model does not contradict this framing; it proposes a mechanism for why the reinforcement opportunity arises in the first place (the escaped motor program generates the urge that the tic relieves). The two accounts are complementary at different levels of analysis rather than competing.
Second, the sensorimotor gating deficit model is supported by prepulse inhibition (PPI) findings in TS: individuals with TS show reduced PPI, consistent with impaired filtering of sensory information before it reaches motor output systems. This maps onto the gate-failure framework — reduced PPI reflects the same gate architecture failing to suppress unwanted inputs — but the PPI literature frames the deficit at the level of sensory processing rather than motor program selection. Whether these are the same failure at different stages of the same system, or distinct mechanisms, remains unresolved.
Third, the interneuron-as-primary model — in which structural loss of cholinergic and GABAergic interneurons is the initiating event rather than a consequence of disease — is the interpretation most consistent with the Kataoka (2010) and Wang (2025) postmortem data taken at face value. The gate-failure model is agnostic on whether the gate fails because of interneuron loss, DA dysregulation, or both; the Tischfield (2024) genetic data raise the possibility that DA dysregulation can produce the gate failure phenotype without structural interneuron loss, reserving interneuron depletion as a later-stage consequence. Adjudicating between these interpretations requires prospective longitudinal data linking immune and neuroinflammatory markers to interneuron counts — data that do not yet exist.</w:t>
      </w:r>
    </w:p>
    <w:p>
      <w:pPr>
        <w:spacing w:before="80" w:after="80"/>
        <w:jc w:val="left"/>
      </w:pPr>
      <w:r>
        <w:rPr>
          <w:rFonts w:ascii="Arial" w:cs="Arial" w:eastAsia="Arial" w:hAnsi="Arial"/>
          <w:sz w:val="24"/>
          <w:szCs w:val="24"/>
        </w:rPr>
        <w:t xml:space="preserve">An emerging research question not yet addressed in the epidemiological literature concerns the relationship between TS-associated immune dysregulation and lymphoid cancer risk. This paper raises it here not as an established association but as a mechanistically grounded hypothesis warranting investigation.
Three converging lines of evidence suggest that the immune profile documented in TS may parallel that of conditions where non-Hodgkin lymphoma (NHL) risk is formally elevated. First, TS patients show documented reductions in regulatory T cells (Tregs): Kawikova et al. (2007 [55]) found significantly decreased Treg cell percentages in peripheral blood of children with moderate-to-severe TS versus controls, with further reduction during symptom exacerbations. Treg deficiency is the primary mechanism through which peripheral immune tolerance fails in autoimmune conditions — and it is precisely the immune profile in which NHL risk is substantially elevated: SLE carries approximately 4.4-fold increased NHL risk (Bernatsky et al. 2013 [58]; n = 16,409 patients), Sjögren’s syndrome 6–9-fold (Smedby et al. 2008 [59]; pooled InterLymph analysis), and RA approximately 2–3-fold (Zintzaras et al. 2005 [60]; meta-analysis). In each of these conditions, the combination of Treg insufficiency and chronic B-cell hyperactivation constitutes both the autoimmune mechanism and the lymphomagenesis pathway. Second, TS is characterized by chronically elevated pro-inflammatory cytokines — particularly TNF-α, IL-1β, and IL-17 — and by microglial inflammatory activation now confirmed at single-cell resolution (Wang et al. 2025 [49]). Sustained cytokine-driven B-cell stimulation is the direct biological mechanism through which chronic inflammatory conditions elevate lymphoma risk: it provides the proliferative signal to B cells while simultaneously impairing the apoptotic surveillance that would normally clear abnormal clones. Third, a 2019 GWAS meta-analysis (Yu et al. 2019, Am J Psychiatry [56]) identified a genome-wide significant locus within FLT3 on chromosome 13 (rs2504235, p = 2.1×10⁻⁸) — a hematopoietic growth factor receptor that is among the primary oncogenic drivers in B-cell lymphoma and acute myeloid leukemia. This association was not replicated in an independent population-based sample. A subsequent transcriptome-wide association study (Liao et al. 2022, Commun Biol [57]) provided convergent evidence: FLT3 expression was elevated 1.72-fold in lymphoblastoid cell lines from TS cases versus controls, and a phenome-wide study of FLT3 variants linked it to monocyte count and other immune-related traits. The primary GWAS signal did not replicate and should be treated as preliminary; the TWAS and lymphoblast data provide supporting but not confirmatory evidence. This FLT3 immune-biology connection in TS has not been followed up in either the TS or hematological oncology literature.
No epidemiological study has examined NHL incidence in TS cohorts. This gap is meaningful: if TS shares the Treg deficiency and chronic pro-inflammatory cytokine profile that elevates NHL risk in autoimmune conditions, then population-level cancer registries cross-referenced against TS diagnosis databases could test this in existing data without new experimental work. The hypothesis is falsifiable and generates a clear prediction: NHL incidence in TS patients should be elevated above population baseline, with the magnitude tracking TS severity and immune dysregulation markers rather than tic severity per se. The mechanistic framework in this paper — particularly the Wang 2025 finding of coupled interneuron loss, MSN metabolic stress, and microglial inflammatory activation — provides candidate biomarkers for stratifying which TS patients carry the highest immune dysregulation burden. This is offered as a hypothesis for future investigation. [Tier C — no epidemiological evidence currently exists for a TS–NHL association; the mechanistic parallel to autoimmune-associated NHL risk is the basis for this hypothesis, not direct observation]</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§12 — Conclusions</w:t>
      </w:r>
    </w:p>
    <w:p>
      <w:pPr>
        <w:spacing w:before="80" w:after="80"/>
        <w:jc w:val="left"/>
      </w:pPr>
      <w:r>
        <w:rPr>
          <w:rFonts w:ascii="Arial" w:cs="Arial" w:eastAsia="Arial" w:hAnsi="Arial"/>
          <w:sz w:val="24"/>
          <w:szCs w:val="24"/>
        </w:rPr>
        <w:t xml:space="preserve">Tourette Syndrome is a gate failure condition. The striatal inhibitory gate — built from GABA-mediated direct and indirect pathways calibrated by dopamine at D1 and D2 receptors — is insufficiently engaged in specific CSTC motor circuits, allowing motor programs to escape as tics. The neurochemical architecture is well characterized: GABA is the inhibitory transmitter throughout the basal ganglia gate; glutamate drives the corticostriatal input and the sole excitatory synapse (STN→GPi) in the indirect pathway; dopamine modulates the Go/NoGo balance at D1 and D2 receptors; histamine at H3 receptors on striatal dopaminergic terminals provides a third presynaptic modulator of dopamine release.</w:t>
      </w:r>
    </w:p>
    <w:p>
      <w:pPr>
        <w:spacing w:before="80" w:after="80"/>
        <w:jc w:val="left"/>
      </w:pPr>
      <w:r>
        <w:rPr>
          <w:rFonts w:ascii="Arial" w:cs="Arial" w:eastAsia="Arial" w:hAnsi="Arial"/>
          <w:sz w:val="24"/>
          <w:szCs w:val="24"/>
        </w:rPr>
        <w:t xml:space="preserve">The premonitory urge is the brain’s detection signal for gate failure — the insula’s interoceptive representation of a motor program that has escaped striatal gating and is propagating toward execution. CBIT is the treatment that uses this signal to intervene at precisely the right moment, training the dACC→dlPFC→striatum control circuit to catch and suppress escaped motor programs before they fire. That is a tight mechanistic chain from biology to treatment. The co-occurring profiles (OCD, ADHD, anxiety) are the same CSTC gate architecture expressing across overlapping neural territories, not separate diseases requiring separate explanations.</w:t>
      </w:r>
    </w:p>
    <w:p>
      <w:pPr>
        <w:spacing w:before="80" w:after="80"/>
        <w:jc w:val="left"/>
      </w:pPr>
      <w:r>
        <w:rPr>
          <w:rFonts w:ascii="Arial" w:cs="Arial" w:eastAsia="Arial" w:hAnsi="Arial"/>
          <w:sz w:val="24"/>
          <w:szCs w:val="24"/>
        </w:rPr>
        <w:t xml:space="preserve">Ecopipam’s Phase 3 results, if confirmed in the full peer-reviewed publication and if regulatory approval follows, suggest that the D1/D2 balance can be therapeutically addressed from both directions — a mechanistic implication of the gate-failure model that was not previously testable pharmacologically.</w:t>
      </w:r>
    </w:p>
    <w:p>
      <w:pPr>
        <w:pBdr>
          <w:left w:val="single" w:color="2E5090" w:sz="6" w:space="12"/>
        </w:pBdr>
        <w:spacing w:before="100" w:after="100"/>
        <w:ind w:left="720" w:right="720"/>
        <w:jc w:val="left"/>
      </w:pPr>
      <w:r>
        <w:rPr>
          <w:rFonts w:ascii="Arial" w:cs="Arial" w:eastAsia="Arial" w:hAnsi="Arial"/>
          <w:i/>
          <w:iCs/>
          <w:color w:val="333333"/>
          <w:sz w:val="22"/>
          <w:szCs w:val="22"/>
        </w:rPr>
        <w:t xml:space="preserve">The gate-failure framework generates testable predictions at multiple levels: that interventions targeting microglial activation should reduce interneuron loss progression in severe adult-persistent TS; that immune dysregulation markers should stratify tic severity independently of dopaminergic markers; that tic timing should co-vary with reward-anticipatory striatal dopamine in within-subject paradigms; and that cancer registry linkage studies should find elevated lymphoid malignancy rates in TS cohorts if the autoimmune parallel holds. The model’s value is not in settling these questions but in making them visible as questions — and in providing a coherent architecture against which answers can be organized.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6"/>
          <w:szCs w:val="36"/>
        </w:rPr>
        <w:t xml:space="preserve">References</w:t>
      </w:r>
    </w:p>
    <w:p>
      <w:pPr>
        <w:spacing w:before="80" w:after="80"/>
        <w:jc w:val="left"/>
      </w:pPr>
      <w:r>
        <w:rPr>
          <w:rFonts w:ascii="Arial" w:cs="Arial" w:eastAsia="Arial" w:hAnsi="Arial"/>
          <w:sz w:val="24"/>
          <w:szCs w:val="24"/>
        </w:rPr>
        <w:t xml:space="preserve">[1] Leckman JF et al. The role of neuronal circuits in the pathogenesis of Tourette syndrome. Arch Gen Psychiatry 59 (2002) 812–828. [Canonical TS review; CSTC circuit failure; premonitory urge; natural history; sex ratio]</w:t>
      </w:r>
    </w:p>
    <w:p>
      <w:pPr>
        <w:spacing w:before="80" w:after="80"/>
        <w:jc w:val="left"/>
      </w:pPr>
      <w:r>
        <w:rPr>
          <w:rFonts w:ascii="Arial" w:cs="Arial" w:eastAsia="Arial" w:hAnsi="Arial"/>
          <w:sz w:val="24"/>
          <w:szCs w:val="24"/>
        </w:rPr>
        <w:t xml:space="preserve">[2] Piacentini J et al. Behavior therapy for children with Tourette disorder: a randomized controlled trial. JAMA 303 (2010) 1929–1937. [CBIT pivotal RCT; habit reversal training mechanism]</w:t>
      </w:r>
    </w:p>
    <w:p>
      <w:pPr>
        <w:spacing w:before="80" w:after="80"/>
        <w:jc w:val="left"/>
      </w:pPr>
      <w:r>
        <w:rPr>
          <w:rFonts w:ascii="Arial" w:cs="Arial" w:eastAsia="Arial" w:hAnsi="Arial"/>
          <w:sz w:val="24"/>
          <w:szCs w:val="24"/>
        </w:rPr>
        <w:t xml:space="preserve">[3] Albin RL, Young AB &amp; Penney JB. The functional anatomy of basal ganglia disorders. Trends Neurosci 12 (1989) 366–375. [Canonical basal ganglia direct/indirect pathway model; GABA inhibitory architecture; Go/NoGo balance]</w:t>
      </w:r>
    </w:p>
    <w:p>
      <w:pPr>
        <w:spacing w:before="80" w:after="80"/>
        <w:jc w:val="left"/>
      </w:pPr>
      <w:r>
        <w:rPr>
          <w:rFonts w:ascii="Arial" w:cs="Arial" w:eastAsia="Arial" w:hAnsi="Arial"/>
          <w:sz w:val="24"/>
          <w:szCs w:val="24"/>
        </w:rPr>
        <w:t xml:space="preserve">[4] Rapanelli M, Frick LR &amp; Pittenger C. The role of interneurons in autism and Tourette syndrome. Trends Neurosci 40 (2017) 397–407. [Histamine H3 receptors; TMN-striatum DA interaction; cholinergic interneurons in TS]</w:t>
      </w:r>
    </w:p>
    <w:p>
      <w:pPr>
        <w:spacing w:before="80" w:after="80"/>
        <w:jc w:val="left"/>
      </w:pPr>
      <w:r>
        <w:rPr>
          <w:rFonts w:ascii="Arial" w:cs="Arial" w:eastAsia="Arial" w:hAnsi="Arial"/>
          <w:sz w:val="24"/>
          <w:szCs w:val="24"/>
        </w:rPr>
        <w:t xml:space="preserve">[5] Robertson MM. Tourette syndrome, associated conditions and the complexities of treatment. Brain 123 (2000) 425–462. [TS comorbidity rates; OCD, ADHD, anxiety co-occurrence; natural history data]</w:t>
      </w:r>
    </w:p>
    <w:p>
      <w:pPr>
        <w:spacing w:before="80" w:after="80"/>
        <w:jc w:val="left"/>
      </w:pPr>
      <w:r>
        <w:rPr>
          <w:rFonts w:ascii="Arial" w:cs="Arial" w:eastAsia="Arial" w:hAnsi="Arial"/>
          <w:sz w:val="24"/>
          <w:szCs w:val="24"/>
        </w:rPr>
        <w:t xml:space="preserve">[6] Botvinick MM et al. Conflict monitoring and cognitive control. Psychol Rev 108 (2001) 624–652. [dACC conflict monitoring; cognitive control demand signal; dACC→dlPFC pathway]</w:t>
      </w:r>
    </w:p>
    <w:p>
      <w:pPr>
        <w:spacing w:before="80" w:after="80"/>
        <w:jc w:val="left"/>
      </w:pPr>
      <w:r>
        <w:rPr>
          <w:rFonts w:ascii="Arial" w:cs="Arial" w:eastAsia="Arial" w:hAnsi="Arial"/>
          <w:sz w:val="24"/>
          <w:szCs w:val="24"/>
        </w:rPr>
        <w:t xml:space="preserve">[7] Schmahmann JD. Disorders of the cerebellum: ataxia, dysmetria of thought, and the cerebellar cognitive affective syndrome. J Neuropsychiatry Clin Neurosci 16 (2004) 367–378. [Non-motor cerebellar function; cerebellar projections to prefrontal cortex]</w:t>
      </w:r>
    </w:p>
    <w:p>
      <w:pPr>
        <w:spacing w:before="80" w:after="80"/>
        <w:jc w:val="left"/>
      </w:pPr>
      <w:r>
        <w:rPr>
          <w:rFonts w:ascii="Arial" w:cs="Arial" w:eastAsia="Arial" w:hAnsi="Arial"/>
          <w:sz w:val="24"/>
          <w:szCs w:val="24"/>
        </w:rPr>
        <w:t xml:space="preserve">[8] Worbe Y et al. Altered structural connectivity of cortico-striato-pallido-thalamic networks in Gilles de la Tourette syndrome. Brain 138 (2015) 472–484. [TS structural imaging; cerebellar abnormalities; cortico-striatal-cerebellar network alterations]</w:t>
      </w:r>
    </w:p>
    <w:p>
      <w:pPr>
        <w:spacing w:before="80" w:after="80"/>
        <w:jc w:val="left"/>
      </w:pPr>
      <w:r>
        <w:rPr>
          <w:rFonts w:ascii="Arial" w:cs="Arial" w:eastAsia="Arial" w:hAnsi="Arial"/>
          <w:sz w:val="24"/>
          <w:szCs w:val="24"/>
        </w:rPr>
        <w:t xml:space="preserve">[9] Berridge CW &amp; Waterhouse BD. The locus coeruleus-noradrenergic system: modulation of behavioral state and state-dependent cognitive processes. Brain Res Rev 42 (2003) 33–84. [Canonical LC-NE review; NE_tonic and arousal; gate threshold modulation]</w:t>
      </w:r>
    </w:p>
    <w:p>
      <w:pPr>
        <w:spacing w:before="80" w:after="80"/>
        <w:jc w:val="left"/>
      </w:pPr>
      <w:r>
        <w:rPr>
          <w:rFonts w:ascii="Arial" w:cs="Arial" w:eastAsia="Arial" w:hAnsi="Arial"/>
          <w:sz w:val="24"/>
          <w:szCs w:val="24"/>
        </w:rPr>
        <w:t xml:space="preserve">[10] Arnsten AFT. Guanfacine’s mechanism of action in treating prefrontal cortical disorders: successful translation across species. Neurobiol Learn Mem 176 (2020) 107327. [α2A postsynaptic mechanism; guanfacine strengthens PFC network connectivity; PFC top-down control]</w:t>
      </w:r>
    </w:p>
    <w:p>
      <w:pPr>
        <w:spacing w:before="80" w:after="80"/>
        <w:jc w:val="left"/>
      </w:pPr>
      <w:r>
        <w:rPr>
          <w:rFonts w:ascii="Arial" w:cs="Arial" w:eastAsia="Arial" w:hAnsi="Arial"/>
          <w:sz w:val="24"/>
          <w:szCs w:val="24"/>
        </w:rPr>
        <w:t xml:space="preserve">[11] Eapen V et al. Comprehensive behavioural intervention for tics: a neurophysiological intervention. J Integr Neurosci 21 (2022) 89. [CBIT produces changes in motor cortical GABAergic inhibitory circuitry; CSP/MEP ratio increased post-CBIT]</w:t>
      </w:r>
    </w:p>
    <w:p>
      <w:pPr>
        <w:spacing w:before="80" w:after="80"/>
        <w:jc w:val="left"/>
      </w:pPr>
      <w:r>
        <w:rPr>
          <w:rFonts w:ascii="Arial" w:cs="Arial" w:eastAsia="Arial" w:hAnsi="Arial"/>
          <w:sz w:val="24"/>
          <w:szCs w:val="24"/>
        </w:rPr>
        <w:t xml:space="preserve">[12] Gilbert DL et al. Ecopipam for Tourette syndrome: a randomized trial. Pediatrics 151 (2023) e2022059574. [Phase 2b D1AMOND RCT; 30% tic reduction vs placebo; D1 receptor antagonism mechanism; no antipsychotic-associated side effects]</w:t>
      </w:r>
    </w:p>
    <w:p>
      <w:pPr>
        <w:spacing w:before="80" w:after="80"/>
        <w:jc w:val="left"/>
      </w:pPr>
      <w:r>
        <w:rPr>
          <w:rFonts w:ascii="Arial" w:cs="Arial" w:eastAsia="Arial" w:hAnsi="Arial"/>
          <w:sz w:val="24"/>
          <w:szCs w:val="24"/>
        </w:rPr>
        <w:t xml:space="preserve">[13] D1AMOND25. Emalex Biosciences, Phase 3 D1AMOND study topline data press release, February 25, 2025. [Time-to-relapse primary endpoint met p=0.0084; 41.9% ecopipam vs 68.1% placebo relapse rate; NDA submission planned 2025]</w:t>
      </w:r>
    </w:p>
    <w:p>
      <w:pPr>
        <w:spacing w:before="80" w:after="80"/>
        <w:jc w:val="left"/>
      </w:pPr>
      <w:r>
        <w:rPr>
          <w:rFonts w:ascii="Arial" w:cs="Arial" w:eastAsia="Arial" w:hAnsi="Arial"/>
          <w:sz w:val="24"/>
          <w:szCs w:val="24"/>
        </w:rPr>
        <w:t xml:space="preserve">[14] Gilbert DL et al. Safety and effect of 12-month ecopipam treatment in pediatric patients with Tourette syndrome. Mov Disord Clin Pract 2025. doi:10.1002/mdc3.13985. [12-month safety study; tolerability confirmed; adverse event profile]</w:t>
      </w:r>
    </w:p>
    <w:p>
      <w:pPr>
        <w:spacing w:before="80" w:after="80"/>
        <w:jc w:val="left"/>
      </w:pPr>
      <w:r>
        <w:rPr>
          <w:rFonts w:ascii="Arial" w:cs="Arial" w:eastAsia="Arial" w:hAnsi="Arial"/>
          <w:sz w:val="24"/>
          <w:szCs w:val="24"/>
        </w:rPr>
        <w:t xml:space="preserve">[15] Keenan L et al. Sleep and daytime functioning in children with Tourette syndrome: a two-week case-control study with actigraphy. Sleep Medicine 113 (2024) 313–327. [83% TS children met clinical cut-off for sleep disorder; reduced sleep efficiency; sleep-tic bidirectional relationship]</w:t>
      </w:r>
    </w:p>
    <w:p>
      <w:pPr>
        <w:spacing w:before="80" w:after="80"/>
        <w:jc w:val="left"/>
      </w:pPr>
      <w:r>
        <w:rPr>
          <w:rFonts w:ascii="Arial" w:cs="Arial" w:eastAsia="Arial" w:hAnsi="Arial"/>
          <w:sz w:val="24"/>
          <w:szCs w:val="24"/>
        </w:rPr>
        <w:t xml:space="preserve">[16] Orth L et al. Aberrant functional connectivity of the salience network in adult patients with tic disorders: a resting-state fMRI study. eNeuro 11 (2024) ENEURO.0223-23.2024. [Salience network hypoconnectivity in tic disorders; SMA-frontal connectivity reduced]</w:t>
      </w:r>
    </w:p>
    <w:p>
      <w:pPr>
        <w:spacing w:before="80" w:after="80"/>
        <w:jc w:val="left"/>
      </w:pPr>
      <w:r>
        <w:rPr>
          <w:rFonts w:ascii="Arial" w:cs="Arial" w:eastAsia="Arial" w:hAnsi="Arial"/>
          <w:sz w:val="24"/>
          <w:szCs w:val="24"/>
        </w:rPr>
        <w:t xml:space="preserve">[17] Swedo SE et al. Pediatric autoimmune neuropsychiatric disorders associated with streptococcal infections: clinical description of the first 50 cases. Am J Psychiatry 155 (1998) 264–271. [PANDAS original description; molecular mimicry mechanism; acute-onset clinical features]</w:t>
      </w:r>
    </w:p>
    <w:p>
      <w:pPr>
        <w:spacing w:before="80" w:after="80"/>
        <w:jc w:val="left"/>
      </w:pPr>
      <w:r>
        <w:rPr>
          <w:rFonts w:ascii="Arial" w:cs="Arial" w:eastAsia="Arial" w:hAnsi="Arial"/>
          <w:sz w:val="24"/>
          <w:szCs w:val="24"/>
        </w:rPr>
        <w:t xml:space="preserve">[18] Cárdenas VMM. Persistence of basal ganglia dysfunction in PANS/PANDAS: review of the evidence. Frontiers 5(4) (2025) 205–215. [Persistent immune-mediated basal ganglia dysfunction; 80%+ with neuroinflammation; structural and functional BG abnormalities beyond acute phase]</w:t>
      </w:r>
    </w:p>
    <w:p>
      <w:pPr>
        <w:spacing w:before="80" w:after="80"/>
        <w:jc w:val="left"/>
      </w:pPr>
      <w:r>
        <w:rPr>
          <w:rFonts w:ascii="Arial" w:cs="Arial" w:eastAsia="Arial" w:hAnsi="Arial"/>
          <w:sz w:val="24"/>
          <w:szCs w:val="24"/>
        </w:rPr>
        <w:t xml:space="preserve">[19] Wu X et al. Neuroinflammation and pathways that contribute to Tourette syndrome. Ital J Pediatr 51 (2025) 63. [Neuroinflammation in TS; microglial activation; cytokine dysregulation as contributors to striatal dysfunction]</w:t>
      </w:r>
    </w:p>
    <w:p>
      <w:pPr>
        <w:spacing w:before="80" w:after="80"/>
        <w:jc w:val="left"/>
      </w:pPr>
      <w:r>
        <w:rPr>
          <w:rFonts w:ascii="Arial" w:cs="Arial" w:eastAsia="Arial" w:hAnsi="Arial"/>
          <w:sz w:val="24"/>
          <w:szCs w:val="24"/>
        </w:rPr>
        <w:t xml:space="preserve">[20] Strom NI et al. Genome-wide association study identifies multiple loci associated with Tourette syndrome. 2025. [Largest TS GWAS meta-analysis; 9,619 cases and 981,048 controls; multiple genetic loci identified]</w:t>
      </w:r>
    </w:p>
    <w:p>
      <w:pPr>
        <w:spacing w:before="80" w:after="80"/>
        <w:jc w:val="left"/>
      </w:pPr>
      <w:r>
        <w:rPr>
          <w:rFonts w:ascii="Arial" w:cs="Arial" w:eastAsia="Arial" w:hAnsi="Arial"/>
          <w:sz w:val="24"/>
          <w:szCs w:val="24"/>
        </w:rPr>
        <w:t xml:space="preserve">[21] Niemann N &amp; Jankovic J. Real-world experience with VMAT2 inhibitors in Tourette syndrome. J Neurol 270 (2023) 4518–4522. [VMAT2 inhibitors effective and safe in real-world TS use; off-label application]</w:t>
      </w:r>
    </w:p>
    <w:p>
      <w:pPr>
        <w:spacing w:before="80" w:after="80"/>
        <w:jc w:val="left"/>
      </w:pPr>
      <w:r>
        <w:rPr>
          <w:rFonts w:ascii="Arial" w:cs="Arial" w:eastAsia="Arial" w:hAnsi="Arial"/>
          <w:sz w:val="24"/>
          <w:szCs w:val="24"/>
        </w:rPr>
        <w:t xml:space="preserve">[22] Okun MS et al. Responsive deep brain stimulation for the treatment of Tourette syndrome. Sci Rep 14 (2024) 6467. [Adaptive DBS development; physiologic markers of tics for stimulation parameters]</w:t>
      </w:r>
    </w:p>
    <w:p>
      <w:pPr>
        <w:spacing w:before="80" w:after="80"/>
        <w:jc w:val="left"/>
      </w:pPr>
      <w:r>
        <w:rPr>
          <w:rFonts w:ascii="Arial" w:cs="Arial" w:eastAsia="Arial" w:hAnsi="Arial"/>
          <w:sz w:val="24"/>
          <w:szCs w:val="24"/>
        </w:rPr>
        <w:t xml:space="preserve">[23] Ricketts EJ et al. Sleep disturbance in Tourette’s disorder: potential underlying mechanisms. Curr Sleep Med Rep 9 (2023) 10–22. [Review of sleep disruption in TS; sleep deprivation as CSTC gate vulnerability]</w:t>
      </w:r>
    </w:p>
    <w:p>
      <w:pPr>
        <w:spacing w:before="80" w:after="80"/>
        <w:jc w:val="left"/>
      </w:pPr>
      <w:r>
        <w:rPr>
          <w:rFonts w:ascii="Arial" w:cs="Arial" w:eastAsia="Arial" w:hAnsi="Arial"/>
          <w:sz w:val="24"/>
          <w:szCs w:val="24"/>
        </w:rPr>
        <w:t xml:space="preserve">[24] Janeway CA et al. Immunobiology. 9th ed. Garland Science (2017). [Foundational immunology reference for PANDAS immune mechanism sections]</w:t>
      </w:r>
    </w:p>
    <w:p>
      <w:pPr>
        <w:spacing w:before="80" w:after="80"/>
        <w:jc w:val="left"/>
      </w:pPr>
      <w:r>
        <w:rPr>
          <w:rFonts w:ascii="Arial" w:cs="Arial" w:eastAsia="Arial" w:hAnsi="Arial"/>
          <w:sz w:val="24"/>
          <w:szCs w:val="24"/>
        </w:rPr>
        <w:t xml:space="preserve">[25] Tinaz S et al. Role of the right dorsal anterior insula in the urge to tic in Tourette syndrome. Mov Disord 30 (2015) 1190–1197. [Right dorsal anterior insula-SMA connectivity correlates with urge severity; insula as primary urge network hub]</w:t>
      </w:r>
    </w:p>
    <w:p>
      <w:pPr>
        <w:spacing w:before="80" w:after="80"/>
        <w:jc w:val="left"/>
      </w:pPr>
      <w:r>
        <w:rPr>
          <w:rFonts w:ascii="Arial" w:cs="Arial" w:eastAsia="Arial" w:hAnsi="Arial"/>
          <w:sz w:val="24"/>
          <w:szCs w:val="24"/>
        </w:rPr>
        <w:t xml:space="preserve">[26] Zapparoli L et al. Mapping Gilles de la Tourette syndrome through the distress and relief associated with tic-related behaviors: an fMRI study. Transl Psychiatry 14 (2024) 7. [Dissociation of urge, tic relief, and inhibition networks; superior frontal gyrus for tic inhibition; insula/BG for tic relief]</w:t>
      </w:r>
    </w:p>
    <w:p>
      <w:pPr>
        <w:spacing w:before="80" w:after="80"/>
        <w:jc w:val="left"/>
      </w:pPr>
      <w:r>
        <w:rPr>
          <w:rFonts w:ascii="Arial" w:cs="Arial" w:eastAsia="Arial" w:hAnsi="Arial"/>
          <w:sz w:val="24"/>
          <w:szCs w:val="24"/>
        </w:rPr>
        <w:t xml:space="preserve">[27] Li Y et al. The severity and neural correlates of premonitory urge in Tourette syndrome: a systematic review and meta-analysis. J Integr Neurosci 22 (2023) 159. [22 studies, 1,236 patients; insula, PFC, ACC, SMA as PU network; age and tic severity moderate PU severity]</w:t>
      </w:r>
    </w:p>
    <w:p>
      <w:pPr>
        <w:spacing w:before="80" w:after="80"/>
        <w:jc w:val="left"/>
      </w:pPr>
      <w:r>
        <w:rPr>
          <w:rFonts w:ascii="Arial" w:cs="Arial" w:eastAsia="Arial" w:hAnsi="Arial"/>
          <w:sz w:val="24"/>
          <w:szCs w:val="24"/>
        </w:rPr>
        <w:t xml:space="preserve">[28] Draper A et al. Premonitory urges are associated with decreased grey matter thickness within the insula and sensorimotor cortex in young people with Tourette syndrome. J Neuropsychol 10 (2016) 143–153. [Cortical thinning in insula/sensorimotor cortex inversely associated with urge strength; reduced thickness vs typically developing controls]</w:t>
      </w:r>
    </w:p>
    <w:p>
      <w:pPr>
        <w:spacing w:before="80" w:after="80"/>
        <w:jc w:val="left"/>
      </w:pPr>
      <w:r>
        <w:rPr>
          <w:rFonts w:ascii="Arial" w:cs="Arial" w:eastAsia="Arial" w:hAnsi="Arial"/>
          <w:sz w:val="24"/>
          <w:szCs w:val="24"/>
        </w:rPr>
        <w:t xml:space="preserve">[29] Lerner A et al. Widespread abnormality of the γ-aminobutyric acid-ergic system in Tourette syndrome. Brain 135 (Pt 6) (2012) 1926–1936. [PET flumazenil: decreased GABA-A binding in ventral striatum, globus pallidus, thalamus, amygdala, right insula in TS]</w:t>
      </w:r>
    </w:p>
    <w:p>
      <w:pPr>
        <w:spacing w:before="80" w:after="80"/>
        <w:jc w:val="left"/>
      </w:pPr>
      <w:r>
        <w:rPr>
          <w:rFonts w:ascii="Arial" w:cs="Arial" w:eastAsia="Arial" w:hAnsi="Arial"/>
          <w:sz w:val="24"/>
          <w:szCs w:val="24"/>
        </w:rPr>
        <w:t xml:space="preserve">[30] Puts NA et al. Reduced GABAergic inhibition and abnormal sensory symptoms in children with Tourette syndrome. J Neurophysiol 114 (2015) 808–817. [MRS: reduced GABA over sensorimotor cortex in children with TS; GABA correlates with motor tic severity; findings inconsistent across studies]</w:t>
      </w:r>
    </w:p>
    <w:p>
      <w:pPr>
        <w:spacing w:before="80" w:after="80"/>
        <w:jc w:val="left"/>
      </w:pPr>
      <w:r>
        <w:rPr>
          <w:rFonts w:ascii="Arial" w:cs="Arial" w:eastAsia="Arial" w:hAnsi="Arial"/>
          <w:sz w:val="24"/>
          <w:szCs w:val="24"/>
        </w:rPr>
        <w:t xml:space="preserve">[31] Hienert M et al. Striatal dopaminergic alterations in Tourette’s syndrome: a meta-analysis based on 16 PET and SPECT neuroimaging studies. Transl Psychiatry 8 (2018) 143. [DAT binding: modest non-significant trend; D2/3 binding non-significant trend toward lower; tonic-phasic dysfunction model]</w:t>
      </w:r>
    </w:p>
    <w:p>
      <w:pPr>
        <w:spacing w:before="80" w:after="80"/>
        <w:jc w:val="left"/>
      </w:pPr>
      <w:r>
        <w:rPr>
          <w:rFonts w:ascii="Arial" w:cs="Arial" w:eastAsia="Arial" w:hAnsi="Arial"/>
          <w:sz w:val="24"/>
          <w:szCs w:val="24"/>
        </w:rPr>
        <w:t xml:space="preserve">[32] Grimm C et al. Tonic and burst-like locus coeruleus stimulation distinctly shift network activity across the cortical hierarchy. Nature Neurosci 27 (2024) 2167–2177. [Optogenetic/fMRI: tonic LC shifts network toward associative regions; phasic LC shifts toward sensory regions; qualitatively distinct modes]</w:t>
      </w:r>
    </w:p>
    <w:p>
      <w:pPr>
        <w:spacing w:before="80" w:after="80"/>
        <w:jc w:val="left"/>
      </w:pPr>
      <w:r>
        <w:rPr>
          <w:rFonts w:ascii="Arial" w:cs="Arial" w:eastAsia="Arial" w:hAnsi="Arial"/>
          <w:sz w:val="24"/>
          <w:szCs w:val="24"/>
        </w:rPr>
        <w:t xml:space="preserve">[33] Rae CL et al. A Bayesian account of the sensory-motor interactions underlying symptoms of Tourette syndrome. Front Psychiatry 10 (2019) 29. [Predictive coding / Bayesian account of premonitory urge as prediction error; forward model mismatch; insula as interoceptive report of gate failure]</w:t>
      </w:r>
    </w:p>
    <w:p>
      <w:pPr>
        <w:spacing w:before="80" w:after="80"/>
        <w:jc w:val="left"/>
      </w:pPr>
      <w:r>
        <w:rPr>
          <w:rFonts w:ascii="Arial" w:cs="Arial" w:eastAsia="Arial" w:hAnsi="Arial"/>
          <w:sz w:val="24"/>
          <w:szCs w:val="24"/>
        </w:rPr>
        <w:t xml:space="preserve">[34] Vijayraghavan S et al. Inverted-U dopamine D1 receptor actions on prefrontal neurons engaged in working memory. Nat Neurosci 10 (2007) 376–384. [Single-neuron: D1R activation sculpts PFC delay-cell firing via CAMP; optimal D1 sharpens tuning; excessive D1 erodes it; cellular mechanism of inverted-U]</w:t>
      </w:r>
    </w:p>
    <w:p>
      <w:pPr>
        <w:spacing w:before="80" w:after="80"/>
        <w:jc w:val="left"/>
      </w:pPr>
      <w:r>
        <w:rPr>
          <w:rFonts w:ascii="Arial" w:cs="Arial" w:eastAsia="Arial" w:hAnsi="Arial"/>
          <w:sz w:val="24"/>
          <w:szCs w:val="24"/>
        </w:rPr>
        <w:t xml:space="preserve">[35] Weber DA et al. Dopamine, working memory, and training induced plasticity: implications for psychiatric disorders. Behav Neurosci 136 (2022) 207–218. [Meta-analysis of 75 studies; inverted-U D1/WM confirmed in humans, primates, rodents; quantitative confirmation at population scale]</w:t>
      </w:r>
    </w:p>
    <w:p>
      <w:pPr>
        <w:spacing w:before="80" w:after="80"/>
        <w:jc w:val="left"/>
      </w:pPr>
      <w:r>
        <w:rPr>
          <w:rFonts w:ascii="Arial" w:cs="Arial" w:eastAsia="Arial" w:hAnsi="Arial"/>
          <w:sz w:val="24"/>
          <w:szCs w:val="24"/>
        </w:rPr>
        <w:t xml:space="preserve">[36] Brandt VC et al. Temporal coupling of premonitory urges and tic occurrence and their variability. Parkinsonism Relat Disord 24 (2016) 109–112. [57–66% consistent temporal coupling between urge and tic depending on measurement method; urge clinically important but not universally coupled signal]</w:t>
      </w:r>
    </w:p>
    <w:p>
      <w:pPr>
        <w:spacing w:before="80" w:after="80"/>
        <w:jc w:val="left"/>
      </w:pPr>
      <w:r>
        <w:rPr>
          <w:rFonts w:ascii="Arial" w:cs="Arial" w:eastAsia="Arial" w:hAnsi="Arial"/>
          <w:sz w:val="24"/>
          <w:szCs w:val="24"/>
        </w:rPr>
        <w:t xml:space="preserve">[37] Ito M. Historical review of the significance of the cerebellum and the role of Purkinje cells in motor learning. Ann NY Acad Sci 978 (2002) 273–288. [Climbing fiber prediction error signal; LTD at parallel fiber-Purkinje synapse; cerebellar motor learning mechanism; tic timing encoding]</w:t>
      </w:r>
    </w:p>
    <w:p>
      <w:pPr>
        <w:spacing w:before="80" w:after="80"/>
        <w:jc w:val="left"/>
      </w:pPr>
      <w:r>
        <w:rPr>
          <w:rFonts w:ascii="Arial" w:cs="Arial" w:eastAsia="Arial" w:hAnsi="Arial"/>
          <w:sz w:val="24"/>
          <w:szCs w:val="24"/>
        </w:rPr>
        <w:t xml:space="preserve">[38] Craig AD. How do you feel — now? The anterior insula and human awareness. Nat Rev Neurosci 10 (2009) 59–70. [Canonical account of anterior insula in interoception; posterior-to-anterior gradient; interoceptive salience weighting by arousal state]</w:t>
      </w:r>
    </w:p>
    <w:p>
      <w:pPr>
        <w:spacing w:before="80" w:after="80"/>
        <w:jc w:val="left"/>
      </w:pPr>
      <w:r>
        <w:rPr>
          <w:rFonts w:ascii="Arial" w:cs="Arial" w:eastAsia="Arial" w:hAnsi="Arial"/>
          <w:sz w:val="24"/>
          <w:szCs w:val="24"/>
        </w:rPr>
        <w:t xml:space="preserve">[39] Ganos C et al. Premonitory urge to tic in Tourette’s is associated with interoceptive awareness. Mov Disord 30 (2015) 1198–1202. [Interoceptive awareness strongest predictor of PU severity in TS; heartbeat counting task; GTS patients show lower interoceptive accuracy]</w:t>
      </w:r>
    </w:p>
    <w:p>
      <w:pPr>
        <w:spacing w:before="80" w:after="80"/>
        <w:jc w:val="left"/>
      </w:pPr>
      <w:r>
        <w:rPr>
          <w:rFonts w:ascii="Arial" w:cs="Arial" w:eastAsia="Arial" w:hAnsi="Arial"/>
          <w:sz w:val="24"/>
          <w:szCs w:val="24"/>
        </w:rPr>
        <w:t xml:space="preserve">[40] Jackson SR et al. The role of the cingulate cortex in the generation of motor tics and the experience of the premonitory urge-to-tic in Tourette syndrome. J Neuropsychol (2021). doi:10.1111/jnp.12242. [VBM: TS associated with bilateral MCC grey matter reduction; aMCC volume correlates with PUTS urge scores; MCC structural covariance with motor cerebellum]</w:t>
      </w:r>
    </w:p>
    <w:p>
      <w:pPr>
        <w:spacing w:before="80" w:after="80"/>
        <w:jc w:val="left"/>
      </w:pPr>
      <w:r>
        <w:rPr>
          <w:rFonts w:ascii="Arial" w:cs="Arial" w:eastAsia="Arial" w:hAnsi="Arial"/>
          <w:sz w:val="24"/>
          <w:szCs w:val="24"/>
        </w:rPr>
        <w:t xml:space="preserve">[41] Rae CL et al. Elevated representational similarity of voluntary action and inhibition in Tourette syndrome. Brain Commun 5 (2023) fcad224. doi:10.1093/braincomms/fcad224. [IFG hyperactive during volitional tic withholding; IFG amplifies preSMA→STN hyperdirect pathway; TS patients require greater IFG engagement than controls; tic suppression blocks but does not remove direct-pathway action plan; preSMA-caudate-GP-thalamus connectivity scales with premonitory urge severity]</w:t>
      </w:r>
    </w:p>
    <w:p>
      <w:pPr>
        <w:spacing w:before="80" w:after="80"/>
        <w:jc w:val="left"/>
      </w:pPr>
      <w:r>
        <w:rPr>
          <w:rFonts w:ascii="Arial" w:cs="Arial" w:eastAsia="Arial" w:hAnsi="Arial"/>
          <w:sz w:val="24"/>
          <w:szCs w:val="24"/>
        </w:rPr>
        <w:t xml:space="preserve">[42] Aron AR &amp; Poldrack RA. Cortical and subcortical contributions to Stop signal response inhibition: role of the subthalamic nucleus. J Neurosci 26 (2006) 981–991. [Canonical vlPFC→STN hyperdirect pathway; fastest response suppression route; bypasses striatum; STN excites GPi → broad thalamic suppression before striatal evaluation completes; stop-signal task substrate]</w:t>
      </w:r>
    </w:p>
    <w:p>
      <w:pPr>
        <w:spacing w:before="80" w:after="80"/>
        <w:jc w:val="left"/>
      </w:pPr>
      <w:r>
        <w:rPr>
          <w:rFonts w:ascii="Arial" w:cs="Arial" w:eastAsia="Arial" w:hAnsi="Arial"/>
          <w:sz w:val="24"/>
          <w:szCs w:val="24"/>
        </w:rPr>
        <w:t xml:space="preserve">[43] Maia TV &amp; Conceição VA. The roles of phasic and tonic dopamine in tic learning and expression. Biol Psychiatry 82 (2017) 401–412. [Phasic DA elevated in TS; tics reinforced as maladaptive motor habits via aberrant phasic DA; tic relief = positive prediction error → DA burst → reinforcement; tonic DA elevated too → gate bias toward expression; habit-learning circuitry engaged by both]</w:t>
      </w:r>
    </w:p>
    <w:p>
      <w:pPr>
        <w:spacing w:before="80" w:after="80"/>
        <w:jc w:val="left"/>
      </w:pPr>
      <w:r>
        <w:rPr>
          <w:rFonts w:ascii="Arial" w:cs="Arial" w:eastAsia="Arial" w:hAnsi="Arial"/>
          <w:sz w:val="24"/>
          <w:szCs w:val="24"/>
        </w:rPr>
        <w:t xml:space="preserve">[44] Conceição VA et al. Premonitory urges and tics in Tourette syndrome: computational mechanisms and neural correlates. Curr Opin Neurobiol 46 (2017) 107–112. [Insula–BG–DA nexus in tic reinforcement; insula encodes urge state; BG gates motor program; phasic DA encodes urge-relief prediction error; reinforces tic-relief cycle in motor CSTC loop]</w:t>
      </w:r>
    </w:p>
    <w:p>
      <w:pPr>
        <w:spacing w:before="80" w:after="80"/>
        <w:jc w:val="left"/>
      </w:pPr>
      <w:r>
        <w:rPr>
          <w:rFonts w:ascii="Arial" w:cs="Arial" w:eastAsia="Arial" w:hAnsi="Arial"/>
          <w:sz w:val="24"/>
          <w:szCs w:val="24"/>
        </w:rPr>
        <w:t xml:space="preserve">[45] Davis M et al. The role of the amygdala versus the bed nucleus of the stria terminalis in fear and anxiety. Ann NY Acad Sci 985 (2003) 199–204. [Canonical BLA/CeA vs BNST dissociation; BLA = phasic cue-specific fear; BNST = sustained anticipatory anxiety to uncertain/ambiguous threat; BNST projects to PVN (HPA) and LC (NE) → sustained gate-lowering conditions in TS anxiety]</w:t>
      </w:r>
    </w:p>
    <w:p>
      <w:pPr>
        <w:spacing w:before="80" w:after="80"/>
        <w:jc w:val="left"/>
      </w:pPr>
      <w:r>
        <w:rPr>
          <w:rFonts w:ascii="Arial" w:cs="Arial" w:eastAsia="Arial" w:hAnsi="Arial"/>
          <w:sz w:val="24"/>
          <w:szCs w:val="24"/>
        </w:rPr>
        <w:t xml:space="preserve">[46] Kataoka Y et al. Decreased number of parvalbumin and cholinergic interneurons in the striatum of individuals with Tourette syndrome. J Comp Neurol 518 (2010) 277–291. doi:10.1002/cne.22206. [Postmortem stereology n = 5; 50–60% reduction in PV+ and ChAT+ interneurons in caudate and putamen; deficit in associative and sensorimotor regions; normal CIN density gradient abolished; all subjects on dopamine antagonists at death — confound for ChAT findings]</w:t>
      </w:r>
    </w:p>
    <w:p>
      <w:pPr>
        <w:spacing w:before="80" w:after="80"/>
        <w:jc w:val="left"/>
      </w:pPr>
      <w:r>
        <w:rPr>
          <w:rFonts w:ascii="Arial" w:cs="Arial" w:eastAsia="Arial" w:hAnsi="Arial"/>
          <w:sz w:val="24"/>
          <w:szCs w:val="24"/>
        </w:rPr>
        <w:t xml:space="preserve">[47] Walker QD et al. Testosterone induces molecular changes in dopamine signaling pathway molecules in the adolescent male rat nigrostriatal pathway. PLOS ONE 9(3) (2014) e91151. doi:10.1371/journal.pone.0091151. [D2 mRNA increased in substantia nigra and striatum by androgens (testosterone, DHT) via androgen receptor activation; DAT and VMAT2 mRNA also increased; adolescent male rat nigrostriatal pathway; direct molecular support for testosterone→AR→D2 upregulation mechanism]</w:t>
      </w:r>
    </w:p>
    <w:p>
      <w:pPr>
        <w:spacing w:before="80" w:after="80"/>
        <w:jc w:val="left"/>
      </w:pPr>
      <w:r>
        <w:rPr>
          <w:rFonts w:ascii="Arial" w:cs="Arial" w:eastAsia="Arial" w:hAnsi="Arial"/>
          <w:sz w:val="24"/>
          <w:szCs w:val="24"/>
        </w:rPr>
        <w:t xml:space="preserve">[48] Mahone EM et al. GABA and glutamate in children with Tourette syndrome: a 1H MR spectroscopy study at 7T. Psychiatry Res Neuroimaging 267 (2018) 53–62. [7T MRS; n = 75 (32 TS, 43 controls); no significant GABA differences in any region including sensorimotor cortex, DLPFC, VMPFC, or striatum; elevated glutamate in premotor cortex associated with improved selective motor inhibition in TS; findings inconsistent with Puts 2015 sensorimotor GABA reduction]</w:t>
      </w:r>
    </w:p>
    <w:p>
      <w:pPr>
        <w:spacing w:before="80" w:after="80"/>
        <w:jc w:val="left"/>
      </w:pPr>
      <w:r>
        <w:rPr>
          <w:rFonts w:ascii="Arial" w:cs="Arial" w:eastAsia="Arial" w:hAnsi="Arial"/>
          <w:sz w:val="24"/>
          <w:szCs w:val="24"/>
        </w:rPr>
        <w:t xml:space="preserve">[49] Wang Y et al. Interneuron loss and microglia activation by transcriptome analyses in the basal ganglia of Tourette disorder. Biol Psychiatry 98 (2025) 260–270. doi:10.1016/j.biopsych.2024.12.022. [snRNA-seq + snATAC-seq, 6 adult TS vs 6 matched NC; ∵50% reduction in CIN, PV, and SST interneurons — all three interneuron populations; MSNs show mitochondrial oxidative metabolism impairment; microglia show elevated inflammatory activation correlated with MSN metabolic stress; changes epigenomic (enhancer dysregulation); same-sample caveats as Kataoka 2010: severe adult-persistent TS, antipsychotic treatment at death]</w:t>
      </w:r>
    </w:p>
    <w:p>
      <w:pPr>
        <w:spacing w:before="80" w:after="80"/>
        <w:jc w:val="left"/>
      </w:pPr>
      <w:r>
        <w:rPr>
          <w:rFonts w:ascii="Arial" w:cs="Arial" w:eastAsia="Arial" w:hAnsi="Arial"/>
          <w:sz w:val="24"/>
          <w:szCs w:val="24"/>
        </w:rPr>
        <w:t xml:space="preserve">[50] Xu J et al. Elevated antibody binding to striatal cholinergic interneurons in patients with pediatric acute-onset neuropsychiatric syndrome. Brain Behav Immun 122 (2024) 241–255. doi:10.1016/j.bbi.2024.07.044. [PANS patient IgG drawn at flare shows elevated CIN binding in mouse and human brain tissue ex vivo; CIN activity reduced (p-rpS6 marker); IgG binding resolves in parallel with symptom improvement after IVIG treatment; human tissue confirmation of CIN-specific autoantibody targeting in PANS/PANDAS; extends and replicates Xu et al. Am J Psychiatry 2021]</w:t>
      </w:r>
    </w:p>
    <w:p>
      <w:pPr>
        <w:spacing w:before="80" w:after="80"/>
        <w:jc w:val="left"/>
      </w:pPr>
      <w:r>
        <w:rPr>
          <w:rFonts w:ascii="Arial" w:cs="Arial" w:eastAsia="Arial" w:hAnsi="Arial"/>
          <w:sz w:val="24"/>
          <w:szCs w:val="24"/>
        </w:rPr>
        <w:t xml:space="preserve">[51] Raz G et al. Tic timing tracks reward-expectation in video games and emotionally salient film moments. Reported in: Hartmann A et al. Tourette syndrome research highlights from 2023. F1000Research 13 (2024) 677. doi:10.12688/f1000research.150931.2. [Naturalistic behavioral study; tics cluster at reward-anticipation windows; first direct behavioral evidence linking tic timing to phasic DA prediction windows]</w:t>
      </w:r>
    </w:p>
    <w:p>
      <w:pPr>
        <w:spacing w:before="80" w:after="80"/>
        <w:jc w:val="left"/>
      </w:pPr>
      <w:r>
        <w:rPr>
          <w:rFonts w:ascii="Arial" w:cs="Arial" w:eastAsia="Arial" w:hAnsi="Arial"/>
          <w:sz w:val="24"/>
          <w:szCs w:val="24"/>
        </w:rPr>
        <w:t xml:space="preserve">[52] Rusheen AE et al. Deep brain stimulation alleviates tics in Tourette syndrome via striatal dopamine transmission. Brain 146 (2023) 4174–4190. doi:10.1093/brain/awad142. [Rat TS model; CM/PF DBS evokes phasic + tonic striatal DA via CINs; D2 blockade abolishes therapeutic response; resolves hyperdopaminergic vs hypodopaminergic paradox; identifies CIN-DA-D2 indirect pathway as convergence mechanism]</w:t>
      </w:r>
    </w:p>
    <w:p>
      <w:pPr>
        <w:spacing w:before="80" w:after="80"/>
        <w:jc w:val="left"/>
      </w:pPr>
      <w:r>
        <w:rPr>
          <w:rFonts w:ascii="Arial" w:cs="Arial" w:eastAsia="Arial" w:hAnsi="Arial"/>
          <w:sz w:val="24"/>
          <w:szCs w:val="24"/>
        </w:rPr>
        <w:t xml:space="preserve">[53] Nasello C et al. (Tischfield MA, senior). Human mutations in high-confidence Tourette disorder genes affect sensorimotor behavior, reward learning, and striatal dopamine in mice. Proc Natl Acad Sci USA 121 (2024) e2307156121. doi:10.1073/pnas.2307156121. [CRISPR construct-valid models; sensorimotor gating deficits + repetitive behaviors; enhanced reward learning + elevated striatal DA; NO interneuron loss detected; creates productive tension with Wang 2025 postmortem findings]</w:t>
      </w:r>
    </w:p>
    <w:p>
      <w:pPr>
        <w:spacing w:before="80" w:after="80"/>
        <w:jc w:val="left"/>
      </w:pPr>
      <w:r>
        <w:rPr>
          <w:rFonts w:ascii="Arial" w:cs="Arial" w:eastAsia="Arial" w:hAnsi="Arial"/>
          <w:sz w:val="24"/>
          <w:szCs w:val="24"/>
        </w:rPr>
        <w:t xml:space="preserve">[54] Farhat LC et al. Comparative efficacy, tolerability, and acceptability of pharmacological interventions for Tourette syndrome: a systematic review and network meta-analysis. Lancet Neurology 22 (2023) 306–316. doi:10.1016/S1474-4422(23)00059-7. [39 RCTs, 4578 participants, 23 medications; 1st-gen antipsychotics SMD −0.65; 2nd-gen SMD −0.71; alpha-2 agonists SMD −0.21; VMAT2 inhibitors not significant SMD −0.09; mechanistically distinguishes three drug classes by circuit node targeted]</w:t>
      </w:r>
    </w:p>
    <w:p>
      <w:pPr>
        <w:spacing w:before="80" w:after="80"/>
        <w:jc w:val="left"/>
      </w:pPr>
      <w:r>
        <w:rPr>
          <w:rFonts w:ascii="Arial" w:cs="Arial" w:eastAsia="Arial" w:hAnsi="Arial"/>
          <w:sz w:val="24"/>
          <w:szCs w:val="24"/>
        </w:rPr>
        <w:t xml:space="preserve">[55] Kawikova I et al. Decreased numbers of regulatory T cells suggest impaired immune tolerance in children with Tourette syndrome. Biol Psychiatry 61 (2007) 273–278. doi:10.1016/j.biopsych.2006.07.028. [Flow cytometry; 37 children; significant Treg reduction in moderate-to-severe TS vs controls; primary evidence for Treg deficit in TS]</w:t>
      </w:r>
    </w:p>
    <w:p>
      <w:pPr>
        <w:spacing w:before="80" w:after="80"/>
        <w:jc w:val="left"/>
      </w:pPr>
      <w:r>
        <w:rPr>
          <w:rFonts w:ascii="Arial" w:cs="Arial" w:eastAsia="Arial" w:hAnsi="Arial"/>
          <w:sz w:val="24"/>
          <w:szCs w:val="24"/>
        </w:rPr>
        <w:t xml:space="preserve">[56] Yu D et al. Interrogating the genetic determinants of Tourette syndrome through genome-wide association studies. Am J Psychiatry 176 (2019) 217–227. doi:10.1176/appi.ajp.2018.18070857. [4,819 TS / 9,488 controls; FLT3 genome-wide significant (p=2.1×10⁻⁸); NOT replicated in independent Icelandic sample]</w:t>
      </w:r>
    </w:p>
    <w:p>
      <w:pPr>
        <w:spacing w:before="80" w:after="80"/>
        <w:jc w:val="left"/>
      </w:pPr>
      <w:r>
        <w:rPr>
          <w:rFonts w:ascii="Arial" w:cs="Arial" w:eastAsia="Arial" w:hAnsi="Arial"/>
          <w:sz w:val="24"/>
          <w:szCs w:val="24"/>
        </w:rPr>
        <w:t xml:space="preserve">[57] Liao C et al. Transcriptome-wide association study reveals increased neuronal FLT3 expression in Tourette syndrome. Commun Biol 5 (2022) 277. doi:10.1038/s42003-022-03231-0. [TWAS; FLT3 elevated 1.72-fold in lymphoblastoid cell lines; pheWAS links FLT3 to immune pathways including monocyte count]</w:t>
      </w:r>
    </w:p>
    <w:p>
      <w:pPr>
        <w:spacing w:before="80" w:after="80"/>
        <w:jc w:val="left"/>
      </w:pPr>
      <w:r>
        <w:rPr>
          <w:rFonts w:ascii="Arial" w:cs="Arial" w:eastAsia="Arial" w:hAnsi="Arial"/>
          <w:sz w:val="24"/>
          <w:szCs w:val="24"/>
        </w:rPr>
        <w:t xml:space="preserve">[58] Bernatsky S et al. Cancer risk in systemic lupus: updated international cohort study. J Autoimmun 42 (2013) 130–135. doi:10.1016/j.jaut.2012.12.009. [16,409 SLE patients; NHL SIR 4.39 (95% CI 3.46–5.49)]</w:t>
      </w:r>
    </w:p>
    <w:p>
      <w:pPr>
        <w:spacing w:before="80" w:after="80"/>
        <w:jc w:val="left"/>
      </w:pPr>
      <w:r>
        <w:rPr>
          <w:rFonts w:ascii="Arial" w:cs="Arial" w:eastAsia="Arial" w:hAnsi="Arial"/>
          <w:sz w:val="24"/>
          <w:szCs w:val="24"/>
        </w:rPr>
        <w:t xml:space="preserve">[59] Smedby KE et al. Autoimmune disorders and risk of non-Hodgkin lymphoma subtypes: InterLymph Consortium pooled analysis. Blood 111 (2008) 4029–4038. doi:10.1182/blood-2007-10-115006. [SLE 2.7-fold NHL risk; Sjögren’s elevated for diffuse large B-cell and marginal zone lymphoma]</w:t>
      </w:r>
    </w:p>
    <w:p>
      <w:pPr>
        <w:spacing w:before="80" w:after="80"/>
        <w:jc w:val="left"/>
      </w:pPr>
      <w:r>
        <w:rPr>
          <w:rFonts w:ascii="Arial" w:cs="Arial" w:eastAsia="Arial" w:hAnsi="Arial"/>
          <w:sz w:val="24"/>
          <w:szCs w:val="24"/>
        </w:rPr>
        <w:t xml:space="preserve">[60] Zintzaras E, Voulgarelis M, Moutsopoulos HM. Risk of lymphoma in autoimmune diseases: meta-analysis. Arch Intern Med 165 (2005) 2337–2344. doi:10.1001/archinte.165.20.2337. [Meta-analysis; highest NHL risk in primary Sjögren’s (6–9-fold); moderate SLE; lower 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2026-03-19T05:42:33.665Z</dcterms:created>
  <dcterms:modified xsi:type="dcterms:W3CDTF">2026-03-19T05:42:33.666Z</dcterms:modified>
</cp:coreProperties>
</file>

<file path=docProps/custom.xml><?xml version="1.0" encoding="utf-8"?>
<Properties xmlns="http://schemas.openxmlformats.org/officeDocument/2006/custom-properties" xmlns:vt="http://schemas.openxmlformats.org/officeDocument/2006/docPropsVTypes"/>
</file>