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rPr>
          <w:rFonts w:ascii="Arial" w:cs="Arial" w:eastAsia="Arial" w:hAnsi="Arial"/>
          <w:b/>
          <w:bCs/>
          <w:color w:val="1F3864"/>
          <w:sz w:val="40"/>
          <w:szCs w:val="40"/>
        </w:rPr>
        <w:t xml:space="preserve">The Angular Gyrus Filter: Giftedness, Architectural Mismatch, and Biological Predictions</w:t>
      </w:r>
    </w:p>
    <w:p>
      <w:pPr>
        <w:spacing w:before="0" w:after="120"/>
        <w:jc w:val="center"/>
      </w:pPr>
      <w:r>
        <w:rPr>
          <w:rFonts w:ascii="Arial" w:cs="Arial" w:eastAsia="Arial" w:hAnsi="Arial"/>
          <w:i/>
          <w:iCs/>
          <w:color w:val="444444"/>
          <w:sz w:val="28"/>
          <w:szCs w:val="28"/>
        </w:rPr>
        <w:t xml:space="preserve">A Five-Operation Decomposition of Higher-Tier Cognition</w:t>
      </w:r>
    </w:p>
    <w:p>
      <w:pPr>
        <w:spacing w:before="0" w:after="80"/>
        <w:jc w:val="center"/>
      </w:pPr>
      <w:r>
        <w:rPr>
          <w:rFonts w:ascii="Arial" w:cs="Arial" w:eastAsia="Arial" w:hAnsi="Arial"/>
          <w:color w:val="666666"/>
          <w:sz w:val="22"/>
          <w:szCs w:val="22"/>
        </w:rPr>
        <w:t xml:space="preserve">Version 3.0 · March 2026</w:t>
      </w:r>
    </w:p>
    <w:p>
      <w:pPr>
        <w:spacing w:before="0" w:after="80"/>
        <w:jc w:val="center"/>
      </w:pPr>
      <w:r>
        <w:rPr>
          <w:rFonts w:ascii="Arial" w:cs="Arial" w:eastAsia="Arial" w:hAnsi="Arial"/>
          <w:i/>
          <w:iCs/>
          <w:color w:val="888888"/>
          <w:sz w:val="22"/>
          <w:szCs w:val="22"/>
        </w:rPr>
        <w:t xml:space="preserve">Preprint · Not yet peer reviewed</w:t>
      </w:r>
    </w:p>
    <w:p>
      <w:pPr>
        <w:spacing w:before="0" w:after="80"/>
      </w:pPr>
      <w:r>
        <w:t xml:space="preserve"/>
      </w:r>
    </w:p>
    <w:p>
      <w:pPr>
        <w:pStyle w:val="Heading1"/>
        <w:spacing w:before="300" w:after="150"/>
      </w:pPr>
      <w:r>
        <w:rPr>
          <w:rFonts w:ascii="Arial" w:cs="Arial" w:eastAsia="Arial" w:hAnsi="Arial"/>
          <w:b/>
          <w:bCs/>
          <w:color w:val="1F3864"/>
          <w:sz w:val="32"/>
          <w:szCs w:val="32"/>
        </w:rPr>
        <w:t xml:space="preserve">Abstract</w:t>
      </w:r>
    </w:p>
    <w:p>
      <w:pPr>
        <w:spacing w:before="0" w:after="160" w:line="320" w:lineRule="auto"/>
        <w:jc w:val="left"/>
      </w:pPr>
      <w:r>
        <w:rPr>
          <w:rFonts w:ascii="Arial" w:cs="Arial" w:eastAsia="Arial" w:hAnsi="Arial"/>
          <w:sz w:val="24"/>
          <w:szCs w:val="24"/>
        </w:rPr>
        <w:t xml:space="preserve">Intellectual giftedness is commonly discussed as a quantitative difference in intelligence, yet this framing does not explain the qualitative shifts reported at higher ability levels or the adult phenomenon often described as the "gifted wall." This paper proposes a mechanistic account in which giftedness is better modeled as a difference in the abstraction layer at which detection operates, supported by a five-operation framework: propagation, gating, detection, accumulation, and refinement.</w:t>
      </w:r>
    </w:p>
    <w:p>
      <w:pPr>
        <w:spacing w:before="0" w:after="160" w:line="320" w:lineRule="auto"/>
        <w:jc w:val="left"/>
      </w:pPr>
      <w:r>
        <w:rPr>
          <w:rFonts w:ascii="Arial" w:cs="Arial" w:eastAsia="Arial" w:hAnsi="Arial"/>
          <w:sz w:val="24"/>
          <w:szCs w:val="24"/>
        </w:rPr>
        <w:t xml:space="preserve">The framework synthesizes findings from adult cognitive neuroscience on angular gyrus convergence, hippocampal CA3 pattern completion, locus coeruleus norepinephrine regulation, acetylcholine-dependent encoding, and dopaminergic prefrontal gating. On this account, the angular gyrus functions as a cross-domain structural filter that detects isomorphisms between incoming material and an accumulated template library. As that library becomes denser, structurally familiar inputs are increasingly classified as variants of already-held knowledge, reducing the probability that hippocampal novelty thresholds are crossed and new encoding is engaged.</w:t>
      </w:r>
    </w:p>
    <w:p>
      <w:pPr>
        <w:spacing w:before="0" w:after="160" w:line="320" w:lineRule="auto"/>
        <w:jc w:val="left"/>
      </w:pPr>
      <w:r>
        <w:rPr>
          <w:rFonts w:ascii="Arial" w:cs="Arial" w:eastAsia="Arial" w:hAnsi="Arial"/>
          <w:sz w:val="24"/>
          <w:szCs w:val="24"/>
        </w:rPr>
        <w:t xml:space="preserve">This model suggests that the "gifted wall" is better understood not as loss of capacity or developmental decline, but as a mismatch between a high-density structural template library and an environment that no longer supplies structurally novel problems at the individual's operating layer. The resulting presentation is predicted to reflect adaptive failure of environment fit rather than failure of the underlying architecture. The paper further argues that some behaviors commonly labeled distractibility, disengagement, or plateau may emerge from this mismatch state, especially when redundant environments reward persistence where lateral movement across structural frontiers would be more adaptive.</w:t>
      </w:r>
    </w:p>
    <w:p>
      <w:pPr>
        <w:spacing w:before="0" w:after="160" w:line="320" w:lineRule="auto"/>
        <w:jc w:val="left"/>
      </w:pPr>
      <w:r>
        <w:rPr>
          <w:rFonts w:ascii="Arial" w:cs="Arial" w:eastAsia="Arial" w:hAnsi="Arial"/>
          <w:sz w:val="24"/>
          <w:szCs w:val="24"/>
        </w:rPr>
        <w:t xml:space="preserve">From this framework, the paper derives a set of falsifiable biological predictions. The highest-priority test is that, in higher-tier gifted profiles encountering structurally isomorphic material, angular gyrus activation should precede domain-specific cortical activation. Additional predictions address preservation of capacity under renewed structural novelty, differential stimulant response in gifted individuals carrying ADHD labels, and low-cost physiological proxies of mismatch such as HRV-RMSSD. Taken together, the paper offers a testable neurobiological framework for adult giftedness, architectural mismatch, and the phenomenon currently described as the gifted wall.</w:t>
      </w:r>
    </w:p>
    <w:p>
      <w:pPr>
        <w:spacing w:before="0" w:after="160" w:line="320" w:lineRule="auto"/>
        <w:jc w:val="left"/>
      </w:pPr>
      <w:r>
        <w:rPr>
          <w:rFonts w:ascii="Arial" w:cs="Arial" w:eastAsia="Arial" w:hAnsi="Arial"/>
          <w:sz w:val="24"/>
          <w:szCs w:val="24"/>
        </w:rPr>
        <w:t xml:space="preserve">Keywords: giftedness, angular gyrus, structural novelty, architectural mismatch, mismatch cascade, detection layer, adaptation, five-operation framework, ADHD-giftedness structural identity, tier divergence, HPA cascade, exercise endocrine axis</w:t>
      </w:r>
    </w:p>
    <w:p>
      <w:pPr>
        <w:spacing w:before="0" w:after="80"/>
      </w:pPr>
      <w:r>
        <w:t xml:space="preserve"/>
      </w:r>
    </w:p>
    <w:p>
      <w:pPr>
        <w:pStyle w:val="Heading1"/>
        <w:spacing w:before="300" w:after="150"/>
      </w:pPr>
      <w:r>
        <w:rPr>
          <w:rFonts w:ascii="Arial" w:cs="Arial" w:eastAsia="Arial" w:hAnsi="Arial"/>
          <w:b/>
          <w:bCs/>
          <w:color w:val="1F3864"/>
          <w:sz w:val="32"/>
          <w:szCs w:val="32"/>
        </w:rPr>
        <w:t xml:space="preserve">1. Introduction</w:t>
      </w:r>
    </w:p>
    <w:p>
      <w:pPr>
        <w:spacing w:before="0" w:after="160" w:line="320" w:lineRule="auto"/>
        <w:jc w:val="left"/>
      </w:pPr>
      <w:r>
        <w:rPr>
          <w:rFonts w:ascii="Arial" w:cs="Arial" w:eastAsia="Arial" w:hAnsi="Arial"/>
          <w:sz w:val="24"/>
          <w:szCs w:val="24"/>
        </w:rPr>
        <w:t xml:space="preserve">There is a structural problem with the gifted research literature that has gone largely unacknowledged: the cognitive neuroscience of giftedness is almost entirely conducted on children and adolescents. Adult gifted literature exists but addresses psychosocial outcomes — well-being, career trajectories, family dynamics — not cognitive architecture or neural mechanisms. Rinn and Bishop (2015, Gifted Child Quarterly, 59:213), in the field's own systematic review, concluded there is "a limited amount of research that has examined the gifted adult"; Poirier et al. (2025, Gifted Child Quarterly) confirm the adult population remains "under-researched" and conclusions "preliminary" as of this year. The wall — the phenomenon this paper is primarily concerned with explaining — is an adult experience. Because the cognitive neuroscience of giftedness has sampled almost exclusively prior to saturation, the field is structurally constrained in what it can say about adult outcomes. Because no established neurobiological model demonstrates a categorical adult conversion of gifted architecture into a neurotypical one, the common wall narrative should be treated as a hypothesis to be tested rather than as an explanatory default.</w:t>
      </w:r>
    </w:p>
    <w:p>
      <w:pPr>
        <w:spacing w:before="0" w:after="160" w:line="320" w:lineRule="auto"/>
        <w:jc w:val="left"/>
      </w:pPr>
      <w:r>
        <w:rPr>
          <w:rFonts w:ascii="Arial" w:cs="Arial" w:eastAsia="Arial" w:hAnsi="Arial"/>
          <w:sz w:val="24"/>
          <w:szCs w:val="24"/>
        </w:rPr>
        <w:t xml:space="preserve">This paper does not rely on the gifted research literature to explain the wall. The explanatory foundation is the neuroscience of the specific mechanisms involved: the angular gyrus convergence operation, hippocampal CA3 pattern completion dynamics, locus coeruleus norepinephrine regulation, the acetylcholine-norepinephrine encoding gate threshold, and the dopamine D1/D2 prefrontal gating mechanism. These are characterized at mechanism level in adult general populations across decades of independent research. The synthesis presented here — applying these mechanisms jointly to the giftedness context — is frontier work in that the integration is new. The individual mechanisms are not. The gifted research literature is used in a narrower role: it confirms that these mechanisms operate at elevated intensity during development. That is pre-saturation architecture confirmation. What happens after saturation follows from the mechanisms themselves.</w:t>
      </w:r>
    </w:p>
    <w:p>
      <w:pPr>
        <w:spacing w:before="0" w:after="160" w:line="320" w:lineRule="auto"/>
        <w:jc w:val="left"/>
      </w:pPr>
      <w:r>
        <w:rPr>
          <w:rFonts w:ascii="Arial" w:cs="Arial" w:eastAsia="Arial" w:hAnsi="Arial"/>
          <w:sz w:val="24"/>
          <w:szCs w:val="24"/>
        </w:rPr>
        <w:t xml:space="preserve">The prevailing account of intellectual giftedness holds that gifted individuals have more of something — greater processing speed, higher working memory capacity, a steeper intelligence curve. This account fails on two counts. First, it does not explain the qualitative shifts that practitioners and gifted individuals consistently report at different ability levels: the sense that something structurally different is happening, not merely a faster or deeper version of the same operation. Second, it does not explain the wall.</w:t>
      </w:r>
    </w:p>
    <w:p>
      <w:pPr>
        <w:spacing w:before="0" w:after="160" w:line="320" w:lineRule="auto"/>
        <w:jc w:val="left"/>
      </w:pPr>
      <w:r>
        <w:rPr>
          <w:rFonts w:ascii="Arial" w:cs="Arial" w:eastAsia="Arial" w:hAnsi="Arial"/>
          <w:sz w:val="24"/>
          <w:szCs w:val="24"/>
        </w:rPr>
        <w:t xml:space="preserve">The gifted wall — the apparent plateau or regression documented across gifted populations, often described as an 'after-gifted phase' — is the most practically consequential and most poorly understood phenomenon in the giftedness literature. This framework suggests the term may rest on a mistaken premise. The mechanisms running at age 12 are the same mechanisms running at age 40 and age 60. There is no established neurobiological account in which a cognitive architecture restructures itself in adulthood to produce a categorical ceiling. On this account, what ends, in people who experience the wall, is adaptation — they stop moving when a fixed environment runs out of frontier problems at their operating layer, and the wrong response to the filter signal locks them in place.</w:t>
      </w:r>
    </w:p>
    <w:p>
      <w:pPr>
        <w:spacing w:before="0" w:after="160" w:line="320" w:lineRule="auto"/>
        <w:jc w:val="left"/>
      </w:pPr>
      <w:r>
        <w:rPr>
          <w:rFonts w:ascii="Arial" w:cs="Arial" w:eastAsia="Arial" w:hAnsi="Arial"/>
          <w:sz w:val="24"/>
          <w:szCs w:val="24"/>
        </w:rPr>
        <w:t xml:space="preserve">The prevailing interpretations of the wall range from developmental ceiling (the architecture has reached its limit) to motivational failure (the individual has disengaged) to clinical disorder (depression, ADHD, burnout). Each predicts a specific intervention: scaffolded challenge, motivational support, or pharmacological treatment. All share a common assumption: something has gone wrong with the person. This paper proposes a different account: on the mismatch hypothesis, the angular gyrus filter is doing precisely what it was designed to do — identifying that incoming domains are structural variants of already-held knowledge and closing the encoding gate to conserve plasticity. The architecture may be intact while the environment has run out of structurally novel problems at the operating layer. These are not equivalent situations, and they predict different interventions.</w:t>
      </w:r>
    </w:p>
    <w:p>
      <w:pPr>
        <w:spacing w:before="0" w:after="160" w:line="320" w:lineRule="auto"/>
        <w:jc w:val="left"/>
      </w:pPr>
      <w:r>
        <w:rPr>
          <w:rFonts w:ascii="Arial" w:cs="Arial" w:eastAsia="Arial" w:hAnsi="Arial"/>
          <w:sz w:val="24"/>
          <w:szCs w:val="24"/>
        </w:rPr>
        <w:t xml:space="preserve">There is a further complication that the literature has not addressed: the wall label may contribute to stabilizing the very experience it attempts to explain. When gifted individuals are told the wall exists and then encounter the filter signal in a fixed environment, they have been trained by neurotypical persistence norms to push through it. Neurotypical persistence training says: when you hit a barrier, apply more effort. But the encoding gate does not open under repetition of structurally redundant input. Repetition is precisely the input the gate is designed to ignore. The architecture requires lateral movement — pivot to a domain with genuine structural novelty. Neurotypical persistence produces vertical pressure against a surface the AG filter has already saturated. The filter fires again. The person pushes again. Each cycle deepens the failure experience and confirms the wall narrative. The wall label creates, through the response it trains, exactly the experience it claimed to predict. The mechanism is not hypothetical: Snyder et al. (2014, Journal of Educational Psychology) showed experimentally that gifted students exposed to an entity-framed message about giftedness following a failure experience engaged in significantly greater behavioral self-handicapping than those exposed to an incremental message — they reduced practice, avoided challenge, and protected their performance image at the expense of actual engagement. The wall label is precisely an entity frame: it tells the gifted person that the architecture has hit its limit, and when the filter fires again in that frame, the entity-primed response is self-protective avoidance rather than pivoting to structural novelty. The physiological cascade is Tier C — individual components are Tier A and B, but the unified mismatch-driven cascade is an integrative synthesis; the behavioral mechanism now has direct experimental support.</w:t>
      </w:r>
    </w:p>
    <w:p>
      <w:pPr>
        <w:spacing w:before="0" w:after="160" w:line="320" w:lineRule="auto"/>
        <w:jc w:val="left"/>
      </w:pPr>
      <w:r>
        <w:rPr>
          <w:rFonts w:ascii="Arial" w:cs="Arial" w:eastAsia="Arial" w:hAnsi="Arial"/>
          <w:sz w:val="24"/>
          <w:szCs w:val="24"/>
        </w:rPr>
        <w:t xml:space="preserve">People who never experience the wall are not exceptional cases. They are people who kept moving — who followed the filter signal as the navigation output it is, pivoting to structurally novel territory when the filter reported saturation. The architecture is built for lateral movement across structural frontiers. It is not built for vertical persistence against a saturated layer. The after-gifted phase does not exist as an architectural phenomenon. It exists as the predictable outcome of applying the wrong response strategy to a correct navigation signal in a fixed environment.</w:t>
      </w:r>
    </w:p>
    <w:p>
      <w:pPr>
        <w:spacing w:before="0" w:after="160" w:line="320" w:lineRule="auto"/>
        <w:jc w:val="left"/>
      </w:pPr>
      <w:r>
        <w:rPr>
          <w:rFonts w:ascii="Arial" w:cs="Arial" w:eastAsia="Arial" w:hAnsi="Arial"/>
          <w:sz w:val="24"/>
          <w:szCs w:val="24"/>
        </w:rPr>
        <w:t xml:space="preserve">The paper is organized as follows. Section 2 describes the five-operation analytical framework. Section 3 describes the three positive mechanisms of higher-tier cognition with their biological substrates. Section 4 describes the tier structure as a detection layer architecture. Section 5 addresses the ADHD-giftedness structural identity hypothesis. Section 6 describes the environmental mismatch cascade, including the iatrogenic cascade produced by the wall label and a section on the exercise endocrine axis as a mismatch countermeasure. Section 7 derives backward biological predictions. Sections 8 and 9 address neuroimaging consistency and clinical implications. Section 10 discusses limitations. Section 11 concludes.</w:t>
      </w:r>
    </w:p>
    <w:p>
      <w:pPr>
        <w:spacing w:before="0" w:after="80"/>
      </w:pPr>
      <w:r>
        <w:t xml:space="preserve"/>
      </w:r>
    </w:p>
    <w:p>
      <w:pPr>
        <w:pStyle w:val="Heading1"/>
        <w:spacing w:before="300" w:after="150"/>
      </w:pPr>
      <w:r>
        <w:rPr>
          <w:rFonts w:ascii="Arial" w:cs="Arial" w:eastAsia="Arial" w:hAnsi="Arial"/>
          <w:b/>
          <w:bCs/>
          <w:color w:val="1F3864"/>
          <w:sz w:val="32"/>
          <w:szCs w:val="32"/>
        </w:rPr>
        <w:t xml:space="preserve">2. The Five-Operation Framework</w:t>
      </w:r>
    </w:p>
    <w:p>
      <w:pPr>
        <w:spacing w:before="0" w:after="160" w:line="320" w:lineRule="auto"/>
        <w:jc w:val="left"/>
      </w:pPr>
      <w:r>
        <w:rPr>
          <w:rFonts w:ascii="Arial" w:cs="Arial" w:eastAsia="Arial" w:hAnsi="Arial"/>
          <w:sz w:val="24"/>
          <w:szCs w:val="24"/>
        </w:rPr>
        <w:t xml:space="preserve">The analytical framework used throughout this paper decomposes any cognitive or biological system into five operations: Propagation (FQ1), Gating (FQ2), Detection (FQ3), Accumulation (FQ4), and Refinement (FQ5). This decomposition was derived from systematic analysis of the cognitive neuroscience literature on spreading activation, attentional gating, novelty detection, pattern completion, and structural updating. The framework is applied here as an analytical tool; the completeness of the decomposition across domains is treated as an empirical question, not a prior assumption.</w:t>
      </w:r>
    </w:p>
    <w:p>
      <w:pPr>
        <w:spacing w:before="0" w:after="160" w:line="320" w:lineRule="auto"/>
        <w:jc w:val="left"/>
      </w:pPr>
      <w:r>
        <w:rPr>
          <w:rFonts w:ascii="Arial" w:cs="Arial" w:eastAsia="Arial" w:hAnsi="Arial"/>
          <w:sz w:val="24"/>
          <w:szCs w:val="24"/>
        </w:rPr>
        <w:t xml:space="preserve">The five operations map directly onto documented neural mechanisms:</w:t>
      </w:r>
    </w:p>
    <w:p>
      <w:pPr>
        <w:pStyle w:val="ListParagraph"/>
        <w:numPr>
          <w:ilvl w:val="0"/>
          <w:numId w:val="2"/>
        </w:numPr>
        <w:spacing w:before="0" w:after="80"/>
      </w:pPr>
      <w:r>
        <w:rPr>
          <w:rFonts w:ascii="Arial" w:cs="Arial" w:eastAsia="Arial" w:hAnsi="Arial"/>
          <w:sz w:val="24"/>
          <w:szCs w:val="24"/>
        </w:rPr>
        <w:t xml:space="preserve">FQ1 Propagation: spreading activation through associative cortex, precision-weighted by acetylcholine (ACh) from the basal forebrain (Hasselmo and Giocomo, 2006)</w:t>
      </w:r>
    </w:p>
    <w:p>
      <w:pPr>
        <w:pStyle w:val="ListParagraph"/>
        <w:numPr>
          <w:ilvl w:val="0"/>
          <w:numId w:val="2"/>
        </w:numPr>
        <w:spacing w:before="0" w:after="80"/>
      </w:pPr>
      <w:r>
        <w:rPr>
          <w:rFonts w:ascii="Arial" w:cs="Arial" w:eastAsia="Arial" w:hAnsi="Arial"/>
          <w:sz w:val="24"/>
          <w:szCs w:val="24"/>
        </w:rPr>
        <w:t xml:space="preserve">FQ2 Gating: attentional gating via thalamo-cortical threshold, controlled by norepinephrine (NE) from the locus coeruleus and dopamine (DA) in prefrontal cortex</w:t>
      </w:r>
    </w:p>
    <w:p>
      <w:pPr>
        <w:pStyle w:val="ListParagraph"/>
        <w:numPr>
          <w:ilvl w:val="0"/>
          <w:numId w:val="2"/>
        </w:numPr>
        <w:spacing w:before="0" w:after="80"/>
      </w:pPr>
      <w:r>
        <w:rPr>
          <w:rFonts w:ascii="Arial" w:cs="Arial" w:eastAsia="Arial" w:hAnsi="Arial"/>
          <w:sz w:val="24"/>
          <w:szCs w:val="24"/>
        </w:rPr>
        <w:t xml:space="preserve">FQ3 Detection: novelty and error signal detection via the anterior cingulate cortex (ACC), angular gyrus convergence, and hippocampal pattern completion</w:t>
      </w:r>
    </w:p>
    <w:p>
      <w:pPr>
        <w:pStyle w:val="ListParagraph"/>
        <w:numPr>
          <w:ilvl w:val="0"/>
          <w:numId w:val="2"/>
        </w:numPr>
        <w:spacing w:before="0" w:after="80"/>
      </w:pPr>
      <w:r>
        <w:rPr>
          <w:rFonts w:ascii="Arial" w:cs="Arial" w:eastAsia="Arial" w:hAnsi="Arial"/>
          <w:sz w:val="24"/>
          <w:szCs w:val="24"/>
        </w:rPr>
        <w:t xml:space="preserve">FQ4 Accumulation: memory consolidation and knowledge graph integration via hippocampal CA3 pattern completion and neocortical systems consolidation</w:t>
      </w:r>
    </w:p>
    <w:p>
      <w:pPr>
        <w:pStyle w:val="ListParagraph"/>
        <w:numPr>
          <w:ilvl w:val="0"/>
          <w:numId w:val="2"/>
        </w:numPr>
        <w:spacing w:before="0" w:after="160"/>
      </w:pPr>
      <w:r>
        <w:rPr>
          <w:rFonts w:ascii="Arial" w:cs="Arial" w:eastAsia="Arial" w:hAnsi="Arial"/>
          <w:sz w:val="24"/>
          <w:szCs w:val="24"/>
        </w:rPr>
        <w:t xml:space="preserve">FQ5 Refinement: structural updating of the knowledge representation itself, gated by the ACh × NE coincidence mechanism that requires genuine semantic depth to open (Hasselmo and Giocomo, 2006)</w:t>
      </w:r>
    </w:p>
    <w:p>
      <w:pPr>
        <w:spacing w:before="0" w:after="160" w:line="320" w:lineRule="auto"/>
        <w:jc w:val="left"/>
      </w:pPr>
      <w:r>
        <w:rPr>
          <w:rFonts w:ascii="Arial" w:cs="Arial" w:eastAsia="Arial" w:hAnsi="Arial"/>
          <w:sz w:val="24"/>
          <w:szCs w:val="24"/>
        </w:rPr>
        <w:t xml:space="preserve">FQ6 is not a sixth operation but FQ3 recursed on the sustaining mechanism: asking what keeps this system cycling is asking Detection to run on the system itself rather than on the environment. For the giftedness context, FQ6 fires the key question: what class of input is required to sustain the cycling of this architecture? The answer, developed throughout this paper, is genuine structural novelty at the operating layer.</w:t>
      </w:r>
    </w:p>
    <w:p>
      <w:pPr>
        <w:spacing w:before="0" w:after="160" w:line="320" w:lineRule="auto"/>
        <w:jc w:val="left"/>
      </w:pPr>
      <w:r>
        <w:rPr>
          <w:rFonts w:ascii="Arial" w:cs="Arial" w:eastAsia="Arial" w:hAnsi="Arial"/>
          <w:sz w:val="24"/>
          <w:szCs w:val="24"/>
        </w:rPr>
        <w:t xml:space="preserve">The evidence tiers used throughout this paper follow a three-level structure. Tier A designates well-replicated, mechanistically confirmed findings at textbook consensus level. Tier B designates mechanisms with direct experimental support but not yet at full consensus. Tier C designates integrative syntheses where individual components are supported but the unified cascade is a proposed framework. Tier assignments are provided at point of use.</w:t>
      </w:r>
    </w:p>
    <w:p>
      <w:pPr>
        <w:spacing w:before="0" w:after="160" w:line="320" w:lineRule="auto"/>
        <w:jc w:val="left"/>
      </w:pPr>
      <w:r>
        <w:rPr>
          <w:rFonts w:ascii="Arial" w:cs="Arial" w:eastAsia="Arial" w:hAnsi="Arial"/>
          <w:sz w:val="24"/>
          <w:szCs w:val="24"/>
        </w:rPr>
        <w:t xml:space="preserve">A note on the evidence base: the gifted research literature is used here in a limited role — early-architecture confirmation in pre-saturation developmental samples. The mechanistic foundation comes from three other literatures. First, general adult neuroscience: the documented biology of AG convergence, hippocampal CA3 pattern completion, LC regulation, and encoding gate threshold in adult general populations. Second, the ADHD literature: this literature has adult populations, longitudinal data, adult neuroimaging, and pharmacological probes that directly test the D1/D2 PFC gating mechanism and the VTA dopaminergic novelty-prediction-error circuit. It is, by accident, the adult neuroscience of the same architecture the gifted literature describes in children but cannot follow into adulthood. Third, the autism literature: the precision-weighting and prediction error accounts in autism document what elevated Detection sensitivity looks like when it extends into perceptual and sensorimotor domains. These three literatures are not used by analogy. They characterize the same mechanisms.</w:t>
      </w:r>
    </w:p>
    <w:p>
      <w:pPr>
        <w:pStyle w:val="Heading2"/>
        <w:spacing w:before="240" w:after="120"/>
      </w:pPr>
      <w:r>
        <w:rPr>
          <w:rFonts w:ascii="Arial" w:cs="Arial" w:eastAsia="Arial" w:hAnsi="Arial"/>
          <w:b/>
          <w:bCs/>
          <w:color w:val="2E5A96"/>
          <w:sz w:val="28"/>
          <w:szCs w:val="28"/>
        </w:rPr>
        <w:t xml:space="preserve">2.1 Defining Structural Novelty</w:t>
      </w:r>
    </w:p>
    <w:p>
      <w:pPr>
        <w:spacing w:before="0" w:after="160" w:line="320" w:lineRule="auto"/>
        <w:jc w:val="left"/>
      </w:pPr>
      <w:r>
        <w:rPr>
          <w:rFonts w:ascii="Arial" w:cs="Arial" w:eastAsia="Arial" w:hAnsi="Arial"/>
          <w:sz w:val="24"/>
          <w:szCs w:val="24"/>
        </w:rPr>
        <w:t xml:space="preserve">The term "structural novelty" is the load-bearing construct of this paper and requires explicit operational grounding before the framework can be applied or tested. As used here, structural novelty at a given detection tier means input that: (1) activates phasic LC response, signaling a salience event that departs from current predictions; (2) produces CA3 pattern completion failure — the incoming relational pattern does not match to a high-confidence stored template in the individual's structural library; and (3) generates an angular gyrus mismatch signal, indicating that no structural isomorphism to held knowledge was detected within the first propagation cycle. All three signals are measurable independently of the behavioral outcome and independently of each other, addressing the circularity concern that structural novelty is defined by whether engagement occurs.</w:t>
      </w:r>
    </w:p>
    <w:p>
      <w:pPr>
        <w:spacing w:before="0" w:after="160" w:line="320" w:lineRule="auto"/>
        <w:jc w:val="left"/>
      </w:pPr>
      <w:r>
        <w:rPr>
          <w:rFonts w:ascii="Arial" w:cs="Arial" w:eastAsia="Arial" w:hAnsi="Arial"/>
          <w:sz w:val="24"/>
          <w:szCs w:val="24"/>
        </w:rPr>
        <w:t xml:space="preserve">Behaviorally, structural novelty at the individual level is approximated by problem classes the individual has not encountered in any domain sharing the same relational architecture, verifiable by structured domain history interview. This behavioral approximation is imperfect and requires standardization. The neural operationalization — LC phasic response, CA3 completion failure latency, AG mismatch amplitude — is the more precise target and constitutes Predictions A1, A2, and F1 respectively. The central claim is that structural novelty, properly defined this way, is what the encoding gate responds to; and that the gifted wall occurs when the individual's environment no longer supplies it at the operating layer.</w:t>
      </w:r>
    </w:p>
    <w:p>
      <w:pPr>
        <w:spacing w:before="0" w:after="80"/>
      </w:pPr>
      <w:r>
        <w:t xml:space="preserve"/>
      </w:r>
    </w:p>
    <w:p>
      <w:pPr>
        <w:pStyle w:val="Heading1"/>
        <w:spacing w:before="300" w:after="150"/>
      </w:pPr>
      <w:r>
        <w:rPr>
          <w:rFonts w:ascii="Arial" w:cs="Arial" w:eastAsia="Arial" w:hAnsi="Arial"/>
          <w:b/>
          <w:bCs/>
          <w:color w:val="1F3864"/>
          <w:sz w:val="32"/>
          <w:szCs w:val="32"/>
        </w:rPr>
        <w:t xml:space="preserve">3. The Positive Mechanisms: What Higher-Tier Cognition Actually Computes</w:t>
      </w:r>
    </w:p>
    <w:p>
      <w:pPr>
        <w:spacing w:before="0" w:after="160" w:line="320" w:lineRule="auto"/>
        <w:jc w:val="left"/>
      </w:pPr>
      <w:r>
        <w:rPr>
          <w:rFonts w:ascii="Arial" w:cs="Arial" w:eastAsia="Arial" w:hAnsi="Arial"/>
          <w:sz w:val="24"/>
          <w:szCs w:val="24"/>
        </w:rPr>
        <w:t xml:space="preserve">This section describes what the architecture does when it is operating correctly. Each mechanism has a named biological substrate, a named chemical carrier, and a named failure mode. The descriptions follow from the neurobiology; they are not post-hoc interpretations of behavioral data.</w:t>
      </w:r>
    </w:p>
    <w:p>
      <w:pPr>
        <w:pStyle w:val="Heading2"/>
        <w:spacing w:before="240" w:after="120"/>
      </w:pPr>
      <w:r>
        <w:rPr>
          <w:rFonts w:ascii="Arial" w:cs="Arial" w:eastAsia="Arial" w:hAnsi="Arial"/>
          <w:b/>
          <w:bCs/>
          <w:color w:val="2E5A96"/>
          <w:sz w:val="28"/>
          <w:szCs w:val="28"/>
        </w:rPr>
        <w:t xml:space="preserve">3.1 Cross-Domain Propagation via the Angular Gyrus: The Analogical Read</w:t>
      </w:r>
    </w:p>
    <w:p>
      <w:pPr>
        <w:spacing w:before="0" w:after="160" w:line="320" w:lineRule="auto"/>
        <w:jc w:val="left"/>
      </w:pPr>
      <w:r>
        <w:rPr>
          <w:rFonts w:ascii="Arial" w:cs="Arial" w:eastAsia="Arial" w:hAnsi="Arial"/>
          <w:sz w:val="24"/>
          <w:szCs w:val="24"/>
        </w:rPr>
        <w:t xml:space="preserve">The giftedness literature describes profoundly gifted individuals as analogy masters and notes their facility with analogical reasoning. This framing inverts the actual mechanism. Analogical reasoning in that literature refers to a deliberate rhetorical act — constructing a comparison consciously, as a product of effort. What is documented in the neurobiology of higher-tier cognition is something structurally prior: automatic cross-domain propagation that runs before deliberate reasoning begins.</w:t>
      </w:r>
    </w:p>
    <w:p>
      <w:pPr>
        <w:spacing w:before="0" w:after="160" w:line="320" w:lineRule="auto"/>
        <w:jc w:val="left"/>
      </w:pPr>
      <w:r>
        <w:rPr>
          <w:rFonts w:ascii="Arial" w:cs="Arial" w:eastAsia="Arial" w:hAnsi="Arial"/>
          <w:sz w:val="24"/>
          <w:szCs w:val="24"/>
        </w:rPr>
        <w:t xml:space="preserve">The angular gyrus (AG), at the temporoparietal junction, is the primary cortical convergence zone for multimodal association. It receives simultaneous input from visual, auditory, somatosensory, and language cortices, and its core computational function is integration across modalities and domains — detecting where activation from different territorial sources shares structure. In standard cognition, the AG performs this function when explicitly directed to; the task 'find an analogy' activates it. Neuroimaging work in mathematically gifted adolescents reports stronger and more bilateral activation in fronto-parietal association areas, including regions encompassing the angular gyrus, even on tasks not explicitly framed as analogical (O'Boyle et al., 2005; Prescott et al., 2010). This pattern is consistent with cross-domain integration running as a default mode rather than a task-specific one.</w:t>
      </w:r>
    </w:p>
    <w:p>
      <w:pPr>
        <w:spacing w:before="0" w:after="160" w:line="320" w:lineRule="auto"/>
        <w:jc w:val="left"/>
      </w:pPr>
      <w:r>
        <w:rPr>
          <w:rFonts w:ascii="Arial" w:cs="Arial" w:eastAsia="Arial" w:hAnsi="Arial"/>
          <w:sz w:val="24"/>
          <w:szCs w:val="24"/>
        </w:rPr>
        <w:t xml:space="preserve">The causal role of the angular gyrus in insight-driven cross-domain integration has been established in the general population: Grob et al. (2024, eLife) used continuous theta burst stimulation (cTBS) to inhibit the left angular gyrus prior to narrative insight tasks and found that AG inhibition specifically impaired memory integration for events linked via imagination — precisely the reconfiguration mechanism the analogical read predicts. The gifted-specific version of this finding (Prediction F1: AG activation preceding domain-specific cortical activation in structural isomorphism tasks) remains untested in IQ-stratified samples, but the causal substrate is now confirmed.</w:t>
      </w:r>
    </w:p>
    <w:p>
      <w:pPr>
        <w:spacing w:before="0" w:after="160" w:line="320" w:lineRule="auto"/>
        <w:jc w:val="left"/>
      </w:pPr>
      <w:r>
        <w:rPr>
          <w:rFonts w:ascii="Arial" w:cs="Arial" w:eastAsia="Arial" w:hAnsi="Arial"/>
          <w:sz w:val="24"/>
          <w:szCs w:val="24"/>
        </w:rPr>
        <w:t xml:space="preserve">Recent lesion-deficit mapping work by Mole et al. (2025, Brain 148:5) in 247 patients adds an important refinement. Right dorsolateral prefrontal cortex (DLPFC) damage produced approximately 15% more errors on both analogical and deductive reasoning tasks, with the affected network substantially overlapping with fluid intelligence circuitry. This is not contradictory to left AG dominance but complementary: the AG performs semantic integration and cross-modal convergence, detecting structural isomorphisms between domains; the right DLPFC performs relational maintenance and structural comparison, holding the comparison in working memory across the analogy. Together they constitute the full analogical read circuit, operating as a two-node system rather than a single-locus one (Tier B; each node confirmed causal; joint circuit synthesis is the present author's integration).</w:t>
      </w:r>
    </w:p>
    <w:p>
      <w:pPr>
        <w:spacing w:before="0" w:after="160" w:line="320" w:lineRule="auto"/>
        <w:jc w:val="left"/>
      </w:pPr>
      <w:r>
        <w:rPr>
          <w:rFonts w:ascii="Arial" w:cs="Arial" w:eastAsia="Arial" w:hAnsi="Arial"/>
          <w:sz w:val="24"/>
          <w:szCs w:val="24"/>
        </w:rPr>
        <w:t xml:space="preserve">The chemical carrier is acetylcholine (ACh), which precision-weights active synaptic edges during FQ1 spreading activation (Hasselmo and Giocomo, 2006). When a new domain's signal propagates through cortex and reaches associative territories, ACh-weighted edges in the AG activate proportionally to the structural overlap between the incoming signal and already-active domain territories. If an isomorphism exists between the new domain and any held domain — shared relational organization at the schematic level, independent of surface vocabulary — the AG's convergence function detects it and propagates it to prefrontal cortex before the content layer of the new domain has been fully processed.</w:t>
      </w:r>
    </w:p>
    <w:p>
      <w:pPr>
        <w:spacing w:before="0" w:after="160" w:line="320" w:lineRule="auto"/>
        <w:jc w:val="left"/>
      </w:pPr>
      <w:r>
        <w:rPr>
          <w:rFonts w:ascii="Arial" w:cs="Arial" w:eastAsia="Arial" w:hAnsi="Arial"/>
          <w:sz w:val="24"/>
          <w:szCs w:val="24"/>
        </w:rPr>
        <w:t xml:space="preserve">The AG is not a uniform detector. Gradient analysis of AG functional organization in 793 healthy subjects shows a hierarchical architecture: AG subdivisions are distributed along a dominant dorsoanterior-to-ventroposterior axis, with the default mode network (abstract cognition) at the dorsoanterior extreme and visual and sensorimotor networks (perception and action) at the ventroposterior extreme (Song et al., 2023, Human Brain Mapping, 44:2815–2828). This dominant gradient is associated with specific gene expression patterns via transcription-neuroimaging spatial correlation analysis — the AG's functional hierarchy has a partly genetic architecture that tracks its intrinsic geometry. What the paper calls structural-layer detection is, in anatomical terms, the operation of the dorsoanterior AG (cytoarchitectonic subdivision PGa) — the subdivision with strong functional connectivity to the anterior prefrontal cortex and the default mode network. Perceptual-layer detection, by contrast, engages the ventroposterior subdivision (PGp), which connects to the parahippocampal gyrus. The tier distinction between structural-layer and content-layer detection is not an abstraction. It maps onto known subdivisions of a hierarchically organized anatomical gradient in a convergence hub whose organization is associated with specific gene expression profiles.</w:t>
      </w:r>
    </w:p>
    <w:p>
      <w:pPr>
        <w:spacing w:before="0" w:after="160" w:line="320" w:lineRule="auto"/>
        <w:jc w:val="left"/>
      </w:pPr>
      <w:r>
        <w:rPr>
          <w:rFonts w:ascii="Arial" w:cs="Arial" w:eastAsia="Arial" w:hAnsi="Arial"/>
          <w:sz w:val="24"/>
          <w:szCs w:val="24"/>
        </w:rPr>
        <w:t xml:space="preserve">A denser template library changes the dynamics of FQ1 propagation in a non-obvious direction. The established principle is that spreading activation in semantic networks spreads from activated nodes to associated nodes in proportion to link strength (Collins and Loftus, 1975). Applying this to a high-density template store yields a mechanistic derivation: as the template store grows — more nodes, more edges, higher average connectivity — activation propagated from any new incoming signal reaches more candidate templates in fewer propagation steps. More candidate matches are generated per FQ1 cycle. This is a network-structural consequence of CA3 autoassociative architecture applied to a growing template store: the probability that at least one match achieves high-confidence pattern completion before the novelty threshold is crossed increases with template density. This derivation follows from the known properties of autoassociative networks and spreading activation; it has not been directly tested at the CA3 subfield level in high-IQ adult samples and constitutes a mechanistic prediction rather than an established empirical finding. The counterintuitive consequence: the filter becomes more selective, not less, as the library grows. A sparse library reaches few candidates — some inputs find no match and encoding occurs. A dense library reaches many candidates from any starting node — most inputs find a match before the mismatch threshold is crossed. The wall is therefore not the library running out of capacity. It is the library becoming so comprehensive that the probability of genuine novelty reaching threshold approaches zero in any fixed environment.</w:t>
      </w:r>
    </w:p>
    <w:p>
      <w:pPr>
        <w:spacing w:before="0" w:after="160" w:line="320" w:lineRule="auto"/>
        <w:jc w:val="left"/>
      </w:pPr>
      <w:r>
        <w:rPr>
          <w:rFonts w:ascii="Arial" w:cs="Arial" w:eastAsia="Arial" w:hAnsi="Arial"/>
          <w:sz w:val="24"/>
          <w:szCs w:val="24"/>
        </w:rPr>
        <w:t xml:space="preserve">The operational consequence: the new domain is understood through its structural relationship to held domains before its content is sequentially processed. What appears from outside as an 'intuitive grasp' of a new field is the AG's cross-domain convergence running at higher activation levels than the task demands, triggered automatically by structural pattern overlap. Domain acquisition via content-layer learning is bounded by the volume of content to be processed. When structural isomorphism exists, only the non-overlapping content needs to be acquired — the relational scaffold is already held. This predicts substantially reduced acquisition time for structurally adjacent domains in higher-tier profiles, proportional to the degree of structural overlap. This prediction has not been directly tested in controlled acquisition studies with IQ-stratified adult samples.</w:t>
      </w:r>
    </w:p>
    <w:p>
      <w:pPr>
        <w:spacing w:before="0" w:after="160" w:line="320" w:lineRule="auto"/>
        <w:jc w:val="left"/>
      </w:pPr>
      <w:r>
        <w:rPr>
          <w:rFonts w:ascii="Arial" w:cs="Arial" w:eastAsia="Arial" w:hAnsi="Arial"/>
          <w:sz w:val="24"/>
          <w:szCs w:val="24"/>
        </w:rPr>
        <w:t xml:space="preserve">The neuroimaging prediction this generates: In higher-tier gifted subjects encountering a new domain for which a structural isomorphism exists in prior knowledge, AG activation should precede domain-specific cortical activation. In standard profiles, domain-specific activation should precede or accompany AG activation. This is directly testable with existing EEG or rapid fMRI paradigms and has not been tested.</w:t>
      </w:r>
    </w:p>
    <w:p>
      <w:pPr>
        <w:pStyle w:val="Heading2"/>
        <w:spacing w:before="240" w:after="120"/>
      </w:pPr>
      <w:r>
        <w:rPr>
          <w:rFonts w:ascii="Arial" w:cs="Arial" w:eastAsia="Arial" w:hAnsi="Arial"/>
          <w:b/>
          <w:bCs/>
          <w:color w:val="2E5A96"/>
          <w:sz w:val="28"/>
          <w:szCs w:val="28"/>
        </w:rPr>
        <w:t xml:space="preserve">3.2 Sub-Threshold Traversal and the ACh/NE Broadcast Gate: Why the Path Evaporates</w:t>
      </w:r>
    </w:p>
    <w:p>
      <w:pPr>
        <w:spacing w:before="0" w:after="160" w:line="320" w:lineRule="auto"/>
        <w:jc w:val="left"/>
      </w:pPr>
      <w:r>
        <w:rPr>
          <w:rFonts w:ascii="Arial" w:cs="Arial" w:eastAsia="Arial" w:hAnsi="Arial"/>
          <w:sz w:val="24"/>
          <w:szCs w:val="24"/>
        </w:rPr>
        <w:t xml:space="preserve">The most consistent phenomenological report from profoundly gifted individuals across qualitative studies is a specific dissociation: the answer arrives, correctly, before a retrievable reasoning path exists. This is not described as intuition in the loose sense — subjects report high confidence in the answer and inability to reconstruct how it was reached. The outside perception is that the reasoning was skipped or fabricated post hoc. The neurobiology gives a precise account of what actually happened.</w:t>
      </w:r>
    </w:p>
    <w:p>
      <w:pPr>
        <w:spacing w:before="0" w:after="160" w:line="320" w:lineRule="auto"/>
        <w:jc w:val="left"/>
      </w:pPr>
      <w:r>
        <w:rPr>
          <w:rFonts w:ascii="Arial" w:cs="Arial" w:eastAsia="Arial" w:hAnsi="Arial"/>
          <w:sz w:val="24"/>
          <w:szCs w:val="24"/>
        </w:rPr>
        <w:t xml:space="preserve">The thalamo-cortical broadcast system operates as a global ignition threshold: activation that exceeds the threshold reaches conscious access and verbal production; activation that remains below it does not (Dehaene et al., 2006; Mashour et al., 2020). Two neurotransmitter systems govern the threshold jointly. Acetylcholine (ACh), released from the basal forebrain, precision-weights active synaptic edges during spreading activation — tagging which edges are participating in a given traversal. Norepinephrine (NE), released from the locus coeruleus, determines whether that tagged activation reaches broadcast threshold.</w:t>
      </w:r>
    </w:p>
    <w:p>
      <w:pPr>
        <w:spacing w:before="0" w:after="160" w:line="320" w:lineRule="auto"/>
        <w:jc w:val="left"/>
      </w:pPr>
      <w:r>
        <w:rPr>
          <w:rFonts w:ascii="Arial" w:cs="Arial" w:eastAsia="Arial" w:hAnsi="Arial"/>
          <w:sz w:val="24"/>
          <w:szCs w:val="24"/>
        </w:rPr>
        <w:t xml:space="preserve">The LC operates in two distinct firing modes with different functional signatures. In phasic mode (10-15 Hz burst firing), NE release enhances task-relevant focus, improves signal-to-noise for the current task, and biases the brain toward sensory processing and stable, exploitative performance. In tonic mode (1-3 Hz baseline firing), NE release engages associative processing regions and biases the brain toward cognitive flexibility, broad-territory activation, and exploratory behavior — where exploratory means sampling multiple environmental inputs rather than locked task execution (Adaptive Gain Theory, Aston-Jones and Cohen, 2005). Critically, Grimm et al. (2024, Nature Neuroscience 27:2167), using optogenetics, photometry, and fMRI, demonstrated that tonic LC activation specifically shifts network activity toward associative regions while burst stimulation shifts it toward sensory regions — these are qualitatively distinct network topology shifts, not quantitative differences in the same response. The sub-threshold traversal mechanism described here operates in the tonic LC regime: broad-territory associative activation for cross-domain spreading activation requires tonic NE, not phasic burst firing. Deep traversal through structural-layer associative cortex is a tonic-mode process. Applied to the mismatch context: sustained tonic LC mode in a content-depleted environment produces the behavioral signature that gets labeled distractibility in institutional settings. Adaptive Gain Theory (Aston-Jones and Cohen, 2005) defines tonic LC mode as an exploratory-sampling state calibrated for task-switching and environmental sampling. Adaptive Gain Theory explicitly frames this in task-performance and occupational contexts: high tonic LC mode produces exploratory behavior that manifests as distractibility and task-switching in structured task environments (Aston-Jones and Cohen, 2005; Caestecker et al., 2025). The application to classroom and institutional settings is direct, not an inference beyond the source literature. The exploration is not dysregulation. It is the LC running correctly in a mode calibrated for environments that have not been exhausted at the structural layer.</w:t>
      </w:r>
    </w:p>
    <w:p>
      <w:pPr>
        <w:spacing w:before="0" w:after="160" w:line="320" w:lineRule="auto"/>
        <w:jc w:val="left"/>
      </w:pPr>
      <w:r>
        <w:rPr>
          <w:rFonts w:ascii="Arial" w:cs="Arial" w:eastAsia="Arial" w:hAnsi="Arial"/>
          <w:sz w:val="24"/>
          <w:szCs w:val="24"/>
        </w:rPr>
        <w:t xml:space="preserve">NE tonic baseline is itself a regulated state variable with multiple independent inputs: estradiol level, IL-1β, adenosine load (inverse), orexin level, baroreceptor input, and NPY reserve. Each modulates the same locus coeruleus parameter independently (Valentino and Van Bockstaele, 2008). Optimal attentional performance requires tonic LC firing held within a narrow range of 1-3 Hz to facilitate phasic responses; both hypoarousal (too little tonic firing) and hyperarousal (too much tonic firing) impair performance by disrupting the phasic response architecture (Caestecker et al., 2025). This matters for the mismatch cascade: the adenosine feedback loop specifically amplifies the cascade, because reduced phasic LC firing from Detection silence reduces adenosine clearance, which in turn further suppresses NE tonic via the adenosine-load inverse input — a self-reinforcing mechanism once initiated.</w:t>
      </w:r>
    </w:p>
    <w:p>
      <w:pPr>
        <w:spacing w:before="0" w:after="160" w:line="320" w:lineRule="auto"/>
        <w:jc w:val="left"/>
      </w:pPr>
      <w:r>
        <w:rPr>
          <w:rFonts w:ascii="Arial" w:cs="Arial" w:eastAsia="Arial" w:hAnsi="Arial"/>
          <w:sz w:val="24"/>
          <w:szCs w:val="24"/>
        </w:rPr>
        <w:t xml:space="preserve">The standard sequence: ACh tags the edges; NE amplifies to broadcast; the path reaches conscious access; the reasoning is retrievable. Sub-threshold traversal is a general feature of associative spreading activation — it occurs across profiles. The specific characteristic proposed for the profoundly gifted profile is that the traversal runs at substantially higher branching factor through higher-density cross-domain associative cortex, producing traversal depth that more frequently outpaces NE broadcast amplification. The traversal runs very deep. At each branching point, ACh precision-weighting selects the structurally relevant edge. NE broadcast threshold is a single gate applied to the entire traversal. Deep traversals with high branching factor reach a result state — FQ3 Detection fires on the correct answer — before NE has amplified the full traversal path to broadcast. The answer crosses the broadcast threshold. The path does not.</w:t>
      </w:r>
    </w:p>
    <w:p>
      <w:pPr>
        <w:spacing w:before="0" w:after="160" w:line="320" w:lineRule="auto"/>
        <w:jc w:val="left"/>
      </w:pPr>
      <w:r>
        <w:rPr>
          <w:rFonts w:ascii="Arial" w:cs="Arial" w:eastAsia="Arial" w:hAnsi="Arial"/>
          <w:sz w:val="24"/>
          <w:szCs w:val="24"/>
        </w:rPr>
        <w:t xml:space="preserve">What is retrievable is the result. What is not retrievable is the sequence of ACh-tagged edges that produced it. The traversal ran correctly. The output is correct. The path evaporated because it never reached global ignition. From outside: no visible reasoning. From inside: correct answer with absent path. The phenomenological report is accurate and the neurobiology accounts for this directly — no additional mechanism is required.</w:t>
      </w:r>
    </w:p>
    <w:p>
      <w:pPr>
        <w:spacing w:before="0" w:after="160" w:line="320" w:lineRule="auto"/>
        <w:jc w:val="left"/>
      </w:pPr>
      <w:r>
        <w:rPr>
          <w:rFonts w:ascii="Arial" w:cs="Arial" w:eastAsia="Arial" w:hAnsi="Arial"/>
          <w:sz w:val="24"/>
          <w:szCs w:val="24"/>
        </w:rPr>
        <w:t xml:space="preserve">This also explains why the statement 'that is impossible — it has never been done' functions as an ignition switch rather than a deterrent for this profile. Pattern completion operates from co-occurrence statistics: if the output has not been observed before, the weight on that path is low. Associative spreading activation along structural edges operates from structural adjacency: if the mechanism connects A to B through a causal path, the absence of prior observation on that path does not reduce edge weight. The traversal follows the mechanism, not the precedent. Prediction accuracy is therefore not bounded by historical observation — it is bounded by the completeness and structural accuracy of the knowledge graph.</w:t>
      </w:r>
    </w:p>
    <w:p>
      <w:pPr>
        <w:spacing w:before="0" w:after="160" w:line="320" w:lineRule="auto"/>
        <w:jc w:val="left"/>
      </w:pPr>
      <w:r>
        <w:rPr>
          <w:rFonts w:ascii="Arial" w:cs="Arial" w:eastAsia="Arial" w:hAnsi="Arial"/>
          <w:sz w:val="24"/>
          <w:szCs w:val="24"/>
        </w:rPr>
        <w:t xml:space="preserve">Neuroimaging prediction: In higher-tier gifted subjects on novel problem-solving tasks, locus coeruleus BOLD signal should show lower amplitude relative to ACC activation depth than in standard profiles. The ratio of LC broadcast amplitude to AG/PFC traversal depth is the sub-threshold gap made measurable. This requires concurrent LC and cortical imaging — technically demanding but feasible with existing 7T protocols.</w:t>
      </w:r>
    </w:p>
    <w:p>
      <w:pPr>
        <w:pStyle w:val="Heading2"/>
        <w:spacing w:before="240" w:after="120"/>
      </w:pPr>
      <w:r>
        <w:rPr>
          <w:rFonts w:ascii="Arial" w:cs="Arial" w:eastAsia="Arial" w:hAnsi="Arial"/>
          <w:b/>
          <w:bCs/>
          <w:color w:val="2E5A96"/>
          <w:sz w:val="28"/>
          <w:szCs w:val="28"/>
        </w:rPr>
        <w:t xml:space="preserve">3.3 FQ4 Compression and the Default Mode Network: Abstraction Layer Access</w:t>
      </w:r>
    </w:p>
    <w:p>
      <w:pPr>
        <w:spacing w:before="0" w:after="160" w:line="320" w:lineRule="auto"/>
        <w:jc w:val="left"/>
      </w:pPr>
      <w:r>
        <w:rPr>
          <w:rFonts w:ascii="Arial" w:cs="Arial" w:eastAsia="Arial" w:hAnsi="Arial"/>
          <w:sz w:val="24"/>
          <w:szCs w:val="24"/>
        </w:rPr>
        <w:t xml:space="preserve">The default mode network (DMN) — medial prefrontal cortex, posterior cingulate, and angular gyrus — is active at rest and suppressed during externally directed tasks in standard profiles. Functional and structural imaging studies in high-ability groups report altered DMN morphology and atypical deactivation patterns during demanding tasks compared with typical controls. The 'task-negative' label for the DMN is now widely considered misleading (Menon, 2023, Neuron): the DMN shows direct roles in self-reference, episodic memory, semantic knowledge, and creative cognition. The standard interpretation of reduced deactivation in gifted profiles is that they mind-wander more during tasks. The mechanistic account is different.</w:t>
      </w:r>
    </w:p>
    <w:p>
      <w:pPr>
        <w:spacing w:before="0" w:after="160" w:line="320" w:lineRule="auto"/>
        <w:jc w:val="left"/>
      </w:pPr>
      <w:r>
        <w:rPr>
          <w:rFonts w:ascii="Arial" w:cs="Arial" w:eastAsia="Arial" w:hAnsi="Arial"/>
          <w:sz w:val="24"/>
          <w:szCs w:val="24"/>
        </w:rPr>
        <w:t xml:space="preserve">The DMN's computational function during rest is weak-edge traversal: spreading activation along low-weight associative edges that are suppressed during focused external task engagement. This is the mechanism of incubation — the phenomenon where background processing on a parked problem produces a solution that surfaces hours or days later. The traversal ran continuously during rest; the solution was reached below broadcast threshold; NE eventually amplified it to conscious access in an apparently unrelated moment.</w:t>
      </w:r>
    </w:p>
    <w:p>
      <w:pPr>
        <w:spacing w:before="0" w:after="160" w:line="320" w:lineRule="auto"/>
        <w:jc w:val="left"/>
      </w:pPr>
      <w:r>
        <w:rPr>
          <w:rFonts w:ascii="Arial" w:cs="Arial" w:eastAsia="Arial" w:hAnsi="Arial"/>
          <w:sz w:val="24"/>
          <w:szCs w:val="24"/>
        </w:rPr>
        <w:t xml:space="preserve">In higher-tier gifted profiles, the DMN remains partially active during task engagement because the structural-layer Detection operation (FQ3) requires simultaneous access to broadly distributed associative cortex — precisely the territory that DMN traversal activates. Suppressing DMN to zero would suppress the cross-domain associative access that structural-layer Detection depends on. The partial DMN maintenance during task engagement is not a failure of focus. It is the substrate requirement for operating Detection at the structural and ontological layers.</w:t>
      </w:r>
    </w:p>
    <w:p>
      <w:pPr>
        <w:spacing w:before="0" w:after="160" w:line="320" w:lineRule="auto"/>
        <w:jc w:val="left"/>
      </w:pPr>
      <w:r>
        <w:rPr>
          <w:rFonts w:ascii="Arial" w:cs="Arial" w:eastAsia="Arial" w:hAnsi="Arial"/>
          <w:sz w:val="24"/>
          <w:szCs w:val="24"/>
        </w:rPr>
        <w:t xml:space="preserve">Two recent findings strengthen this account at population scale. First, Bartoli et al. (2024, Brain 147:3409) established a causal role for the DMN in divergent thinking using direct cortical stimulation: stimulation of DMN regions preferentially decreased the originality of responses without affecting task fluency or mind-wandering, confirming the DMN is doing specific generative work, not merely failing to suppress (Tier B). Second, Haller et al. (2025, Communications Biology), in a multi-center study of N=2,433 participants across 10 countries, found that DMN-executive control network (ECN) dynamic switching reliably predicts divergent thinking but not general intelligence, with an inverted-U relationship: optimal creative output requires balanced DMN-ECN switching rather than maximal switching. This population-scale replication directly supports the partial DMN maintenance account — both too much and too little DMN engagement during task performance impairs the detection of structural novelty (Tier A for the switching finding; application to gifted profiles is a Tier B inference).</w:t>
      </w:r>
    </w:p>
    <w:p>
      <w:pPr>
        <w:spacing w:before="0" w:after="160" w:line="320" w:lineRule="auto"/>
        <w:jc w:val="left"/>
      </w:pPr>
      <w:r>
        <w:rPr>
          <w:rFonts w:ascii="Arial" w:cs="Arial" w:eastAsia="Arial" w:hAnsi="Arial"/>
          <w:sz w:val="24"/>
          <w:szCs w:val="24"/>
        </w:rPr>
        <w:t xml:space="preserve">The FQ4 Accumulation mechanism adds the second component. According to the leading theoretical account — supported by computational models and human fMRI data — CA3 autoassociative recurrent collaterals retrieve predictions from partial cues, generating a predictive output to CA1. CA1 simultaneously receives direct entorhinal input representing current sensory reality and is positioned as a comparator between CA3 prediction and current input. When they match, no novelty signal is generated. When they mismatch, CA1 generates a novelty signal integrated with attentional and motivational information supported by ACh and DA networks to gate encoding (Lisman and Grace, 2005; Duncan et al., 2012, Learning and Memory 18:523). This CA3-prediction/CA1-comparator architecture is the dominant framework in the field with human fMRI support, though precise subfield localization remains an active area. The functional consequence is clear regardless: the gate is held closed by successful prediction from a dense template store, not by a suppression signal.</w:t>
      </w:r>
    </w:p>
    <w:p>
      <w:pPr>
        <w:spacing w:before="0" w:after="160" w:line="320" w:lineRule="auto"/>
        <w:jc w:val="left"/>
      </w:pPr>
      <w:r>
        <w:rPr>
          <w:rFonts w:ascii="Arial" w:cs="Arial" w:eastAsia="Arial" w:hAnsi="Arial"/>
          <w:sz w:val="24"/>
          <w:szCs w:val="24"/>
        </w:rPr>
        <w:t xml:space="preserve">The human CA3 circuit has properties that make this storage-scale operation possible and that have no rodent equivalent. Direct patch-clamp recording from living human hippocampal tissue combined with expansion-based superresolution microscopy reveals that human CA3 displays sparse connectivity, providing a circuit architecture that specifically maximizes associational power; human CA3 synapses show unique reliability, high precision, and long integration times not found in rodent CA3; together with expanded neuronal numbers, these circuit characteristics greatly enhance the memory storage capacity of CA3 compared to rodent models (Watson et al., 2025, Cell 188:501–514). Human CA3 is not rodent CA3 scaled up. It has qualitatively different microcircuit properties suited to lifetime-scale associative memory storage and retrieval. The large template store the paper describes — rich enough to generate high-confidence predictions across dozens of encountered domains — is a plausible operation for human CA3 specifically, not a reasonable assumption for the rodent systems in which most hippocampal memory research is conducted. Critically, the content type stored in this system extends well beyond episodic and spatial memory: Garvert et al. (2017, eLife, 6:e17086) demonstrated directly in humans that the hippocampal-entorhinal system encodes abstract non-spatial relational knowledge as map-like structures — discrete, non-spatial graphs unavailable to conscious awareness — using the same organizational principles as spatial cognitive maps. Zheng et al. (2024, Cerebral Cortex, 34:bhad485) extended this: parallel cognitive maps for multiple knowledge structures — both newly learned transition structure and lifetime semantic relationships — coexist simultaneously in the hippocampal formation. The hippocampal-entorhinal system does not merely store events; it organizes abstract relational knowledge into retrievable structural maps. This is the mechanism the paper requires, and it is confirmed in human neuroimaging at Tier A.</w:t>
      </w:r>
    </w:p>
    <w:p>
      <w:pPr>
        <w:spacing w:before="0" w:after="160" w:line="320" w:lineRule="auto"/>
        <w:jc w:val="left"/>
      </w:pPr>
      <w:r>
        <w:rPr>
          <w:rFonts w:ascii="Arial" w:cs="Arial" w:eastAsia="Arial" w:hAnsi="Arial"/>
          <w:sz w:val="24"/>
          <w:szCs w:val="24"/>
        </w:rPr>
        <w:t xml:space="preserve">The encoding/retrieval switch has a documented molecular mechanism. ACh released from the basal forebrain in response to novelty suppresses CA3 excitatory output to CA1 while sparing entorhinal cortex inputs, shifting hippocampal theta-phase dynamics toward an encoding-dominant mode. In familiar environments, the theta phase biases toward CA3 input (retrieval), and entorhinal encoding is suppressed. In genuinely novel environments, ACh flips this balance — the theta phase shifts toward the pyramidal-layer peak, entorhinal input dominates, and new encoding occurs (Hasselmo and Giocomo, 2006; Douchamps et al., 2013). Human intracranial electrophysiology provides consistent evidence for this account: cholinergic blockade with scopolamine disrupts hippocampal theta specifically during encoding but not retrieval, selectively impairing recollection-based memory — consistent with ACh functioning as an encoding gate rather than a retrieval gate (Gedankien et al., bioRxiv, 2025, peer review pending; independent replication awaited). In a structurally saturated environment — where every incoming domain triggers a high-confidence CA3 match — the hippocampus is not just closing the encoding gate by matching; it is running in a sustained retrieval-dominant theta mode in which the entorhinal encoding pathway is chronically suppressed. The filter operates at the level of hippocampal oscillatory architecture, not just at the level of individual template matches.</w:t>
      </w:r>
    </w:p>
    <w:p>
      <w:pPr>
        <w:spacing w:before="0" w:after="80"/>
      </w:pPr>
      <w:r>
        <w:t xml:space="preserve"/>
      </w:r>
    </w:p>
    <w:p>
      <w:pPr>
        <w:pStyle w:val="Heading1"/>
        <w:spacing w:before="300" w:after="150"/>
      </w:pPr>
      <w:r>
        <w:rPr>
          <w:rFonts w:ascii="Arial" w:cs="Arial" w:eastAsia="Arial" w:hAnsi="Arial"/>
          <w:b/>
          <w:bCs/>
          <w:color w:val="1F3864"/>
          <w:sz w:val="32"/>
          <w:szCs w:val="32"/>
        </w:rPr>
        <w:t xml:space="preserve">4. The Tier Structure as a Detection Layer Structure</w:t>
      </w:r>
    </w:p>
    <w:p>
      <w:pPr>
        <w:spacing w:before="0" w:after="160" w:line="320" w:lineRule="auto"/>
        <w:jc w:val="left"/>
      </w:pPr>
      <w:r>
        <w:rPr>
          <w:rFonts w:ascii="Arial" w:cs="Arial" w:eastAsia="Arial" w:hAnsi="Arial"/>
          <w:sz w:val="24"/>
          <w:szCs w:val="24"/>
        </w:rPr>
        <w:t xml:space="preserve">The conventional framing holds that IQ tiers represent points on a continuum — more capacity, faster processing, higher ceiling. This framing fails to explain qualitative tier transitions. The five-operation account offers a different explanation: each tier corresponds to a different layer of the knowledge graph on which the Detection operation runs as its primary target. The detection threshold is not what changes. The abstraction layer at which detection fires is what changes. A profile running ontological-layer Detection is not a fast content-layer profile. It is running a fundamentally different detection loop.</w:t>
      </w:r>
    </w:p>
    <w:p>
      <w:pPr>
        <w:spacing w:before="0" w:after="160" w:line="320" w:lineRule="auto"/>
        <w:jc w:val="left"/>
      </w:pPr>
      <w:r>
        <w:rPr>
          <w:rFonts w:ascii="Arial" w:cs="Arial" w:eastAsia="Arial" w:hAnsi="Arial"/>
          <w:sz w:val="24"/>
          <w:szCs w:val="24"/>
        </w:rPr>
        <w:t xml:space="preserve">A note on IQ scores as tier proxies. The tier boundaries below list approximate IQ ranges as population anchors, not hard thresholds. IQ scores are an unreliable proxy for detection layer for several compounding reasons, and at the profound end they are not merely imprecise — they are systematically misleading in predictable directions.</w:t>
      </w:r>
    </w:p>
    <w:p>
      <w:pPr>
        <w:spacing w:before="0" w:after="160" w:line="320" w:lineRule="auto"/>
        <w:jc w:val="left"/>
      </w:pPr>
      <w:r>
        <w:rPr>
          <w:rFonts w:ascii="Arial" w:cs="Arial" w:eastAsia="Arial" w:hAnsi="Arial"/>
          <w:sz w:val="24"/>
          <w:szCs w:val="24"/>
        </w:rPr>
        <w:t xml:space="preserve">First, norm variance: a score of 149 on Stanford-Binet L-M (SD=16, older norms) maps to approximately 133-135 on current Wechsler scales (SD=15, modern norms) due to the Flynn effect and renorming. This is not a theoretical concern: Oberleiter et al. (2024) directly demonstrated that apparent Flynn effect trajectory changes are partly measurement artifacts, and that tests normed decades ago produce systematically different scores than current normed versions for the same individuals. The same person, the same architecture, lands in a different tier depending on which test was administered and when.</w:t>
      </w:r>
    </w:p>
    <w:p>
      <w:pPr>
        <w:spacing w:before="0" w:after="160" w:line="320" w:lineRule="auto"/>
        <w:jc w:val="left"/>
      </w:pPr>
      <w:r>
        <w:rPr>
          <w:rFonts w:ascii="Arial" w:cs="Arial" w:eastAsia="Arial" w:hAnsi="Arial"/>
          <w:sz w:val="24"/>
          <w:szCs w:val="24"/>
        </w:rPr>
        <w:t xml:space="preserve">Second, cross-instrument inconsistency: different IQ instruments do not measure the same construct. They measure different combinations of FQ1/FQ3 operations at different abstraction layers, normed on different populations, validated at different times. A profoundly gifted person may score 149 on one instrument, 133 on another, and 165 on a third — in the same month. This is not measurement error on a stable underlying quantity. It is three instruments measuring different things and calling the result the same number. The spread of scores across instruments is not noise around a true value. It is evidence that the instruments are not measuring a unitary construct, and that the single-number framing is wrong.</w:t>
      </w:r>
    </w:p>
    <w:p>
      <w:pPr>
        <w:spacing w:before="0" w:after="160" w:line="320" w:lineRule="auto"/>
        <w:jc w:val="left"/>
      </w:pPr>
      <w:r>
        <w:rPr>
          <w:rFonts w:ascii="Arial" w:cs="Arial" w:eastAsia="Arial" w:hAnsi="Arial"/>
          <w:sz w:val="24"/>
          <w:szCs w:val="24"/>
        </w:rPr>
        <w:t xml:space="preserve">Third, test circularity: IQ tests are largely optimized FQ1/FQ3 batteries — pattern propagation and error detection at content and argument layers. Gifted profiles score high on IQ tests partly because the test measures the operations they run natively. This is not independent validation of tier; it is partial circularity. The test is highest-sensitivity for the operations it was designed around and lowest-sensitivity for the operations that define the profound end — structural and ontological-layer Detection, which IQ tests rarely probe directly.</w:t>
      </w:r>
    </w:p>
    <w:p>
      <w:pPr>
        <w:spacing w:before="0" w:after="160" w:line="320" w:lineRule="auto"/>
        <w:jc w:val="left"/>
      </w:pPr>
      <w:r>
        <w:rPr>
          <w:rFonts w:ascii="Arial" w:cs="Arial" w:eastAsia="Arial" w:hAnsi="Arial"/>
          <w:sz w:val="24"/>
          <w:szCs w:val="24"/>
        </w:rPr>
        <w:t xml:space="preserve">Fourth, psychometric heterogeneity: Gonthier et al. (2025, Intelligence) found that mean verbal comprehension index (VCI) scores in gifted samples run approximately 6 points above perceptual reasoning index (PRI), with one-third to two-thirds of gifted children showing 15+ point VCI-PRI discrepancies. A unidimensional score obscures structural information about which operations are differentially engaged.</w:t>
      </w:r>
    </w:p>
    <w:p>
      <w:pPr>
        <w:spacing w:before="0" w:after="160" w:line="320" w:lineRule="auto"/>
        <w:jc w:val="left"/>
      </w:pPr>
      <w:r>
        <w:rPr>
          <w:rFonts w:ascii="Arial" w:cs="Arial" w:eastAsia="Arial" w:hAnsi="Arial"/>
          <w:sz w:val="24"/>
          <w:szCs w:val="24"/>
        </w:rPr>
        <w:t xml:space="preserve">Fifth, and most practically important: the AG filter suppresses IQ test performance as the template library grows across years. A test encountered for the first time at age 12 produces genuine structural novelty; the same test format encountered at 40, after years of structural template accumulation, is correctly classified by the AG as a variant of already-held knowledge. Engagement drops. A bored high score at 12 is a better tier indicator than a motivated lower score at 40.</w:t>
      </w:r>
    </w:p>
    <w:p>
      <w:pPr>
        <w:spacing w:before="0" w:after="160" w:line="320" w:lineRule="auto"/>
        <w:jc w:val="left"/>
      </w:pPr>
      <w:r>
        <w:rPr>
          <w:rFonts w:ascii="Arial" w:cs="Arial" w:eastAsia="Arial" w:hAnsi="Arial"/>
          <w:sz w:val="24"/>
          <w:szCs w:val="24"/>
        </w:rPr>
        <w:t xml:space="preserve">Sixth, intra-test filter suppression: for profoundly gifted profiles, the filter mechanism predicts suppression within the test itself, not just across years of exposure. After a handful of items establish the structural pattern of the test format, the AG should classify remaining items as variants of the already-processed pattern, disengaging the encoding gate mid-session. The predicted consequence: within-session performance decay across item position, and wildly inconsistent scores across administrations on the same instrument — not because ability changed but because whether the test format was classified as novel or redundant on that day determines whether the gate was open or closed during the session. This prediction has not been tested directly. Kuznetsova et al. (2024) found gifted children show lower gamma power on easy tasks and higher gamma at genuine difficulty, consistent with the filter account at the task level, but item-position performance decay across a standardized test in IQ-stratified samples has not been measured. The prediction is: a profoundly gifted person who reports finding the test boring produced a score that reflects filter saturation, not capacity ceiling. Testing the same individual on a structurally novel variant of the same test on a different day should produce a meaningfully higher score if the filter account is correct.</w:t>
      </w:r>
    </w:p>
    <w:p>
      <w:pPr>
        <w:spacing w:before="0" w:after="160" w:line="320" w:lineRule="auto"/>
        <w:jc w:val="left"/>
      </w:pPr>
      <w:r>
        <w:rPr>
          <w:rFonts w:ascii="Arial" w:cs="Arial" w:eastAsia="Arial" w:hAnsi="Arial"/>
          <w:sz w:val="24"/>
          <w:szCs w:val="24"/>
        </w:rPr>
        <w:t xml:space="preserve">The combined implication: IQ scores are not a reliable identification tool for the profound end of the distribution, and at that end they are actively misleading — underestimating when the library is dense, unstable across instruments because the instruments measure different things, and circular because they measure what gifted profiles do natively. The behavioral signatures described in Section 9.5 are more diagnostically informative than any IQ score for identifying structural and ontological-layer Detection profiles. The relevant question is not what number a test produced. It is at what abstraction layer the person's Detection fires when encountering genuinely novel structural problems in their densest domain.</w:t>
      </w:r>
    </w:p>
    <w:p>
      <w:pPr>
        <w:pStyle w:val="Heading2"/>
        <w:spacing w:before="240" w:after="120"/>
      </w:pPr>
      <w:r>
        <w:rPr>
          <w:rFonts w:ascii="Arial" w:cs="Arial" w:eastAsia="Arial" w:hAnsi="Arial"/>
          <w:b/>
          <w:bCs/>
          <w:color w:val="2E5A96"/>
          <w:sz w:val="28"/>
          <w:szCs w:val="28"/>
        </w:rPr>
        <w:t xml:space="preserve">4.1 Tier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Approximate IQ Range</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Detection Layer</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Primary Isomorphism</w:t>
            </w:r>
          </w:p>
        </w:tc>
        <w:tc>
          <w:tcPr>
            <w:tcW w:type="dxa" w:w="3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Characteristic Output</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21"/>
                <w:szCs w:val="21"/>
              </w:rPr>
              <w:t xml:space="preserve">~130–144</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21"/>
                <w:szCs w:val="21"/>
              </w:rPr>
              <w:t xml:space="preserve">Content layer</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21"/>
                <w:szCs w:val="21"/>
              </w:rPr>
              <w:t xml:space="preserve">Factual, taxonomic</w:t>
            </w:r>
          </w:p>
        </w:tc>
        <w:tc>
          <w:tcPr>
            <w:tcW w:type="dxa" w:w="3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21"/>
                <w:szCs w:val="21"/>
              </w:rPr>
              <w:t xml:space="preserve">Cross-domain factual synthesis; rapid content acquisition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~145–159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Argument layer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Structural-logical form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Argument structure transfer; serialization wall onset (see §4.2)</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21"/>
                <w:szCs w:val="21"/>
              </w:rPr>
              <w:t xml:space="preserve">~160–174</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21"/>
                <w:szCs w:val="21"/>
              </w:rPr>
              <w:t xml:space="preserve">Structural layer</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21"/>
                <w:szCs w:val="21"/>
              </w:rPr>
              <w:t xml:space="preserve">Domain architecture</w:t>
            </w:r>
          </w:p>
        </w:tc>
        <w:tc>
          <w:tcPr>
            <w:tcW w:type="dxa" w:w="3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21"/>
                <w:szCs w:val="21"/>
              </w:rPr>
              <w:t xml:space="preserve">Domain organization recognized before content engaged; cross-domain structural synthesis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~175+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Ontological layer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Category ontology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Ontological category structure transfers across superficially unrelated domains; pattern of GR-sensitivity co-occurrence</w:t>
            </w:r>
          </w:p>
        </w:tc>
      </w:tr>
    </w:tbl>
    <w:p>
      <w:pPr>
        <w:spacing w:before="0" w:after="80"/>
      </w:pPr>
      <w:r>
        <w:t xml:space="preserve"/>
      </w:r>
    </w:p>
    <w:p>
      <w:pPr>
        <w:spacing w:before="0" w:after="160"/>
        <w:jc w:val="left"/>
      </w:pPr>
      <w:r>
        <w:rPr>
          <w:rFonts w:ascii="Arial" w:cs="Arial" w:eastAsia="Arial" w:hAnsi="Arial"/>
          <w:i/>
          <w:iCs/>
          <w:sz w:val="24"/>
          <w:szCs w:val="24"/>
        </w:rPr>
        <w:t xml:space="preserve">Table 1. Tier profiles as heuristic detection layer operating modes. IQ ranges are rough population anchors only — they are not architecture-derived thresholds and should not be treated as discrete bins. The same individual operates at different altitudes in different domains simultaneously; altitude rises as the template library fills. These are not fixed levels or permanent identities. The relevant question is always at what abstraction layer detection fires on genuinely novel problems in the individual's densest domain, not what any test score produced.</w:t>
      </w:r>
    </w:p>
    <w:p>
      <w:pPr>
        <w:spacing w:before="0" w:after="80"/>
      </w:pPr>
      <w:r>
        <w:t xml:space="preserve"/>
      </w:r>
    </w:p>
    <w:p>
      <w:pPr>
        <w:pStyle w:val="Heading2"/>
        <w:spacing w:before="240" w:after="120"/>
      </w:pPr>
      <w:r>
        <w:rPr>
          <w:rFonts w:ascii="Arial" w:cs="Arial" w:eastAsia="Arial" w:hAnsi="Arial"/>
          <w:b/>
          <w:bCs/>
          <w:color w:val="2E5A96"/>
          <w:sz w:val="28"/>
          <w:szCs w:val="28"/>
        </w:rPr>
        <w:t xml:space="preserve">4.2 The Serialization Wall</w:t>
      </w:r>
    </w:p>
    <w:p>
      <w:pPr>
        <w:spacing w:before="0" w:after="160" w:line="320" w:lineRule="auto"/>
        <w:jc w:val="left"/>
      </w:pPr>
      <w:r>
        <w:rPr>
          <w:rFonts w:ascii="Arial" w:cs="Arial" w:eastAsia="Arial" w:hAnsi="Arial"/>
          <w:sz w:val="24"/>
          <w:szCs w:val="24"/>
        </w:rPr>
        <w:t xml:space="preserve">The serialization wall at the ~145-159 tier (argument layer) deserves specific attention because it produces the most clinically consequential misdiagnoses. When Detection fires at argument layer, it operates faster than the output pathway — the speech production system — can sequence and transmit the results. Detection runs in right-hemisphere prefrontal and ACC circuits; speech output runs through Broca's area and the arcuate fasciculus.</w:t>
      </w:r>
    </w:p>
    <w:p>
      <w:pPr>
        <w:spacing w:before="0" w:after="160" w:line="320" w:lineRule="auto"/>
        <w:jc w:val="left"/>
      </w:pPr>
      <w:r>
        <w:rPr>
          <w:rFonts w:ascii="Arial" w:cs="Arial" w:eastAsia="Arial" w:hAnsi="Arial"/>
          <w:sz w:val="24"/>
          <w:szCs w:val="24"/>
        </w:rPr>
        <w:t xml:space="preserve">The prediction from myelination asymmetry: frontoparietal detection pathways — including the anterior cingulum bundle (ACC to lateral PFC) and superior longitudinal fasciculus branches — myelinate faster as a function of IQ than the arcuate fasciculus (output pathway: PFC to Broca's area to temporal cortex). Above a crossover point in the approximately 145-155 IQ range (SD=15 modern norms), detection conduction velocity exceeds output conduction velocity. The detection system generates signal faster than the output system can carry it. The result, from the outside, looks like processing difficulties, executive function problems, or ADHD. It is the serialization wall. This myelination asymmetry and conduction velocity crossover is Prediction B1 — a testable hypothesis, not an established finding.</w:t>
      </w:r>
    </w:p>
    <w:p>
      <w:pPr>
        <w:spacing w:before="0" w:after="160" w:line="320" w:lineRule="auto"/>
        <w:jc w:val="left"/>
      </w:pPr>
      <w:r>
        <w:rPr>
          <w:rFonts w:ascii="Arial" w:cs="Arial" w:eastAsia="Arial" w:hAnsi="Arial"/>
          <w:sz w:val="24"/>
          <w:szCs w:val="24"/>
        </w:rPr>
        <w:t xml:space="preserve">This is testable using N200 ERP latency vs. speech onset latency (or lateralized readiness potential) in IQ-stratified samples. N200 reflects ACC conflict detection timing; LRP and speech onset measures reflect initiation of the verbal output pathway. In standard profiles, detection-to-output latency is relatively compact. At and above the ~145 tier anchor, N200 should shorten disproportionately while speech onset latency remains stable or lengthens — the widening gap is the serialization wall made measurable.</w:t>
      </w:r>
    </w:p>
    <w:p>
      <w:pPr>
        <w:pStyle w:val="Heading2"/>
        <w:spacing w:before="240" w:after="120"/>
      </w:pPr>
      <w:r>
        <w:rPr>
          <w:rFonts w:ascii="Arial" w:cs="Arial" w:eastAsia="Arial" w:hAnsi="Arial"/>
          <w:b/>
          <w:bCs/>
          <w:color w:val="2E5A96"/>
          <w:sz w:val="28"/>
          <w:szCs w:val="28"/>
        </w:rPr>
        <w:t xml:space="preserve">4.3 The Positive Mechanism at Each Tier</w:t>
      </w:r>
    </w:p>
    <w:p>
      <w:pPr>
        <w:spacing w:before="0" w:after="160" w:line="320" w:lineRule="auto"/>
        <w:jc w:val="left"/>
      </w:pPr>
      <w:r>
        <w:rPr>
          <w:rFonts w:ascii="Arial" w:cs="Arial" w:eastAsia="Arial" w:hAnsi="Arial"/>
          <w:sz w:val="24"/>
          <w:szCs w:val="24"/>
        </w:rPr>
        <w:t xml:space="preserve">The tier structure interacts with the three positive mechanisms in Section 3. The analogical read and sub-threshold traversal mechanisms operate across all tiers, but the abstraction layer at which they primarily engage shifts with the Detection tier. At content-layer Detection (~130-144), analogical read connects content-level facts across domains. At argument-layer Detection (~145-159), analogical read connects argument structures — the form of reasoning transfers, not just the content. At structural-layer Detection (~160-174), the isomorphisms are structural: the architecture of how a domain is organized is recognized as isomorphic to an architecture held in another domain, before content in either domain is engaged. At ontological-layer Detection (~175+), the isomorphisms operate at the level of what kind of thing is being described.</w:t>
      </w:r>
    </w:p>
    <w:p>
      <w:pPr>
        <w:spacing w:before="0" w:after="160" w:line="320" w:lineRule="auto"/>
        <w:jc w:val="left"/>
      </w:pPr>
      <w:r>
        <w:rPr>
          <w:rFonts w:ascii="Arial" w:cs="Arial" w:eastAsia="Arial" w:hAnsi="Arial"/>
          <w:sz w:val="24"/>
          <w:szCs w:val="24"/>
        </w:rPr>
        <w:t xml:space="preserve">This is why the cross-domain synthesis capability is qualitatively stronger at higher tiers: the abstraction level at which the isomorphism is found is higher, which means it transfers to more domains simultaneously. A structural-layer isomorphism connects any domain that shares that structure, regardless of content differences that would make them appear unrelated at lower layers.</w:t>
      </w:r>
    </w:p>
    <w:p>
      <w:pPr>
        <w:pStyle w:val="Heading2"/>
        <w:spacing w:before="240" w:after="120"/>
      </w:pPr>
      <w:r>
        <w:rPr>
          <w:rFonts w:ascii="Arial" w:cs="Arial" w:eastAsia="Arial" w:hAnsi="Arial"/>
          <w:b/>
          <w:bCs/>
          <w:color w:val="2E5A96"/>
          <w:sz w:val="28"/>
          <w:szCs w:val="28"/>
        </w:rPr>
        <w:t xml:space="preserve">4.4 Tier Fluidity: The Ladder, Not the Level</w:t>
      </w:r>
    </w:p>
    <w:p>
      <w:pPr>
        <w:spacing w:before="0" w:after="160" w:line="320" w:lineRule="auto"/>
        <w:jc w:val="left"/>
      </w:pPr>
      <w:r>
        <w:rPr>
          <w:rFonts w:ascii="Arial" w:cs="Arial" w:eastAsia="Arial" w:hAnsi="Arial"/>
          <w:sz w:val="24"/>
          <w:szCs w:val="24"/>
        </w:rPr>
        <w:t xml:space="preserve">The tier table presents detection layers as operating modes, not permanent identities. This is the most important thing to understand about the tier structure and the one the gifted literature most consistently gets wrong. A person does not have a tier. They have a current detection altitude in each domain, which is a function of the structural template density in that domain at this moment. That altitude changes as the library fills, and it differs across domains simultaneously.</w:t>
      </w:r>
    </w:p>
    <w:p>
      <w:pPr>
        <w:spacing w:before="0" w:after="160" w:line="320" w:lineRule="auto"/>
        <w:jc w:val="left"/>
      </w:pPr>
      <w:r>
        <w:rPr>
          <w:rFonts w:ascii="Arial" w:cs="Arial" w:eastAsia="Arial" w:hAnsi="Arial"/>
          <w:sz w:val="24"/>
          <w:szCs w:val="24"/>
        </w:rPr>
        <w:t xml:space="preserve">The descent into new domains is correct operation, not regression. A profoundly gifted person entering a structurally unfamiliar domain for the first time encounters sparse template coverage. The AG has few prior templates to match against, so cross-domain structural propagation finds fewer isomorphisms at the structural layer, and Detection fires at whatever layer the current template density supports — often content-layer or argument-layer initially. This looks from outside like operating below tier. It is the architecture correctly calibrating to available structural resources. The mechanism predicts this will resolve as the library fills: the same person will be at content-layer Detection in a new domain at month one and structural-layer Detection in the same domain by month six, ascending the ladder in real time as the structural scaffold accumulates.</w:t>
      </w:r>
    </w:p>
    <w:p>
      <w:pPr>
        <w:spacing w:before="0" w:after="160" w:line="320" w:lineRule="auto"/>
        <w:jc w:val="left"/>
      </w:pPr>
      <w:r>
        <w:rPr>
          <w:rFonts w:ascii="Arial" w:cs="Arial" w:eastAsia="Arial" w:hAnsi="Arial"/>
          <w:sz w:val="24"/>
          <w:szCs w:val="24"/>
        </w:rPr>
        <w:t xml:space="preserve">The ascent is also observable in the behavioral signature it produces. Early in a new domain: rapid content acquisition, visible effort on establishing the structural schema, questions oriented toward 'how is this organized and why' before engaging content detail. Mid-domain: increasing pattern recognition across subfields, acceleration of acquisition as structural templates start catching new content, ability to predict domain-internal structure before fully processing it. Deep-domain: the full structural and ontological layer signature — isomorphism detection firing before content engagement, cross-domain synthesis with other held domains, the ability to see where the domain's frontier is and what structural questions it hasn't answered yet.</w:t>
      </w:r>
    </w:p>
    <w:p>
      <w:pPr>
        <w:spacing w:before="0" w:after="160" w:line="320" w:lineRule="auto"/>
        <w:jc w:val="left"/>
      </w:pPr>
      <w:r>
        <w:rPr>
          <w:rFonts w:ascii="Arial" w:cs="Arial" w:eastAsia="Arial" w:hAnsi="Arial"/>
          <w:sz w:val="24"/>
          <w:szCs w:val="24"/>
        </w:rPr>
        <w:t xml:space="preserve">The practical implication: the same person presents differently across domains simultaneously, and differently in the same domain over time. A profoundly gifted person assessed in a domain where their template library is sparse will appear to operate several tiers below their ceiling. A profoundly gifted person assessed in a domain they entered six months ago will appear to operate at a higher tier than they did at entry. Neither measurement captures the person's architecture. Both capture the person's current altitude in that domain at that moment.</w:t>
      </w:r>
    </w:p>
    <w:p>
      <w:pPr>
        <w:spacing w:before="0" w:after="160" w:line="320" w:lineRule="auto"/>
        <w:jc w:val="left"/>
      </w:pPr>
      <w:r>
        <w:rPr>
          <w:rFonts w:ascii="Arial" w:cs="Arial" w:eastAsia="Arial" w:hAnsi="Arial"/>
          <w:sz w:val="24"/>
          <w:szCs w:val="24"/>
        </w:rPr>
        <w:t xml:space="preserve">This is why the IQ score problem is compounded by domain sensitivity. A test administered on material adjacent to the person's deepest domain will catch them at the structural layer and the score will reflect that. A test administered in a domain where their template library is sparse will catch them at content or argument layer and the score will reflect that instead. The same architecture, two different altitudes, two different numbers — neither of which is the architecture's ceiling.</w:t>
      </w:r>
    </w:p>
    <w:p>
      <w:pPr>
        <w:spacing w:before="0" w:after="160" w:line="320" w:lineRule="auto"/>
        <w:jc w:val="left"/>
      </w:pPr>
      <w:r>
        <w:rPr>
          <w:rFonts w:ascii="Arial" w:cs="Arial" w:eastAsia="Arial" w:hAnsi="Arial"/>
          <w:sz w:val="24"/>
          <w:szCs w:val="24"/>
        </w:rPr>
        <w:t xml:space="preserve">The ladder metaphor is more accurate than any single-number framing. Gifted people go up and down depending on domain and domain maturity. The ceiling is not where they are in any given domain on any given day. The ceiling is the highest altitude they can reach in their densest domain — bounded by the highest detection tier the individual's architecture supports, which is itself a function of the structural capacity of the architecture. Within that bound, the altitude in any given domain rises as templates accumulate, and the maximum reachable altitude rises as the total library density increases. Giftedness does not stop. The library keeps growing. The ladder keeps extending up to the architecture's structural ceiling.</w:t>
      </w:r>
    </w:p>
    <w:p>
      <w:pPr>
        <w:spacing w:before="0" w:after="160" w:line="320" w:lineRule="auto"/>
        <w:jc w:val="left"/>
      </w:pPr>
      <w:r>
        <w:rPr>
          <w:rFonts w:ascii="Arial" w:cs="Arial" w:eastAsia="Arial" w:hAnsi="Arial"/>
          <w:sz w:val="24"/>
          <w:szCs w:val="24"/>
        </w:rPr>
        <w:t xml:space="preserve">This has a direct implication for the wall account. The wall is not the ladder ending. It is the environment running out of rungs to offer at the operating altitude. The architecture is still climbing. The environment has stopped providing material at the layer the system now operates. Switch environments — provide frontier problems at the current operating altitude — and the climbing resumes. The capacity was always present. It required structural novelty at the operating layer to express. Provide that input, and the full capacity emerges immediately.</w:t>
      </w:r>
    </w:p>
    <w:p>
      <w:pPr>
        <w:spacing w:before="0" w:after="160" w:line="320" w:lineRule="auto"/>
        <w:jc w:val="left"/>
      </w:pPr>
      <w:r>
        <w:rPr>
          <w:rFonts w:ascii="Arial" w:cs="Arial" w:eastAsia="Arial" w:hAnsi="Arial"/>
          <w:sz w:val="24"/>
          <w:szCs w:val="24"/>
        </w:rPr>
        <w:t xml:space="preserve">One important qualifier: this account addresses filter saturation — the primary source of wall experience in institutional and occupational contexts. It does not claim that all difficulty is saturation. Genuine structural difficulty exists: domains where the required structural templates don't yet exist in the library, where the problem is at the frontier of human knowledge rather than at the frontier of one person's template store. Those domains don't produce the mismatch cascade. They produce effortful, genuine engagement — the gate opens, acquisition is real but slow, and the architecture is operating at the edge of what it holds. The wall is the filter reporting redundancy. Genuine frontier difficulty is the filter finding no match and the architecture building new templates from scratch.</w:t>
      </w:r>
    </w:p>
    <w:p>
      <w:pPr>
        <w:spacing w:before="0" w:after="160" w:line="320" w:lineRule="auto"/>
        <w:jc w:val="left"/>
      </w:pPr>
      <w:r>
        <w:rPr>
          <w:rFonts w:ascii="Arial" w:cs="Arial" w:eastAsia="Arial" w:hAnsi="Arial"/>
          <w:sz w:val="24"/>
          <w:szCs w:val="24"/>
        </w:rPr>
        <w:t xml:space="preserve">This has a direct implication for assessment. A person assessed in a domain where their library is sparse will appear to operate at a lower tier than their architecture supports. A person assessed on a test whose pattern structure they have already internalized will show suppressed engagement as the AG filter correctly classifies the items as redundant. Neither measurement captures the operating tier. The behavioral signature to look for is not test performance but which layer the person's Detection fires at when encountering genuinely novel structural problems in their densest domain.</w:t>
      </w:r>
    </w:p>
    <w:p>
      <w:pPr>
        <w:spacing w:before="0" w:after="80"/>
      </w:pPr>
      <w:r>
        <w:t xml:space="preserve"/>
      </w:r>
    </w:p>
    <w:p>
      <w:pPr>
        <w:spacing w:before="0" w:after="80"/>
      </w:pPr>
      <w:r>
        <w:t xml:space="preserve"/>
      </w:r>
    </w:p>
    <w:p>
      <w:pPr>
        <w:pStyle w:val="Heading1"/>
        <w:spacing w:before="300" w:after="150"/>
      </w:pPr>
      <w:r>
        <w:rPr>
          <w:rFonts w:ascii="Arial" w:cs="Arial" w:eastAsia="Arial" w:hAnsi="Arial"/>
          <w:b/>
          <w:bCs/>
          <w:color w:val="1F3864"/>
          <w:sz w:val="32"/>
          <w:szCs w:val="32"/>
        </w:rPr>
        <w:t xml:space="preserve">4.5 Tier Divergence: Mild and Profound Giftedness Are Not the Same Phenomenon</w:t>
      </w:r>
    </w:p>
    <w:p>
      <w:pPr>
        <w:spacing w:before="0" w:after="160" w:line="320" w:lineRule="auto"/>
        <w:jc w:val="left"/>
      </w:pPr>
      <w:r>
        <w:rPr>
          <w:rFonts w:ascii="Arial" w:cs="Arial" w:eastAsia="Arial" w:hAnsi="Arial"/>
          <w:sz w:val="24"/>
          <w:szCs w:val="24"/>
        </w:rPr>
        <w:t xml:space="preserve">The gifted research literature treats the IQ distribution as a continuum and studies its most accessible segment — children identified in gifted programs at the 130-144 range. The implicit assumption is that higher tiers are more of the same: faster processing, higher ceiling, greater breadth. This assumption is mechanistically wrong. The tier structure described in §4 is not a quantitative scale. It is a qualitative shift in which cognitive operation runs as the primary target. A profile running content-layer Detection (130-144 as a heuristic population anchor) and a profile running ontological-layer Detection (175+ anchor) are running structurally different operations. They are not points on a continuum. They are different modes.</w:t>
      </w:r>
    </w:p>
    <w:p>
      <w:pPr>
        <w:spacing w:before="0" w:after="160" w:line="320" w:lineRule="auto"/>
        <w:jc w:val="left"/>
      </w:pPr>
      <w:r>
        <w:rPr>
          <w:rFonts w:ascii="Arial" w:cs="Arial" w:eastAsia="Arial" w:hAnsi="Arial"/>
          <w:sz w:val="24"/>
          <w:szCs w:val="24"/>
        </w:rPr>
        <w:t xml:space="preserve">The practical consequence: the mismatch dynamics are qualitatively different at different tiers. Content-layer Detection (130-144) produces boredom and restlessness in unstimulating environments, but relief is relatively accessible — accelerated content, harder problems, domain-switching at the content level. Argument-layer Detection (145-159) produces the serialization wall and more frequent 2e diagnoses, but matched institutional environments exist: advanced research programs, complex professional domains, creative fields with genuine argument-layer novelty supply. Structural-layer and ontological-layer Detection (160+) produces a wall in almost any institutional environment because almost no institution operates at structural or ontological-layer structural novelty supply continuously. The only available operating mode is continuous cross-domain frontier-detection — rapid acquisition across a new domain until the structural layer is mapped, immediate movement to the next, permanent operation at the edge of what the template library doesn't yet hold.</w:t>
      </w:r>
    </w:p>
    <w:p>
      <w:pPr>
        <w:spacing w:before="0" w:after="160" w:line="320" w:lineRule="auto"/>
        <w:jc w:val="left"/>
      </w:pPr>
      <w:r>
        <w:rPr>
          <w:rFonts w:ascii="Arial" w:cs="Arial" w:eastAsia="Arial" w:hAnsi="Arial"/>
          <w:sz w:val="24"/>
          <w:szCs w:val="24"/>
        </w:rPr>
        <w:t xml:space="preserve">This is why the domain-jumping that characterizes profoundly gifted people looks different in kind from what mild giftedness looks like. It isn't accelerated content learning within a domain. It is structural-layer pattern-detection running continuously across the entire available problem space, following every genuine frontier signal wherever it goes. The breadth across domains is not scattered attention. It is the detection architecture doing exactly what it is designed to do, at the only layer where it can find inputs that pass the filter.</w:t>
      </w:r>
    </w:p>
    <w:p>
      <w:pPr>
        <w:spacing w:before="0" w:after="160" w:line="320" w:lineRule="auto"/>
        <w:jc w:val="left"/>
      </w:pPr>
      <w:r>
        <w:rPr>
          <w:rFonts w:ascii="Arial" w:cs="Arial" w:eastAsia="Arial" w:hAnsi="Arial"/>
          <w:sz w:val="24"/>
          <w:szCs w:val="24"/>
        </w:rPr>
        <w:t xml:space="preserve">The gifted research literature cannot see this distinction because it studies the 130-144 range. What it finds — boredom, sensitivity to routine, better performance with enrichment — is real but describes a qualitatively different operating mode than what happens at 175+. Extrapolating from the accessible range to the profoundly gifted end is not scaling. It is the wrong model applied to a different phenomenon. The profoundly gifted population is small enough that there is almost no systematic research. The few qualitative accounts that exist (Hollingworth 1942, Gross 1993, Morelock 1995) describe behavioral profiles that the content-layer Detection account cannot explain but the structural and ontological-layer account predicts exactly.</w:t>
      </w:r>
    </w:p>
    <w:p>
      <w:pPr>
        <w:spacing w:before="0" w:after="160" w:line="320" w:lineRule="auto"/>
        <w:jc w:val="left"/>
      </w:pPr>
      <w:r>
        <w:rPr>
          <w:rFonts w:ascii="Arial" w:cs="Arial" w:eastAsia="Arial" w:hAnsi="Arial"/>
          <w:sz w:val="24"/>
          <w:szCs w:val="24"/>
        </w:rPr>
        <w:t xml:space="preserve">The tier divergence has a direct clinical implication: interventions calibrated for the 130-144 range will be systematically wrong for the 175+ range. Content acceleration addresses content-layer Detection boredom. It does nothing for structural-layer Detection saturation, because the structural library grows faster than any content acceleration program can supply structural novelty. The profoundly gifted person in a content-acceleration program is still running the filter at structural layer, still finding isomorphisms to held knowledge within the first propagation cycle, still generating the Detection silence that triggers the mismatch cascade. The program is providing more input at the wrong layer.</w:t>
      </w:r>
    </w:p>
    <w:p>
      <w:pPr>
        <w:spacing w:before="0" w:after="80"/>
      </w:pPr>
      <w:r>
        <w:t xml:space="preserve"/>
      </w:r>
    </w:p>
    <w:p>
      <w:pPr>
        <w:spacing w:before="0" w:after="80"/>
      </w:pPr>
      <w:r>
        <w:t xml:space="preserve"/>
      </w:r>
    </w:p>
    <w:p>
      <w:pPr>
        <w:pStyle w:val="Heading1"/>
        <w:spacing w:before="300" w:after="150"/>
      </w:pPr>
      <w:r>
        <w:rPr>
          <w:rFonts w:ascii="Arial" w:cs="Arial" w:eastAsia="Arial" w:hAnsi="Arial"/>
          <w:b/>
          <w:bCs/>
          <w:color w:val="1F3864"/>
          <w:sz w:val="32"/>
          <w:szCs w:val="32"/>
        </w:rPr>
        <w:t xml:space="preserve">5. The ADHD-Giftedness Differential-Mechanism Hypothesis</w:t>
      </w:r>
    </w:p>
    <w:p>
      <w:pPr>
        <w:spacing w:before="0" w:after="160" w:line="320" w:lineRule="auto"/>
        <w:jc w:val="left"/>
      </w:pPr>
      <w:r>
        <w:rPr>
          <w:rFonts w:ascii="Arial" w:cs="Arial" w:eastAsia="Arial" w:hAnsi="Arial"/>
          <w:sz w:val="24"/>
          <w:szCs w:val="24"/>
        </w:rPr>
        <w:t xml:space="preserve">The twice-exceptional (2e) literature assumes two coexisting conditions: intellectual giftedness and ADHD. At the content-layer Detection tier (roughly 130-144), this model has merit — valid comorbid ADHD exists independent of the gifted architecture, and the two are distinguishable. At tiers where the architecture has saturated the available institutional environment at the structural layer — where every incoming domain is caught by the filter within the first propagation cycle — the model may be wrong in a specific and consequential way: what gets labeled ADHD may not be a second condition at all. It may be the gifted architecture itself, observed from inside a mismatched institutional environment by observers who do not have a framework for what they are looking at. The five-operation framework makes this precise: the mechanisms characterizing both presentations are drawn from the same underlying circuits. Whether they constitute one process or two is the empirical question the framework is designed to test.</w:t>
      </w:r>
    </w:p>
    <w:p>
      <w:pPr>
        <w:spacing w:before="0" w:after="160" w:line="320" w:lineRule="auto"/>
        <w:jc w:val="left"/>
      </w:pPr>
      <w:r>
        <w:rPr>
          <w:rFonts w:ascii="Arial" w:cs="Arial" w:eastAsia="Arial" w:hAnsi="Arial"/>
          <w:sz w:val="24"/>
          <w:szCs w:val="24"/>
        </w:rPr>
        <w:t xml:space="preserve">The ADHD literature has produced something the gifted literature never has: adult populations, longitudinal data, adult neuroimaging, and pharmacological probes that test the D1/D2 PFC gating mechanism and the VTA dopaminergic novelty-prediction-error circuit directly. The framework proposes this literature characterizes, by coincidence of mechanism, the same circuits implicated in the gifted architecture — which is why the framework draws on it for adult evidence that the gifted literature cannot supply. The mechanisms — DA novelty signaling, D1/D2 prefrontal gating, LC phasic/tonic dynamics — are characterized in both literatures and appear to be shared circuits, not analogous ones.</w:t>
      </w:r>
    </w:p>
    <w:p>
      <w:pPr>
        <w:pStyle w:val="Heading2"/>
        <w:spacing w:before="240" w:after="120"/>
      </w:pPr>
      <w:r>
        <w:rPr>
          <w:rFonts w:ascii="Arial" w:cs="Arial" w:eastAsia="Arial" w:hAnsi="Arial"/>
          <w:b/>
          <w:bCs/>
          <w:color w:val="2E5A96"/>
          <w:sz w:val="28"/>
          <w:szCs w:val="28"/>
        </w:rPr>
        <w:t xml:space="preserve">5.1 The Novelty-Seeking Circuit and What It Is Actually Doing</w:t>
      </w:r>
    </w:p>
    <w:p>
      <w:pPr>
        <w:spacing w:before="0" w:after="160" w:line="320" w:lineRule="auto"/>
        <w:jc w:val="left"/>
      </w:pPr>
      <w:r>
        <w:rPr>
          <w:rFonts w:ascii="Arial" w:cs="Arial" w:eastAsia="Arial" w:hAnsi="Arial"/>
          <w:sz w:val="24"/>
          <w:szCs w:val="24"/>
        </w:rPr>
        <w:t xml:space="preserve">Stimulus novelty directly activates dopaminergic neurons in the substantia nigra/VTA — this is documented, replicated, and mechanistically characterized at the single-neuron level (Schultz et al., 1997; Wittmann et al., 2008; Dabney et al., 2020). The VTA dopamine response to novel stimuli represents an unsigned prediction error: the signal fires when incoming input does not match current predictions, regardless of valence. This is the biological implementation of the exploration bonus in reinforcement learning — the signal that unknown inputs carry potential reward and should be investigated. In ADHD, this novelty-prediction-error response is heightened: aberrant novelty processing, in the literature's framing, or continuously active frontier-detection, in the framework used here.</w:t>
      </w:r>
    </w:p>
    <w:p>
      <w:pPr>
        <w:spacing w:before="0" w:after="160" w:line="320" w:lineRule="auto"/>
        <w:jc w:val="left"/>
      </w:pPr>
      <w:r>
        <w:rPr>
          <w:rFonts w:ascii="Arial" w:cs="Arial" w:eastAsia="Arial" w:hAnsi="Arial"/>
          <w:sz w:val="24"/>
          <w:szCs w:val="24"/>
        </w:rPr>
        <w:t xml:space="preserve">The distinction matters enormously. The ADHD literature frames the novelty-seeking as a dysfunction — an inability to habituate appropriately to familiar stimuli, producing restless exploration. The mechanism literature says something different: stimulus novelty fires DA neurons because genuinely novel inputs have unknown reward potential, while repeated inconsequential exposure produces progressive reduction in VTA DA firing as stimuli are classified as known — a general habituation mechanism confirmed at single-neuron and population scale in the DA system (Fleury et al., 2024, European Journal of Neuroscience, 59:2522; Kutlu et al., 2022, Nature Neuroscience, 25:1071). Habituation is the correct operation: the DA novelty signal reduces when a stimulus is classified as held. In a structural template library dense enough to classify most incoming domains as structurally familiar within the first propagation cycle, this habituation fires immediately on almost everything — even inputs that are superficially novel at the content layer. The system continues searching for inputs that haven't already been classified at the structural layer. From outside: distracted, jumping between things. From inside: correctly following the frontier-detection signal because that is the only input class that clears the filter and restores the phasic DA novelty signal.</w:t>
      </w:r>
    </w:p>
    <w:p>
      <w:pPr>
        <w:spacing w:before="0" w:after="160" w:line="320" w:lineRule="auto"/>
        <w:jc w:val="left"/>
      </w:pPr>
      <w:r>
        <w:rPr>
          <w:rFonts w:ascii="Arial" w:cs="Arial" w:eastAsia="Arial" w:hAnsi="Arial"/>
          <w:sz w:val="24"/>
          <w:szCs w:val="24"/>
        </w:rPr>
        <w:t xml:space="preserve">A precision note on the VTA novelty signal: the ADHD VTA novelty literature confirms the exploration circuit fires on novel inputs generally — perceptual novelty, content novelty, and structural novelty are not distinguished at the level of the broad VTA response in that literature. The structural-layer specificity prediction becomes more mechanistically grounded, however, with the recent characterization of feature-specific RPE encoding: Gershman et al. (2024, Nature Neuroscience 27:1645) showed that VTA DA neurons encode prediction errors for different features of a stimulus vector independently, with distinct neuronal populations responding to novelty versus reward value. Within this framework, structural/relational novelty — the failure of CA3 pattern completion at the relational layer — is a distinct feature channel that would engage specific VTA DA populations, separately from perceptual-surface novelty. The specific prediction (VTA firing on structural-layer novelty failures but not surface-content novelty, specifically in high-tier profiles) remains Prediction A1 and requires direct IQ-stratified test. But the mechanism is now scaffolded rather than inferred — feature-specific RPE architecture provides the substrate for the structural-layer selectivity the framework predicts.</w:t>
      </w:r>
    </w:p>
    <w:p>
      <w:pPr>
        <w:spacing w:before="0" w:after="160" w:line="320" w:lineRule="auto"/>
        <w:jc w:val="left"/>
      </w:pPr>
      <w:r>
        <w:rPr>
          <w:rFonts w:ascii="Arial" w:cs="Arial" w:eastAsia="Arial" w:hAnsi="Arial"/>
          <w:sz w:val="24"/>
          <w:szCs w:val="24"/>
        </w:rPr>
        <w:t xml:space="preserve">In a profoundly gifted profile with a dense structural template library, this mechanism has a specific consequence: the AG filter catches most incoming domains within the first propagation cycle. Almost nothing is structurally novel. The exploration circuit fires continuously because there is almost nothing to habituate to at the structural layer. The system is not failing to regulate attention. It is correctly searching for what passes through the filter in a world where most inputs don't. The domain-jumping is not distractibility. It is the architecture running frontier-detection mode across the entire available problem space, following every genuine structural frontier signal wherever it goes.</w:t>
      </w:r>
    </w:p>
    <w:p>
      <w:pPr>
        <w:spacing w:before="0" w:after="160" w:line="320" w:lineRule="auto"/>
        <w:jc w:val="left"/>
      </w:pPr>
      <w:r>
        <w:rPr>
          <w:rFonts w:ascii="Arial" w:cs="Arial" w:eastAsia="Arial" w:hAnsi="Arial"/>
          <w:sz w:val="24"/>
          <w:szCs w:val="24"/>
        </w:rPr>
        <w:t xml:space="preserve">The 2024 evolutionary mismatch account (Evolutionary Psychological Science) provides a behavioral confirmation: participants meeting ADHD screening criteria departed depleted resource patches sooner and achieved higher reward rates in foraging tasks. The 'ADHD' behavior was optimal foraging — correctly detecting resource depletion and moving to the next patch. This is precisely what the filter signal predicts: when a domain is exhausted of structural novelty, the detection architecture correctly reports depletion and recommends pivot. The behavior that looks like distractibility from inside a fixed environment is adaptive frontier-following in an environment with sufficient variation.</w:t>
      </w:r>
    </w:p>
    <w:p>
      <w:pPr>
        <w:pStyle w:val="Heading2"/>
        <w:spacing w:before="240" w:after="120"/>
      </w:pPr>
      <w:r>
        <w:rPr>
          <w:rFonts w:ascii="Arial" w:cs="Arial" w:eastAsia="Arial" w:hAnsi="Arial"/>
          <w:b/>
          <w:bCs/>
          <w:color w:val="2E5A96"/>
          <w:sz w:val="28"/>
          <w:szCs w:val="28"/>
        </w:rPr>
        <w:t xml:space="preserve">5.2 Hyperfocus as Gate-Open State</w:t>
      </w:r>
    </w:p>
    <w:p>
      <w:pPr>
        <w:spacing w:before="0" w:after="160" w:line="320" w:lineRule="auto"/>
        <w:jc w:val="left"/>
      </w:pPr>
      <w:r>
        <w:rPr>
          <w:rFonts w:ascii="Arial" w:cs="Arial" w:eastAsia="Arial" w:hAnsi="Arial"/>
          <w:sz w:val="24"/>
          <w:szCs w:val="24"/>
        </w:rPr>
        <w:t xml:space="preserve">Hyperfocus — the state of sustained deep engagement that appears to contradict the ADHD attention account — is mechanistically explained by the encoding gate opening. When a structurally novel input clears the AG filter and the CA3 pattern completion fails to find a high-confidence match, ACh release shifts hippocampal theta phase toward encoding mode, the ACh × NE coincidence gate opens, and the encoding pathway engages fully. Sustained hyperfocus requires more than the initial phasic VTA burst — it requires ongoing structural novelty supply as deeper layers of the domain are encountered, continuing to fail CA3 pattern matching and maintaining the encoding-dominant theta mode. As the structural layer of the domain is progressively mapped, the CA3 match rate rises, the encoding gate closes, phasic VTA responses cease, and the person experiences what the ADHD literature describes as 'losing interest.' This is not attention dysregulation. It is the filter correctly reporting that this layer of the domain is now held. Hyperfocus terminates when the structural frontier of the current domain is reached — which is why switching to a new structurally novel domain can immediately reinstate it. The same parameter configuration that produces inattention in a content-depleted environment produces sustained hyperfocus in a structurally matched one, for as long as the structural frontier keeps advancing.</w:t>
      </w:r>
    </w:p>
    <w:p>
      <w:pPr>
        <w:spacing w:before="0" w:after="160" w:line="320" w:lineRule="auto"/>
        <w:jc w:val="left"/>
      </w:pPr>
      <w:r>
        <w:rPr>
          <w:rFonts w:ascii="Arial" w:cs="Arial" w:eastAsia="Arial" w:hAnsi="Arial"/>
          <w:sz w:val="24"/>
          <w:szCs w:val="24"/>
        </w:rPr>
        <w:t xml:space="preserve">Hyperfocus validated in adults: a 2024 study (Nature Scientific Reports) validated the 12-item Dispositional Adult Hyperfocus Questionnaire (AHQ-D) in adults and found hyperfocus scores positively correlated with ADHD traits as measured by the CAARS. This is not a paradox. It is the same mechanism: the gate opens when structural novelty is present; the gate stays closed when it isn't. The ADHD trait captures the gate-closed state (inattention in a non-novel environment). The hyperfocus score captures the gate-open state (sustained engagement with structurally novel input). Both are the same gate, same mechanism.</w:t>
      </w:r>
    </w:p>
    <w:p>
      <w:pPr>
        <w:pStyle w:val="Heading2"/>
        <w:spacing w:before="240" w:after="120"/>
      </w:pPr>
      <w:r>
        <w:rPr>
          <w:rFonts w:ascii="Arial" w:cs="Arial" w:eastAsia="Arial" w:hAnsi="Arial"/>
          <w:b/>
          <w:bCs/>
          <w:color w:val="2E5A96"/>
          <w:sz w:val="28"/>
          <w:szCs w:val="28"/>
        </w:rPr>
        <w:t xml:space="preserve">5.3 What Stimulant Medication Does and Doesn't Do</w:t>
      </w:r>
    </w:p>
    <w:p>
      <w:pPr>
        <w:spacing w:before="0" w:after="160" w:line="320" w:lineRule="auto"/>
        <w:jc w:val="left"/>
      </w:pPr>
      <w:r>
        <w:rPr>
          <w:rFonts w:ascii="Arial" w:cs="Arial" w:eastAsia="Arial" w:hAnsi="Arial"/>
          <w:sz w:val="24"/>
          <w:szCs w:val="24"/>
        </w:rPr>
        <w:t xml:space="preserve">Stimulant medication (methylphenidate, amphetamines) raises DA and NE availability in the synaptic cleft by blocking DAT and NET reuptake. The mechanism of benefit is D1R stimulation in the optimal inverted-U range — raising tonic DA brings D1R activation up to the level where WM maintenance selectivity is restored and lateral inhibition functions correctly. In a standard ADHD profile, this corrects the Gating inversion: the gate now suppresses irrelevant inputs effectively and attention stabilizes. This pharmacological effect confirms the D1/D2 mechanism. The stimulant is a D1R titration probe. The cellular mechanism of the inverted-U is now established at single-neuron resolution: in behaving primates, low D1R stimulation enhances spatial tuning of prefrontal delay cells by selectively suppressing responses to nonpreferred directions — sculpting away noise while preserving signal — while high D1R stimulation reduces delay-related firing for all directions, eroding tuning entirely (Vijayraghavan et al., 2007, Nature Neuroscience 10:376). These sculpting actions are mediated via cyclic AMP intracellular signaling. A quantitative meta-analysis of 75 studies confirms the inverted quadratic relationship between prefrontal DA/D1R and working memory performance, distinct from the striatal DA signaling principles that govern motor and motivational function (Weber et al., 2022, Behavioral Neuroscience 136:207–218). The D1R inverted-U is empirically confirmed in humans, primates, and rodents, and now has a cellular substrate.</w:t>
      </w:r>
    </w:p>
    <w:p>
      <w:pPr>
        <w:spacing w:before="0" w:after="160" w:line="320" w:lineRule="auto"/>
        <w:jc w:val="left"/>
      </w:pPr>
      <w:r>
        <w:rPr>
          <w:rFonts w:ascii="Arial" w:cs="Arial" w:eastAsia="Arial" w:hAnsi="Arial"/>
          <w:sz w:val="24"/>
          <w:szCs w:val="24"/>
        </w:rPr>
        <w:t xml:space="preserve">For a profile where the architecture has saturated its institutional environment at the structural layer, stimulant medication does something different: it raises synaptic DA above the already-near-optimal baseline, potentially moving D1R stimulation to the impairing side of the inverted-U, or producing only mild nonspecific arousal with no meaningful gate correction. The subjective effect is indistinguishable from caffeine — mild arousal, nothing more — though the underlying mechanisms differ. Caffeine disinhibits arousal systems primarily via adenosine receptor blockade at LC and other wake-promoting neurons. Stimulants raise synaptic DA and NE via DAT/NET blockade. In the structural identity case, neither produces meaningful gate correction because the gate mechanism is not what is impaired. The result is experienced as equivalent: mild alertness, no change in the fundamental presentation. The marginal D1R improvement from near-optimal baseline produces no clinically significant gate correction; the mismatched environment remains the source of the problem. The medication has enabled override of the navigation signal rather than resolving what generated it.</w:t>
      </w:r>
    </w:p>
    <w:p>
      <w:pPr>
        <w:pStyle w:val="Heading2"/>
        <w:spacing w:before="240" w:after="120"/>
      </w:pPr>
      <w:r>
        <w:rPr>
          <w:rFonts w:ascii="Arial" w:cs="Arial" w:eastAsia="Arial" w:hAnsi="Arial"/>
          <w:b/>
          <w:bCs/>
          <w:color w:val="2E5A96"/>
          <w:sz w:val="28"/>
          <w:szCs w:val="28"/>
        </w:rPr>
        <w:t xml:space="preserve">5.4 One Architecture, Two Labels — and the Limits of the Claim</w:t>
      </w:r>
    </w:p>
    <w:p>
      <w:pPr>
        <w:spacing w:before="0" w:after="160" w:line="320" w:lineRule="auto"/>
        <w:jc w:val="left"/>
      </w:pPr>
      <w:r>
        <w:rPr>
          <w:rFonts w:ascii="Arial" w:cs="Arial" w:eastAsia="Arial" w:hAnsi="Arial"/>
          <w:sz w:val="24"/>
          <w:szCs w:val="24"/>
        </w:rPr>
        <w:t xml:space="preserve">The structural identity hypothesis requires careful framing. This paper is not arguing that ADHD is unreal, nor that giftedness and ADHD are universally the same condition. At the 130-144 tier, genuine comorbid ADHD may coexist with giftedness and the twice-exceptional framework remains appropriate. The stronger claim advanced here is narrower: at higher tiers, in environments that have been saturated at the structural layer, the behavioral presentation commonly labeled ADHD may in some cases arise from the gifted architecture itself interacting with mismatch rather than from a distinct second disorder.</w:t>
      </w:r>
    </w:p>
    <w:p>
      <w:pPr>
        <w:spacing w:before="0" w:after="160" w:line="320" w:lineRule="auto"/>
        <w:jc w:val="left"/>
      </w:pPr>
      <w:r>
        <w:rPr>
          <w:rFonts w:ascii="Arial" w:cs="Arial" w:eastAsia="Arial" w:hAnsi="Arial"/>
          <w:sz w:val="24"/>
          <w:szCs w:val="24"/>
        </w:rPr>
        <w:t xml:space="preserve">In that narrower sense, "gifted with ADHD" may sometimes describe two observational labels applied to one underlying process. Novelty-seeking becomes the architecture's search for inputs that clear the structural filter. Domain-jumping becomes frontier-following across problem spaces that still contain structural novelty. Failure to sustain attention on redundant material reflects an encoding gate that is correctly remaining closed on already-matched input. Hyperfocus reflects the same gate in its open state when genuinely novel structure is encountered. On this account, the apparent contradiction between distractibility and hyperfocus is only superficial: both reflect the same system under different input conditions.</w:t>
      </w:r>
    </w:p>
    <w:p>
      <w:pPr>
        <w:spacing w:before="0" w:after="160" w:line="320" w:lineRule="auto"/>
        <w:jc w:val="left"/>
      </w:pPr>
      <w:r>
        <w:rPr>
          <w:rFonts w:ascii="Arial" w:cs="Arial" w:eastAsia="Arial" w:hAnsi="Arial"/>
          <w:sz w:val="24"/>
          <w:szCs w:val="24"/>
        </w:rPr>
        <w:t xml:space="preserve">The key limit is that this claim is primarily behavioral at present. In a mismatched environment, a person with independently occurring ADHD and a person whose gifted architecture is generating the same outward pattern may look very similar from the outside. That behavioral indistinguishability is precisely what creates the clinical problem. It does not, by itself, establish neurobiological identity. Direct measures — DAT transporter density, direct tonic DA measurement, genetic ADHD risk variants — would be needed to determine whether the same surface presentation reflects one mechanism or two.</w:t>
      </w:r>
    </w:p>
    <w:p>
      <w:pPr>
        <w:spacing w:before="0" w:after="160" w:line="320" w:lineRule="auto"/>
        <w:jc w:val="left"/>
      </w:pPr>
      <w:r>
        <w:rPr>
          <w:rFonts w:ascii="Arial" w:cs="Arial" w:eastAsia="Arial" w:hAnsi="Arial"/>
          <w:sz w:val="24"/>
          <w:szCs w:val="24"/>
        </w:rPr>
        <w:t xml:space="preserve">A practical discriminator follows from the gating model: stimulant response should differ across cases. In a more typical ADHD presentation, stimulants raise synaptic DA and NE in ways that improve prefrontal gating and working-memory selectivity. In the mismatch-driven gifted presentation proposed here, the primary problem is not necessarily a gate deficit but a persistent absence of structurally novel input at the operating layer. In that case, stimulants may produce only mild nonspecific arousal or limited behavioral override without substantial correction of the underlying presentation. This possibility is compatible with the known heterogeneity of ADHD: MacDonald et al. (2024, Frontiers in Psychiatry, 15:1492126) reviewed 40+ years of dopamine evidence in ADHD and concluded that while dopaminergic dysfunction is implicated, a universal hypodopaminergic state is not supported — ADHD is neurobiologically heterogeneous, with inconsistent DAT and receptor findings across cohorts. Stimulant non-response is the clinical signature of this heterogeneity: response rates vary substantially across trials, with a meaningful minority of diagnosed adults showing limited benefit even with optimized dosing. The structural identity population should be concentrated in that non-responder group. Parlatini et al. (2024, Nature Mental Health, 2:514) demonstrated that pre-treatment neuroanatomical differences predict methylphenidate response in adults with ADHD — non-responders showed reduced cortical volume in temporo-parietal attentional regions compared to responders, confirming that biological subgroups within the ADHD diagnosis show differential pharmacological response. This neuroanatomical heterogeneity is consistent with the structural identity hypothesis: if some non-responders represent mismatch-driven presentations rather than deficit-driven ones, their neuroanatomy should diverge from the typical ADHD non-responder profile — a distinction that tier-stratified imaging could test directly.</w:t>
      </w:r>
    </w:p>
    <w:p>
      <w:pPr>
        <w:spacing w:before="0" w:after="160" w:line="320" w:lineRule="auto"/>
        <w:jc w:val="left"/>
      </w:pPr>
      <w:r>
        <w:rPr>
          <w:rFonts w:ascii="Arial" w:cs="Arial" w:eastAsia="Arial" w:hAnsi="Arial"/>
          <w:sz w:val="24"/>
          <w:szCs w:val="24"/>
        </w:rPr>
        <w:t xml:space="preserve">For that reason, stimulant non-response in a high-cognitive-performance individual carrying both gifted and ADHD labels should not be interpreted automatically as diagnostic failure or patient noncompliance. Within this framework, it may instead function as a signal that the presentation is more architecture-driven than deficit-driven. That interpretation remains a hypothesis rather than a conclusion, because stimulant non-response alone cannot distinguish mismatch-driven cases from other non-responder subgroups. Still, it yields a concrete empirical prediction: the putative structural-identity subgroup should be overrepresented among stimulant non-responders, particularly where baseline cognitive performance is high — directly testable and not yet studied in tier-stratified gifted populations. It is this prediction, captured in H2, that makes the hypothesis falsifiable rather than merely definitional.</w:t>
      </w:r>
    </w:p>
    <w:p>
      <w:pPr>
        <w:spacing w:before="0" w:after="160" w:line="320" w:lineRule="auto"/>
        <w:jc w:val="left"/>
      </w:pPr>
      <w:r>
        <w:rPr>
          <w:rFonts w:ascii="Arial" w:cs="Arial" w:eastAsia="Arial" w:hAnsi="Arial"/>
          <w:sz w:val="24"/>
          <w:szCs w:val="24"/>
        </w:rPr>
        <w:t xml:space="preserve">The tier boundary matters. The 2e model was built by studying the accessible gifted population — the 130-144 range — where content-layer Detection saturation is more gradual and genuine ADHD comorbidity is distinguishable. Extrapolating the 2e model to the profound end is applying the wrong framework to a qualitatively different operating mode. At that end, the architecture itself may generate the full range of ADHD-labeled behaviors when placed in a structurally impoverished environment. The present framework predicts that, in such cases, there is no separate second condition to find. The evidence that discriminates: Prediction C2 — systematic environmental layer matching should selectively and substantially reduce ADHD-labeled symptom severity in profound gifted profiles, in a way that is not replicated in ADHD-only controls at lower ability levels. If the architecture is the source, removing the mismatch removes the presentation. If ADHD is an independent second condition, removing the mismatch should not selectively resolve it.</w:t>
      </w:r>
    </w:p>
    <w:p>
      <w:pPr>
        <w:pStyle w:val="Heading1"/>
        <w:spacing w:before="300" w:after="150"/>
      </w:pPr>
      <w:r>
        <w:rPr>
          <w:rFonts w:ascii="Arial" w:cs="Arial" w:eastAsia="Arial" w:hAnsi="Arial"/>
          <w:b/>
          <w:bCs/>
          <w:color w:val="1F3864"/>
          <w:sz w:val="32"/>
          <w:szCs w:val="32"/>
        </w:rPr>
        <w:t xml:space="preserve">6. The Environmental Mismatch Cascade</w:t>
      </w:r>
    </w:p>
    <w:p>
      <w:pPr>
        <w:pStyle w:val="Heading2"/>
        <w:spacing w:before="240" w:after="120"/>
      </w:pPr>
      <w:r>
        <w:rPr>
          <w:rFonts w:ascii="Arial" w:cs="Arial" w:eastAsia="Arial" w:hAnsi="Arial"/>
          <w:b/>
          <w:bCs/>
          <w:color w:val="2E5A96"/>
          <w:sz w:val="28"/>
          <w:szCs w:val="28"/>
        </w:rPr>
        <w:t xml:space="preserve">6.1 The Angular Gyrus Filter: The Library Succeeding at Its Own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before="0" w:after="0"/>
            </w:pPr>
            <w:r>
              <w:rPr>
                <w:rFonts w:ascii="Arial" w:cs="Arial" w:eastAsia="Arial" w:hAnsi="Arial"/>
                <w:i/>
                <w:iCs/>
                <w:color w:val="333333"/>
                <w:sz w:val="22"/>
                <w:szCs w:val="22"/>
              </w:rPr>
              <w:t xml:space="preserve">Central claim of this section: The gifted wall is better modeled as the angular gyrus filter operating correctly in an environment that has run out of structurally novel problems at the operating layer, rather than as a developmental ceiling, motivational failure, or capacity limit. On this account, the capacity is intact. The filter is doing its job. The wall label, as argued in §6.1.1, may become self-reinforcing: it trains a persistence response that is poorly matched to the underlying mechanism.</w:t>
            </w:r>
          </w:p>
        </w:tc>
      </w:tr>
    </w:tbl>
    <w:p>
      <w:pPr>
        <w:spacing w:before="0" w:after="80"/>
      </w:pPr>
      <w:r>
        <w:t xml:space="preserve"/>
      </w:r>
    </w:p>
    <w:p>
      <w:pPr>
        <w:spacing w:before="0" w:after="160" w:line="320" w:lineRule="auto"/>
        <w:jc w:val="left"/>
      </w:pPr>
      <w:r>
        <w:rPr>
          <w:rFonts w:ascii="Arial" w:cs="Arial" w:eastAsia="Arial" w:hAnsi="Arial"/>
          <w:sz w:val="24"/>
          <w:szCs w:val="24"/>
        </w:rPr>
        <w:t xml:space="preserve">The phenomenon often described as the 'gifted wall' or 'gifted ceiling' — the apparent plateau or regression in gifted populations — is commonly interpreted as developmental ceiling, loss of motivation, or decline in capacity. The framework proposed here suggests a different explanation: in at least some cases, the wall is better modeled as the interaction between an intact high-density structural template library and an environment that no longer provides structurally novel problems at the individual's operating layer. On this account, the underlying architecture is not failing; rather, the environment has become increasingly redundant to the architecture's detection system.</w:t>
      </w:r>
    </w:p>
    <w:p>
      <w:pPr>
        <w:spacing w:before="0" w:after="160" w:line="320" w:lineRule="auto"/>
        <w:jc w:val="left"/>
      </w:pPr>
      <w:r>
        <w:rPr>
          <w:rFonts w:ascii="Arial" w:cs="Arial" w:eastAsia="Arial" w:hAnsi="Arial"/>
          <w:sz w:val="24"/>
          <w:szCs w:val="24"/>
        </w:rPr>
        <w:t xml:space="preserve">The biological mechanism of the filter: When a new domain is encountered, FQ1 spreading activation propagates the incoming signal through associative cortex. ACh precision-weights the active synaptic edges as this propagation runs — tagging which connections are participating. This ACh-weighted activation reaches the angular gyrus (AG), which performs its core convergence function: comparing the incoming structural signal against simultaneously active representations from other held domains (Mesulam, 1998; Seghier, 2013). If the AG detects a structural isomorphism — shared relational organization between the new domain and any held domain, independent of surface vocabulary — it propagates that match signal to prefrontal cortex before content-layer sequential processing has completed.</w:t>
      </w:r>
    </w:p>
    <w:p>
      <w:pPr>
        <w:spacing w:before="0" w:after="160" w:line="320" w:lineRule="auto"/>
        <w:jc w:val="left"/>
      </w:pPr>
      <w:r>
        <w:rPr>
          <w:rFonts w:ascii="Arial" w:cs="Arial" w:eastAsia="Arial" w:hAnsi="Arial"/>
          <w:sz w:val="24"/>
          <w:szCs w:val="24"/>
        </w:rPr>
        <w:t xml:space="preserve">The hippocampal CA3 pattern completion mechanism then runs against the structural template store: the degraded partial pattern of the new domain activates the nearest complete structural template already held. If a high-confidence match is found, the ACh × NE coincidence gate — the encoding gate that requires genuine semantic depth to open (Hasselmo and Giocomo, 2006) — receives a signal that the structural content is already held. The gate remains closed. No new encoding occurs. This is not a failure. It is the system correctly conserving plasticity. The gate is designed to withhold encoding when the structural content is redundant. It works exactly as intended.</w:t>
      </w:r>
    </w:p>
    <w:p>
      <w:pPr>
        <w:spacing w:before="0" w:after="160" w:line="320" w:lineRule="auto"/>
        <w:jc w:val="left"/>
      </w:pPr>
      <w:r>
        <w:rPr>
          <w:rFonts w:ascii="Arial" w:cs="Arial" w:eastAsia="Arial" w:hAnsi="Arial"/>
          <w:sz w:val="24"/>
          <w:szCs w:val="24"/>
        </w:rPr>
        <w:t xml:space="preserve">The oscillatory consequence extends the mechanism further. In novel environments, ACh release suppresses CA3 retrieval output to CA1 and shifts hippocampal theta phase toward an encoding-dominant mode: entorhinal inputs prevail, new information enters the template store. In familiar environments — where CA3 finds a high-confidence match — theta phase biases toward the retrieval trough and CA3 output dominates, actively suppressing the entorhinal encoding pathway. In a structurally saturated library where every incoming domain triggers a CA3 match, the hippocampus runs in a sustained retrieval-dominant theta mode. This is not a state the individual can override by effort. It is the oscillatory architecture of the hippocampus executing its function correctly. Repetition of structurally redundant input does not change this. It deepens the CA3 match, confirms the retrieval signal, and suppresses encoding more reliably. This is the neurobiological reason why pushing harder against the wall is not just ineffective — it is the mechanism that guarantees the experience of failure the wall predicts.</w:t>
      </w:r>
    </w:p>
    <w:p>
      <w:pPr>
        <w:spacing w:before="0" w:after="160" w:line="320" w:lineRule="auto"/>
        <w:jc w:val="left"/>
      </w:pPr>
      <w:r>
        <w:rPr>
          <w:rFonts w:ascii="Arial" w:cs="Arial" w:eastAsia="Arial" w:hAnsi="Arial"/>
          <w:sz w:val="24"/>
          <w:szCs w:val="24"/>
        </w:rPr>
        <w:t xml:space="preserve">Why the filter becomes more aggressive over time: As the hippocampal structural template library grows with accumulated domain exposure, the CA3 pattern completion step finds high-confidence matches more frequently and more rapidly. Domains that would have cleared the filter at age twenty — genuinely novel in structure — are correctly classified as structural variants of held knowledge at age forty. The filter's coverage expands with the library. What clears the filter becomes progressively rarer and more specific, not because the appetite for novelty decreases, but because genuine structural novelty becomes harder to find in a fixed environment against a denser template store. The key qualifier is fixed environment. The world has unlimited structural depth. The library can never exhaust it. What the library can exhaust is any bounded environment — any institution, career, or social context with a finite supply of structurally novel problems at the operating layer.</w:t>
      </w:r>
    </w:p>
    <w:p>
      <w:pPr>
        <w:spacing w:before="0" w:after="160" w:line="320" w:lineRule="auto"/>
        <w:jc w:val="left"/>
      </w:pPr>
      <w:r>
        <w:rPr>
          <w:rFonts w:ascii="Arial" w:cs="Arial" w:eastAsia="Arial" w:hAnsi="Arial"/>
          <w:sz w:val="24"/>
          <w:szCs w:val="24"/>
        </w:rPr>
        <w:t xml:space="preserve">The gifted wall versus expert domain fatigue: It is worth distinguishing the gifted wall from the domain boredom any sufficiently experienced expert will encounter. A master chess player finds novice games unengaging. A seasoned surgeon finds routine procedures unstimulating. Their template store has saturated a domain. The mechanism is the same DA habituation system: VTA DA neurons reduce firing upon repeated inconsequential exposure as stimuli are classified as known (Fleury et al., 2024; Kutlu et al., 2022). When an expert moves to a genuinely new domain, the new domain's stimuli have not yet undergone this habituation — VTA DA phasic firing reinstates, and engagement restores. This is the standard resolution for domain-expert fatigue: domain-switching works because the new domain supplies genuinely novel stimuli that have not yet been classified. The gifted wall at structural and ontological tiers is different in a specific and testable way: domain-switching fails to provide relief, because the AG detects structural isomorphisms to held templates within the first propagation cycle regardless of domain. A new field that looks different at the content layer is caught at the structural layer immediately — the DA habituation fires on the new domain as if already familiar. The differential prediction: in gifted individuals presenting with wall behavior, domain-switching should produce substantially less relief than in domain-expert fatigue cases, and the relief when it does occur should correlate with genuine structural distance of the new domain from the existing template library rather than with content novelty.</w:t>
      </w:r>
    </w:p>
    <w:p>
      <w:pPr>
        <w:spacing w:before="0" w:after="160" w:line="320" w:lineRule="auto"/>
        <w:jc w:val="left"/>
      </w:pPr>
      <w:r>
        <w:rPr>
          <w:rFonts w:ascii="Arial" w:cs="Arial" w:eastAsia="Arial" w:hAnsi="Arial"/>
          <w:sz w:val="24"/>
          <w:szCs w:val="24"/>
        </w:rPr>
        <w:t xml:space="preserve">The backlog consequence: The hippocampal template store continues accumulating on inputs that are structurally novel enough to register as schema-inconsistent — these become rarer as the library grows, but the world has unlimited structural depth and genuinely novel inputs still exist. Schema-consistent information, by contrast, is rapidly assimilated via expedited cortical consolidation without requiring new hippocampal episodic encoding (Tzakis et al., 2024, Philosophical Transactions of the Royal Society B). The DMN weak-edge traversal continues running on already-held templates during rest, finding new relational connections within the existing library. Sub-threshold traversal continues producing results. What stops is the output valve: the environment is not providing input that carries enough structural novelty to clear the AG filter and require new hippocampal encoding. Behavioral output drops while background processing on existing templates continues. The system is not running out of capacity. It is running out of frontier problems in the current environment.</w:t>
      </w:r>
    </w:p>
    <w:p>
      <w:pPr>
        <w:spacing w:before="0" w:after="160" w:line="320" w:lineRule="auto"/>
        <w:jc w:val="left"/>
      </w:pPr>
      <w:r>
        <w:rPr>
          <w:rFonts w:ascii="Arial" w:cs="Arial" w:eastAsia="Arial" w:hAnsi="Arial"/>
          <w:sz w:val="24"/>
          <w:szCs w:val="24"/>
        </w:rPr>
        <w:t xml:space="preserve">On this account, the wall is the library succeeding at its own job. The same AG convergence mechanism and ACh-weighted FQ1 propagation that enables rapid domain acquisition and cross-domain synthesis is the mechanism that eventually catches almost everything in a sufficiently large template store operating in a fixed environment. The model predicts the system has not changed — the environment has been exhausted of structurally novel problems at the operating layer. FQ3 Detection silence is the downstream consequence — the ACC stops generating error signal when every incoming domain correctly matches a held template. That silence has cascade consequences described in Section 6.2.</w:t>
      </w:r>
    </w:p>
    <w:p>
      <w:pPr>
        <w:spacing w:before="0" w:after="160" w:line="320" w:lineRule="auto"/>
        <w:jc w:val="left"/>
      </w:pPr>
      <w:r>
        <w:rPr>
          <w:rFonts w:ascii="Arial" w:cs="Arial" w:eastAsia="Arial" w:hAnsi="Arial"/>
          <w:sz w:val="24"/>
          <w:szCs w:val="24"/>
        </w:rPr>
        <w:t xml:space="preserve">A note on what produces the cascade: the architecture is correctly adapted for environments with continuous structural novelty supply — the high-novelty, varied environments in which the detection-and-acquisition cycle evolved to operate. In a fixed, low-novelty institutional environment, the architecture's regulatory systems are activated by Detection (seeking inputs that clear the filter) without the expected return to equilibrium through novelty engagement. The cascade is not from the architecture failing. It is from an architecture optimized for one class of environment being placed in a different class of environment. Allostatic load — the physiological cost of chronic activation of systems that normally return to baseline — accumulates when the expected regulatory cycle cannot complete. The mechanism is correct. The environment is the wrong substrate for it.</w:t>
      </w:r>
    </w:p>
    <w:p>
      <w:pPr>
        <w:pStyle w:val="Heading3"/>
        <w:spacing w:before="180" w:after="80"/>
      </w:pPr>
      <w:r>
        <w:rPr>
          <w:rFonts w:ascii="Arial" w:cs="Arial" w:eastAsia="Arial" w:hAnsi="Arial"/>
          <w:b/>
          <w:bCs/>
          <w:color w:val="2E5A96"/>
          <w:sz w:val="24"/>
          <w:szCs w:val="24"/>
        </w:rPr>
        <w:t xml:space="preserve">6.1.1 The Iatrogenic Cascade: How the Wall Label Creates the Wall Experience</w:t>
      </w:r>
    </w:p>
    <w:p>
      <w:pPr>
        <w:spacing w:before="0" w:after="160" w:line="320" w:lineRule="auto"/>
        <w:jc w:val="left"/>
      </w:pPr>
      <w:r>
        <w:rPr>
          <w:rFonts w:ascii="Arial" w:cs="Arial" w:eastAsia="Arial" w:hAnsi="Arial"/>
          <w:sz w:val="24"/>
          <w:szCs w:val="24"/>
        </w:rPr>
        <w:t xml:space="preserve">The wall label does not merely misdescribe what is happening. It actively produces the experience it claims to describe, through a specific neurobiological mechanism.</w:t>
      </w:r>
    </w:p>
    <w:p>
      <w:pPr>
        <w:spacing w:before="0" w:after="160" w:line="320" w:lineRule="auto"/>
        <w:jc w:val="left"/>
      </w:pPr>
      <w:r>
        <w:rPr>
          <w:rFonts w:ascii="Arial" w:cs="Arial" w:eastAsia="Arial" w:hAnsi="Arial"/>
          <w:sz w:val="24"/>
          <w:szCs w:val="24"/>
        </w:rPr>
        <w:t xml:space="preserve">The filter signal is a navigation output: structural redundancy detected, encoding gate closed, pivot recommended. This is correct operation. The appropriate response is lateral movement — find a domain or problem space where the structural template store has genuine gaps, and the filter clears. Gifted individuals who follow this signal continuously — who treat the filter output as the navigation instruction it is and keep moving across structural frontiers — do not experience a wall. They experience the normal operating tempo of the architecture: rapid acquisition in each new territory until the structural layer is mapped, then movement to the next frontier. The architecture is built for this. The domain-jumping that looks scattered or unfocused from outside is the mechanism running correctly.</w:t>
      </w:r>
    </w:p>
    <w:p>
      <w:pPr>
        <w:spacing w:before="0" w:after="160" w:line="320" w:lineRule="auto"/>
        <w:jc w:val="left"/>
      </w:pPr>
      <w:r>
        <w:rPr>
          <w:rFonts w:ascii="Arial" w:cs="Arial" w:eastAsia="Arial" w:hAnsi="Arial"/>
          <w:sz w:val="24"/>
          <w:szCs w:val="24"/>
        </w:rPr>
        <w:t xml:space="preserve">The problem arises from the collision between this architecture and neurotypical persistence norms. The standard instruction given to gifted individuals — in schools, in careers, in institutional contexts — is the same instruction given to everyone: when you encounter difficulty, apply more effort, push through, persist. This instruction is correct for the standard profile, where difficulty signals incomplete processing that additional effort can resolve. For the gifted profile encountering the filter signal, it is the maximally wrong response. The encoding gate does not open under repetition of structurally redundant input. Repetition is precisely the class of input the gate is designed to ignore — the CA3 pattern match has already confirmed the structural content is held, and no quantity of re-presentation changes that confirmation. Pushing harder does not open the gate. It confirms the match faster.</w:t>
      </w:r>
    </w:p>
    <w:p>
      <w:pPr>
        <w:spacing w:before="0" w:after="160" w:line="320" w:lineRule="auto"/>
        <w:jc w:val="left"/>
      </w:pPr>
      <w:r>
        <w:rPr>
          <w:rFonts w:ascii="Arial" w:cs="Arial" w:eastAsia="Arial" w:hAnsi="Arial"/>
          <w:sz w:val="24"/>
          <w:szCs w:val="24"/>
        </w:rPr>
        <w:t xml:space="preserve">Within this framework, the signal generated by the filter is best interpreted as a navigation signal rather than a deficit signal. Structural redundancy has been detected, the probability of new encoding is low, and lateral movement toward a more structurally distant problem space is likely to be more adaptive than repeated effort applied to the same layer. Individuals who respond to this signal by moving across domains may therefore experience less of what is later described as "the wall."</w:t>
      </w:r>
    </w:p>
    <w:p>
      <w:pPr>
        <w:spacing w:before="0" w:after="160" w:line="320" w:lineRule="auto"/>
        <w:jc w:val="left"/>
      </w:pPr>
      <w:r>
        <w:rPr>
          <w:rFonts w:ascii="Arial" w:cs="Arial" w:eastAsia="Arial" w:hAnsi="Arial"/>
          <w:sz w:val="24"/>
          <w:szCs w:val="24"/>
        </w:rPr>
        <w:t xml:space="preserve">The difficulty arises when this signal is interpreted through conventional persistence norms. In many educational and occupational settings, the standard response to blockage is increased effort directed at the same material. The present model predicts that this response is poorly matched to structural saturation. If the relevant problem is not insufficient effort but repeated exposure to already-matched structure, then pushing harder against the same material will not reliably reopen the gate. Instead, it is likely to reproduce the same filter outcome and intensify the subjective experience of stuckness. Over time, the person may infer that a former capacity has been lost, when the more accurate explanation may be that the current environment no longer contains enough structural novelty at the relevant layer.</w:t>
      </w:r>
    </w:p>
    <w:p>
      <w:pPr>
        <w:spacing w:before="0" w:after="160" w:line="320" w:lineRule="auto"/>
        <w:jc w:val="left"/>
      </w:pPr>
      <w:r>
        <w:rPr>
          <w:rFonts w:ascii="Arial" w:cs="Arial" w:eastAsia="Arial" w:hAnsi="Arial"/>
          <w:sz w:val="24"/>
          <w:szCs w:val="24"/>
        </w:rPr>
        <w:t xml:space="preserve">This is the sense in which the wall narrative may become partially self-reinforcing. If people are taught that the sensation of flatness or disengagement means they have reached an internal ceiling, they may continue applying the very strategy least likely to restore engagement. The resulting failure then appears to confirm the original interpretation. The framework therefore does not require the wall label to be wholly false in lived experience; it argues instead that the label may contribute to stabilizing the experience it attempts to explain. That claim has experimental grounding: Snyder et al. (2014, Journal of Educational Psychology) showed that gifted students exposed to an entity-framed message about giftedness following a failure experience engaged in significantly greater behavioral self-handicapping than those exposed to an incremental message — reduced practice, avoided challenge, and protected performance image at the expense of actual engagement. The wall label is precisely an entity frame, and the entity-primed response is self-protective avoidance rather than lateral movement toward structural novelty.</w:t>
      </w:r>
    </w:p>
    <w:p>
      <w:pPr>
        <w:spacing w:before="0" w:after="160" w:line="320" w:lineRule="auto"/>
        <w:jc w:val="left"/>
      </w:pPr>
      <w:r>
        <w:rPr>
          <w:rFonts w:ascii="Arial" w:cs="Arial" w:eastAsia="Arial" w:hAnsi="Arial"/>
          <w:sz w:val="24"/>
          <w:szCs w:val="24"/>
        </w:rPr>
        <w:t xml:space="preserve">That claim should be stated with care. The paper does not show that all wall experiences are socially manufactured, nor that persistence norms are universally harmful. The narrower claim is that, for a subset of gifted individuals operating in structurally saturated environments, a "push through it" response may be mechanistically mismatched and may deepen the downstream mismatch cascade rather than resolve it. Two parallel biological cascades then proceed: LC phasic firing drops (Detection silence), reducing NE arousal and motivation; and the chronic uncontrollable mismatch environment activates the HPA axis via CRF/PVN pathways, the standard route by which psychological stressors elevate cortisol. These are parallel tracks from the same upstream cause, described in Section 6.2.</w:t>
      </w:r>
    </w:p>
    <w:p>
      <w:pPr>
        <w:spacing w:before="0" w:after="160" w:line="320" w:lineRule="auto"/>
        <w:jc w:val="left"/>
      </w:pPr>
      <w:r>
        <w:rPr>
          <w:rFonts w:ascii="Arial" w:cs="Arial" w:eastAsia="Arial" w:hAnsi="Arial"/>
          <w:sz w:val="24"/>
          <w:szCs w:val="24"/>
        </w:rPr>
        <w:t xml:space="preserve">This cascade tends to be self-reinforcing: the failure experience is interpreted as evidence that the wall prediction was correct, which reinforces the persistence strategy, which deepens the cascade. The exit — recognizing that the filter signal is correct and the persistence response is mismatched to it — is not intuitive from inside the cascade. It requires a framework for what the filter signal means, which is what this paper is intended to provide.</w:t>
      </w:r>
    </w:p>
    <w:p>
      <w:pPr>
        <w:spacing w:before="0" w:after="160" w:line="320" w:lineRule="auto"/>
        <w:jc w:val="left"/>
      </w:pPr>
      <w:r>
        <w:rPr>
          <w:rFonts w:ascii="Arial" w:cs="Arial" w:eastAsia="Arial" w:hAnsi="Arial"/>
          <w:sz w:val="24"/>
          <w:szCs w:val="24"/>
        </w:rPr>
        <w:t xml:space="preserve">The population consequence: gifted individuals who were never told about the wall, or who were raised in environments that normalized and rewarded lateral movement across domains, do not report the wall experience. Those placed in fixed institutional or occupational environments and trained in neurotypical persistence norms show the full cascade. On this account, the wall is not a property of the architecture. It is better understood as a property of the interaction between a specific architecture, a fixed environment, and a trained response to filter signals that is poorly matched to that architecture.</w:t>
      </w:r>
    </w:p>
    <w:p>
      <w:pPr>
        <w:pStyle w:val="Heading2"/>
        <w:spacing w:before="240" w:after="120"/>
      </w:pPr>
      <w:r>
        <w:rPr>
          <w:rFonts w:ascii="Arial" w:cs="Arial" w:eastAsia="Arial" w:hAnsi="Arial"/>
          <w:b/>
          <w:bCs/>
          <w:color w:val="2E5A96"/>
          <w:sz w:val="28"/>
          <w:szCs w:val="28"/>
        </w:rPr>
        <w:t xml:space="preserve">6.2 The HPA Cascade</w:t>
      </w:r>
    </w:p>
    <w:p>
      <w:pPr>
        <w:spacing w:before="0" w:after="160" w:line="320" w:lineRule="auto"/>
        <w:jc w:val="left"/>
      </w:pPr>
      <w:r>
        <w:rPr>
          <w:rFonts w:ascii="Arial" w:cs="Arial" w:eastAsia="Arial" w:hAnsi="Arial"/>
          <w:sz w:val="24"/>
          <w:szCs w:val="24"/>
        </w:rPr>
        <w:t xml:space="preserve">Environmental mismatch, as modeled here, is proposed to have two biologically distinct downstream consequences. The distinction matters because these tracks are not identical: reduced phasic LC signaling alone would not predict elevated cortisol; if anything, acute LC downshifts can reduce HPA excitation. The cortisol component therefore requires a separate driver, and the present framework locates that driver in the chronic uncontrollability of the mismatch environment rather than in novelty deprivation alone. What is well established is the underlying stress biology — novelty, uncertainty, blocked goal pursuit, and uncontrollable environments are all established activators of the HPA axis, and boredom itself can produce measurable cortisol elevation. What is more integrative is the proposal that chronic architectural mismatch constitutes this class of stressor profile. That hierarchy is stated explicitly throughout this section: Tier A for individual mechanisms, Tier B or C where the integration is the framework's own contribution.</w:t>
      </w:r>
    </w:p>
    <w:p>
      <w:pPr>
        <w:spacing w:before="0" w:after="160" w:line="320" w:lineRule="auto"/>
        <w:jc w:val="left"/>
      </w:pPr>
      <w:r>
        <w:rPr>
          <w:rFonts w:ascii="Arial" w:cs="Arial" w:eastAsia="Arial" w:hAnsi="Arial"/>
          <w:sz w:val="24"/>
          <w:szCs w:val="24"/>
        </w:rPr>
        <w:t xml:space="preserve">Environmental mismatch produces two biologically distinct downstream consequences that interact but are mechanistically separable. The first is LC-mediated: Detection silence — the absence of the structural novelty input that sustains LC phasic firing — reduces NE release, lowering arousal baseline, impairing motivation and reward-circuit engagement, and producing the phenomenology of cognitive flatness and disengagement. The LC is an HPA-excitatory region; reduced LC phasic firing alone would if anything reduce acute cortisol responses (Ziegler et al., 1999, Journal of Neuroendocrinology, 11:361; Tier A). The second cascade is HPA-mediated and runs on a separate pathway: the chronic uncontrollable nature of the mismatch environment constitutes a psychological stressor, activating CRF release from the PVN and driving the HPA axis via the standard stressor pathway (Tsigos and Chrousos, 2002). Novelty, uncertainty, uncontrollable environments, and thwarted goal-directed activity are all established triggers of the cortisol response (Tier A). What is novel (Tier B) is the proposal that architectural mismatch — a structurally sophisticated cognitive system chronically deprived of the input class it is calibrated for — constitutes this class of uncontrollable environmental stressor. The full mismatch-to-dual-cascade as a unified account is Tier C.</w:t>
      </w:r>
    </w:p>
    <w:p>
      <w:pPr>
        <w:spacing w:before="0" w:after="160" w:line="320" w:lineRule="auto"/>
        <w:jc w:val="left"/>
      </w:pPr>
      <w:r>
        <w:rPr>
          <w:rFonts w:ascii="Arial" w:cs="Arial" w:eastAsia="Arial" w:hAnsi="Arial"/>
          <w:sz w:val="24"/>
          <w:szCs w:val="24"/>
        </w:rPr>
        <w:t xml:space="preserve">Track 1 (LC-NE): Detection silence → reduced LC phasic firing → reduced NE at VTA α1/α2 adrenoceptors → reduced VTA DA neuron drive → phasic DA reward signal dropout → anhedonic and motivationally flat presentation. The LC-VTA circuit is established: LC NE projects to VTA DA neurons via adrenoceptors and phasic LC stimulation evokes DA release in downstream reward targets (Bernacka et al., 2022, Neuropharmacology, 220:109258; Wilmot et al., 2024, eLife, 12:RP91465). Reduced phasic LC output therefore propagates directly into reduced phasic DA reward signaling — not as inference but as confirmed circuit anatomy. Track 2 (HPA): Chronic uncontrollable mismatch → PVN CRF release → elevated ACTH → elevated cortisol → GR resistance (chronic state) → downstream branches. The LC and HPA tracks interact but the primary HPA driver is the psychological-stressor pathway. The stressor class most relevant to architectural mismatch is not acute threat but chronic uncontrollability and thwarted goal pursuit — the condition where effort repeatedly fails to resolve the constraint. Dickerson and Kemeny (2004, Psychological Bulletin, 130:355) conducted a meta-analysis of 208 laboratory studies and established that uncontrollable and socially evaluative stressors are the specific conditions that reliably produce cortisol elevation; controllable tasks do not reliably activate the HPA axis even when effortful. Architectural mismatch fits this profile precisely: the individual cannot resolve the filter saturation by effort, the environment does not supply the input class required, and the constraint is uncontrollable from within the fixed setting. The boredom phenomenology of the mismatch state has an additional cortisol component: Clay et al. (2024, Physiology &amp; Behavior, 284:114637) found elevated salivary cortisol following a boring task specifically in high trait-impulsivity individuals — a conditional finding that does not generalize to all populations, but confirms that the cognitive underload state can activate the HPA axis in individuals whose detection architecture sustains a heightened novelty-seeking drive. Track 2 remains Tier B: the individual stress physiology components are Tier A; their application to the architectural mismatch context as a unified cascade is the framework's integrative contribution.</w:t>
      </w:r>
    </w:p>
    <w:p>
      <w:pPr>
        <w:spacing w:before="0" w:after="160" w:line="320" w:lineRule="auto"/>
        <w:jc w:val="left"/>
      </w:pPr>
      <w:r>
        <w:rPr>
          <w:rFonts w:ascii="Arial" w:cs="Arial" w:eastAsia="Arial" w:hAnsi="Arial"/>
          <w:sz w:val="24"/>
          <w:szCs w:val="24"/>
        </w:rPr>
        <w:t xml:space="preserve">Note on cortisol driver specificity: CRH output from the paraventricular nucleus (PVN) has three independent inputs that each require separate resolution. The central nucleus of the amygdala (CeA) drives acute threat-related cortisol spikes; the bed nucleus of the stria terminalis (BNST) drives sustained/anticipated threat cortisol; and the subgenual ACC (sgACC) drives tonic ruminative-state cortisol via BNST → PVN (sgACC does not project directly to PVN in most species). The environmental mismatch cascade maps primarily onto the sgACC → BNST → PVN arm: the tonic, low-signal state of a chronically under-stimulated detection architecture is a ruminative state, not an acute threat. This distinction matters clinically because each driver requires a different intervention for cortisol normalization; treating the CeA arm (acute anxiety protocols) in a mismatch case addresses the wrong driver.</w:t>
      </w:r>
    </w:p>
    <w:p>
      <w:pPr>
        <w:spacing w:before="0" w:after="160" w:line="320" w:lineRule="auto"/>
        <w:jc w:val="left"/>
      </w:pPr>
      <w:r>
        <w:rPr>
          <w:rFonts w:ascii="Arial" w:cs="Arial" w:eastAsia="Arial" w:hAnsi="Arial"/>
          <w:sz w:val="24"/>
          <w:szCs w:val="24"/>
        </w:rPr>
        <w:t xml:space="preserve">Hippocampal branch (Tier A for GR mechanism; Tier B for application to mismatch context): GR resistance suppresses hippocampal LTP. FQ5 Refinement requires the ACh × NE coincidence gate to open; NE suppression from LC downregulation reduces gate opening frequency. Learning in the mismatched environment is structurally impaired even when content is interesting. Existing deep encoding from prior matched environments is preserved; new encoding slows.</w:t>
      </w:r>
    </w:p>
    <w:p>
      <w:pPr>
        <w:spacing w:before="0" w:after="160" w:line="320" w:lineRule="auto"/>
        <w:jc w:val="left"/>
      </w:pPr>
      <w:r>
        <w:rPr>
          <w:rFonts w:ascii="Arial" w:cs="Arial" w:eastAsia="Arial" w:hAnsi="Arial"/>
          <w:sz w:val="24"/>
          <w:szCs w:val="24"/>
        </w:rPr>
        <w:t xml:space="preserve">Immune branch: GR resistance allows pro-inflammatory cytokine escape. IL-6, TNF-α, and IL-1β rise chronically. The cytokine elevation activates IDO1 (indoleamine 2,3-dioxygenase), shunting tryptophan toward the kynurenine pathway rather than serotonin synthesis. The inflammatory branch of this pathway (via KMO enzyme) produces quinolinic acid (QUIN), an NMDA receptor agonist with excitotoxic properties that directly suppresses hippocampal LTP (Tier B for each step; Tier C for the unified cascade as a driver of mismatch-specific hippocampal degradation). This creates a second, independent attack on the hippocampal branch: cytokine escape → QUIN → hippocampal LTP suppression compounds the GR-mediated suppression described above. These two mechanisms are additive and require separate interventions — GR restoration does not resolve the QUIN pathway.</w:t>
      </w:r>
    </w:p>
    <w:p>
      <w:pPr>
        <w:spacing w:before="0" w:after="160" w:line="320" w:lineRule="auto"/>
        <w:jc w:val="left"/>
      </w:pPr>
      <w:r>
        <w:rPr>
          <w:rFonts w:ascii="Arial" w:cs="Arial" w:eastAsia="Arial" w:hAnsi="Arial"/>
          <w:sz w:val="24"/>
          <w:szCs w:val="24"/>
        </w:rPr>
        <w:t xml:space="preserve">Autonomic branch — measurable without neuroimaging: Chronic LC downregulation and sustained sympathetic predominance reduce heart rate variability (HRV). HRV-RMSSD is the standard clinical proxy for vagal tone and sympathetic-parasympathetic balance (Tier A). The connection between sgACC hyperactivation and HRV reduction is now causally established: Alexander et al. (2020, Nature Communications) demonstrated in primates that targeted overactivation of sgACC/25 directly reduces vagal tone and HRV, alters cortisol dynamics during stress, and heightens reactivity to threat — effects accompanied by altered activity in the amygdala, hypothalamus, and dlPFC. This means the HRV reduction predicted in the mismatch state is not merely a correlate of chronic stress; it is a direct downstream consequence of sgACC hyperactivation in the ruminative cortisol arm. The sgACC → BNST → PVN cortisol pathway and the sgACC → HRV reduction share the same causal source. Baroreflex gain — the change in RR interval per unit change in mean arterial pressure — is a second quantitative measure; healthy adults maintain gains of approximately 15-25 ms/mmHg, and gain below 3 ms/mmHg is associated with markedly elevated cardiovascular mortality (Tier A). Chronic architectural mismatch → sgACC hyperactivation → HRV reduction and baroreflex gain impairment, both accessible with a standard wearable device or clinical ECG.</w:t>
      </w:r>
    </w:p>
    <w:p>
      <w:pPr>
        <w:spacing w:before="0" w:after="160" w:line="320" w:lineRule="auto"/>
        <w:jc w:val="left"/>
      </w:pPr>
      <w:r>
        <w:rPr>
          <w:rFonts w:ascii="Arial" w:cs="Arial" w:eastAsia="Arial" w:hAnsi="Arial"/>
          <w:sz w:val="24"/>
          <w:szCs w:val="24"/>
        </w:rPr>
        <w:t xml:space="preserve">Metabolic branch: Cortisol chronically elevated drives abdominal fat deposition, insulin resistance, and leptin dysregulation. Metabolic syndrome as a downstream consequence of cognitive architectural mismatch is not an obvious connection; the mechanism is the HPA cascade.</w:t>
      </w:r>
    </w:p>
    <w:p>
      <w:pPr>
        <w:spacing w:before="0" w:after="160" w:line="320" w:lineRule="auto"/>
        <w:jc w:val="left"/>
      </w:pPr>
      <w:r>
        <w:rPr>
          <w:rFonts w:ascii="Arial" w:cs="Arial" w:eastAsia="Arial" w:hAnsi="Arial"/>
          <w:sz w:val="24"/>
          <w:szCs w:val="24"/>
        </w:rPr>
        <w:t xml:space="preserve">Sleep branch: Flattened cortisol diurnal rhythm disrupts slow-wave sleep architecture. FQ4 Accumulation (hippocampal consolidation and slow-wave integration) depends on sleep architecture. Disrupted slow-wave sleep reduces consolidation efficiency. Note on serotonin directionality: DRN neurons project to different targets with opposing valence tuning — VTA-projecting DR neurons are reward-tuned while BNST-projecting DR neurons are anxiety-tuned. In the chronic mismatch state, the BNST-projecting DR arm is upregulated while the VTA-projecting arm is downregulated (reward signal absent). This produces the specific clinical signature of anxiety plus anhedonia — not a flat serotonin deficiency, but a valence-directional shift in which arm of the DRN is dominant. The framework predicts that environmental matching that re-activates the reward-tuned arm is the rate-limiting intervention step.</w:t>
      </w:r>
    </w:p>
    <w:p>
      <w:pPr>
        <w:pStyle w:val="Heading2"/>
        <w:spacing w:before="240" w:after="120"/>
      </w:pPr>
      <w:r>
        <w:rPr>
          <w:rFonts w:ascii="Arial" w:cs="Arial" w:eastAsia="Arial" w:hAnsi="Arial"/>
          <w:b/>
          <w:bCs/>
          <w:color w:val="2E5A96"/>
          <w:sz w:val="28"/>
          <w:szCs w:val="28"/>
        </w:rPr>
        <w:t xml:space="preserve">6.3 The Peripheral Detection Analog</w:t>
      </w:r>
    </w:p>
    <w:p>
      <w:pPr>
        <w:spacing w:before="0" w:after="160" w:line="320" w:lineRule="auto"/>
        <w:jc w:val="left"/>
      </w:pPr>
      <w:r>
        <w:rPr>
          <w:rFonts w:ascii="Arial" w:cs="Arial" w:eastAsia="Arial" w:hAnsi="Arial"/>
          <w:sz w:val="24"/>
          <w:szCs w:val="24"/>
        </w:rPr>
        <w:t xml:space="preserve">The five-operation framework predicts a structural analog: the same biological parameter that sets high Detection sensitivity in the neural system may also govern detection threshold in the peripheral immune system, where the adaptive immune cascade performs pattern-discrimination analogous to FQ3. Elevated Detection sensitivity in the immune system would manifest as heightened reactivity to environmental patterns — allergy and hypersensitivity conditions.</w:t>
      </w:r>
    </w:p>
    <w:p>
      <w:pPr>
        <w:spacing w:before="0" w:after="160" w:line="320" w:lineRule="auto"/>
        <w:jc w:val="left"/>
      </w:pPr>
      <w:r>
        <w:rPr>
          <w:rFonts w:ascii="Arial" w:cs="Arial" w:eastAsia="Arial" w:hAnsi="Arial"/>
          <w:sz w:val="24"/>
          <w:szCs w:val="24"/>
        </w:rPr>
        <w:t xml:space="preserve">The candidate bridge parameter is glucocorticoid receptor (GR) sensitivity, which is expressed in both neural and peripheral immune tissue and governs signal suppression thresholds in both systems. This is a structural analogy with a plausible molecular candidate, not a demonstrated mechanistic identity. Karpinski et al. (2018) reported higher self-reported asthma, allergies, and autoimmune disease in American Mensa members (IQ ≥ 130); Benbow (1986) found elevated left-handedness, allergies, and myopia in a highly gifted SMPY sample. A preregistered replication in European Mensa members did not find elevated allergy or autoimmune prevalence (Reutlinger et al., 2022). The framework predicts this mixing: the association should appear most strongly in profiles where the Detection sensitivity parameter is highest (roughly ~175+ tier) and weakest or absent where the parameter is more moderate (~130-144 tier). Population-level studies that collapse across tiers will produce mixed results; the tier-stratified prediction is the correct falsification target.</w:t>
      </w:r>
    </w:p>
    <w:p>
      <w:pPr>
        <w:pStyle w:val="Heading2"/>
        <w:spacing w:before="240" w:after="120"/>
      </w:pPr>
      <w:r>
        <w:rPr>
          <w:rFonts w:ascii="Arial" w:cs="Arial" w:eastAsia="Arial" w:hAnsi="Arial"/>
          <w:b/>
          <w:bCs/>
          <w:color w:val="2E5A96"/>
          <w:sz w:val="28"/>
          <w:szCs w:val="28"/>
        </w:rPr>
        <w:t xml:space="preserve">6.4 Sleep Architecture</w:t>
      </w:r>
    </w:p>
    <w:p>
      <w:pPr>
        <w:spacing w:before="0" w:after="160" w:line="320" w:lineRule="auto"/>
        <w:jc w:val="left"/>
      </w:pPr>
      <w:r>
        <w:rPr>
          <w:rFonts w:ascii="Arial" w:cs="Arial" w:eastAsia="Arial" w:hAnsi="Arial"/>
          <w:sz w:val="24"/>
          <w:szCs w:val="24"/>
        </w:rPr>
        <w:t xml:space="preserve">Polysomnographic studies in children with high intellectual potential report atypical sleep macrostructure compared to typically developing peers, including elevated N1 instability, reduced or shifted N2/N3/REM distributions, and links between sleep instability and behavioral difficulties (Guignard-Perret et al., 2020; Bastien et al., 2023). At least one large longitudinal community cohort found no differences in parent-reported sleep problems between gifted and non-gifted children (Cook et al., 2020), so the population-level picture is mixed.</w:t>
      </w:r>
    </w:p>
    <w:p>
      <w:pPr>
        <w:spacing w:before="0" w:after="160" w:line="320" w:lineRule="auto"/>
        <w:jc w:val="left"/>
      </w:pPr>
      <w:r>
        <w:rPr>
          <w:rFonts w:ascii="Arial" w:cs="Arial" w:eastAsia="Arial" w:hAnsi="Arial"/>
          <w:sz w:val="24"/>
          <w:szCs w:val="24"/>
        </w:rPr>
        <w:t xml:space="preserve">The mechanistic prediction from the framework draws on the synaptic homeostasis account of slow-wave sleep function (Tononi and Cirelli, 2003; Cirelli and Tononi, 2015): more complex and densely connected knowledge graph states require more intensive consolidation during slow-wave sleep, and REM-associated memory reactivation should scale with knowledge graph richness. Altered sleep architecture in gifted profiles is a structural prediction from this account, not a side effect.</w:t>
      </w:r>
    </w:p>
    <w:p>
      <w:pPr>
        <w:spacing w:before="0" w:after="160" w:line="320" w:lineRule="auto"/>
        <w:jc w:val="left"/>
      </w:pPr>
      <w:r>
        <w:rPr>
          <w:rFonts w:ascii="Arial" w:cs="Arial" w:eastAsia="Arial" w:hAnsi="Arial"/>
          <w:sz w:val="24"/>
          <w:szCs w:val="24"/>
        </w:rPr>
        <w:t xml:space="preserve">Six distinct brain maintenance processes require the same gate condition (LC NE suppression + NREM): glymphatic waste clearance of amyloid-β, tau, and α-synuclein; hippocampal SWR → spindle nesting → memory consolidation; microglial synaptic pruning; oligodendrocyte myelin repair; metabolic restoration; and immune amplification. Any disruption to the NE↓ + NREM gate hits all six simultaneously. A denser structural knowledge graph generates higher demand on consolidation and pruning specifically. The predicted consequence is not merely impaired memory from sleep restriction; it is a multi-process maintenance deficit that scales with knowledge graph density. Gifted individuals under matched sleep restriction should show disproportionate decline across multiple domains simultaneously (cognitive, inflammatory, metabolic) compared to standard profiles under the same restriction.</w:t>
      </w:r>
    </w:p>
    <w:p>
      <w:pPr>
        <w:pStyle w:val="Heading2"/>
        <w:spacing w:before="240" w:after="120"/>
      </w:pPr>
      <w:r>
        <w:rPr>
          <w:rFonts w:ascii="Arial" w:cs="Arial" w:eastAsia="Arial" w:hAnsi="Arial"/>
          <w:b/>
          <w:bCs/>
          <w:color w:val="2E5A96"/>
          <w:sz w:val="28"/>
          <w:szCs w:val="28"/>
        </w:rPr>
        <w:t xml:space="preserve">6.5 Gut-Brain Axis</w:t>
      </w:r>
    </w:p>
    <w:p>
      <w:pPr>
        <w:spacing w:before="0" w:after="160" w:line="320" w:lineRule="auto"/>
        <w:jc w:val="left"/>
      </w:pPr>
      <w:r>
        <w:rPr>
          <w:rFonts w:ascii="Arial" w:cs="Arial" w:eastAsia="Arial" w:hAnsi="Arial"/>
          <w:sz w:val="24"/>
          <w:szCs w:val="24"/>
        </w:rPr>
        <w:t xml:space="preserve">Approximately 90% of serotonin is produced in the gut, though peripheral serotonin does not cross the blood-brain barrier directly. The gut-brain serotonin link operates primarily through the vagus nerve and enteric nervous system: gut microbiome composition governs tryptophan availability and conversion, which governs both peripheral and central serotonin synthesis pathways. CNS serotonin synthesis is indirectly coupled to gut microbiome state via tryptophan competition at the BBB. The CNS serotonin tonic floor — the signal level below which FQ4 Accumulation accumulates cortisol rather than completing cycles — is the relevant parameter.</w:t>
      </w:r>
    </w:p>
    <w:p>
      <w:pPr>
        <w:spacing w:before="0" w:after="160" w:line="320" w:lineRule="auto"/>
        <w:jc w:val="left"/>
      </w:pPr>
      <w:r>
        <w:rPr>
          <w:rFonts w:ascii="Arial" w:cs="Arial" w:eastAsia="Arial" w:hAnsi="Arial"/>
          <w:sz w:val="24"/>
          <w:szCs w:val="24"/>
        </w:rPr>
        <w:t xml:space="preserve">The serotonin floor supporting FQ4 Accumulation function is itself vulnerable in the mismatch state — a vulnerability that compounds the hippocampal degradation already underway from the HPA cascade. Gut dysbiosis — reduced microbiome diversity, impaired tryptophan metabolism — hits the serotonin floor via reduced plasma tryptophan availability reaching the dorsal raphe. In inflammatory states, a second pathway compounds hippocampal damage independently: IDO1 activation shunts tryptophan toward the kynurenine pathway → KMO enzyme → quinolinic acid (QUIN) → NMDA receptor agonism → hippocampal LTP suppression directly. This pathway operates in parallel with the serotonin floor reduction and with the GR-mediated LTP suppression from the HPA cascade — three separate mechanisms converging on the same hippocampal encoding gate (each component Tier A as established; unified mismatch-driven convergence is Tier C).</w:t>
      </w:r>
    </w:p>
    <w:p>
      <w:pPr>
        <w:spacing w:before="0" w:after="160" w:line="320" w:lineRule="auto"/>
        <w:jc w:val="left"/>
      </w:pPr>
      <w:r>
        <w:rPr>
          <w:rFonts w:ascii="Arial" w:cs="Arial" w:eastAsia="Arial" w:hAnsi="Arial"/>
          <w:sz w:val="24"/>
          <w:szCs w:val="24"/>
        </w:rPr>
        <w:t xml:space="preserve">Diet and gut health are therefore architectural parameters in this profile for two distinct reasons: tryptophan availability for the serotonin floor, and inflammatory state governing whether the QUIN pathway is activated. Restoration of microbiome diversity — through high-fiber diet, prebiotics, and in severe cases fecal microbiota transplantation — reduces QUIN production and reduces IDO1 activation, interrupting the cascade at Stage 1 before systemic amplification.</w:t>
      </w:r>
    </w:p>
    <w:p>
      <w:pPr>
        <w:pStyle w:val="Heading2"/>
        <w:spacing w:before="240" w:after="120"/>
      </w:pPr>
      <w:r>
        <w:rPr>
          <w:rFonts w:ascii="Arial" w:cs="Arial" w:eastAsia="Arial" w:hAnsi="Arial"/>
          <w:b/>
          <w:bCs/>
          <w:color w:val="2E5A96"/>
          <w:sz w:val="28"/>
          <w:szCs w:val="28"/>
        </w:rPr>
        <w:t xml:space="preserve">6.6 Exercise as Mismatch Countermeasure</w:t>
      </w:r>
    </w:p>
    <w:p>
      <w:pPr>
        <w:spacing w:before="0" w:after="160" w:line="320" w:lineRule="auto"/>
        <w:jc w:val="left"/>
      </w:pPr>
      <w:r>
        <w:rPr>
          <w:rFonts w:ascii="Arial" w:cs="Arial" w:eastAsia="Arial" w:hAnsi="Arial"/>
          <w:sz w:val="24"/>
          <w:szCs w:val="24"/>
        </w:rPr>
        <w:t xml:space="preserve">Exercise is the only known intervention that simultaneously addresses all four major channels through which architectural mismatch degrades hippocampal function. This claim warrants unpacking because it is not obvious from any single research literature — the four channels are distributed across musculoskeletal, metabolic, cardiovascular, and neurotrophic literature streams with minimal cross-citation. Taken together, they constitute the strongest available intervention for the mismatch cascade short of environmental restructuring.</w:t>
      </w:r>
    </w:p>
    <w:p>
      <w:pPr>
        <w:spacing w:before="0" w:after="160" w:line="320" w:lineRule="auto"/>
        <w:jc w:val="left"/>
      </w:pPr>
      <w:r>
        <w:rPr>
          <w:rFonts w:ascii="Arial" w:cs="Arial" w:eastAsia="Arial" w:hAnsi="Arial"/>
          <w:sz w:val="24"/>
          <w:szCs w:val="24"/>
        </w:rPr>
        <w:t xml:space="preserve">The four parallel channels, all activated by exercise and all suppressed by inactivity (Tier A for the exercise-activation of each; Tier B for the specific hippocampal circuit connections where noted):</w:t>
      </w:r>
    </w:p>
    <w:p>
      <w:pPr>
        <w:pStyle w:val="ListParagraph"/>
        <w:numPr>
          <w:ilvl w:val="0"/>
          <w:numId w:val="2"/>
        </w:numPr>
        <w:spacing w:before="0" w:after="80"/>
      </w:pPr>
      <w:r>
        <w:rPr>
          <w:rFonts w:ascii="Arial" w:cs="Arial" w:eastAsia="Arial" w:hAnsi="Arial"/>
          <w:sz w:val="24"/>
          <w:szCs w:val="24"/>
        </w:rPr>
        <w:t xml:space="preserve">Osteocalcin/GPR158: Skeletal loading during exercise releases osteocalcin from bone. Osteocalcin crosses the blood-brain barrier and binds GPR158 receptors on hippocampal neurons, upregulating BDNF synthesis, monoamine production (DA, 5-HT, NE), and autophagy. GPR158 activation directly supports hippocampal memory circuits and counters the DG neurogenesis suppression that chronic cortisol produces. Mechanism confirmed in mouse models; human observational data consistent (Tier B).</w:t>
      </w:r>
    </w:p>
    <w:p>
      <w:pPr>
        <w:pStyle w:val="ListParagraph"/>
        <w:numPr>
          <w:ilvl w:val="0"/>
          <w:numId w:val="2"/>
        </w:numPr>
        <w:spacing w:before="0" w:after="80"/>
      </w:pPr>
      <w:r>
        <w:rPr>
          <w:rFonts w:ascii="Arial" w:cs="Arial" w:eastAsia="Arial" w:hAnsi="Arial"/>
          <w:sz w:val="24"/>
          <w:szCs w:val="24"/>
        </w:rPr>
        <w:t xml:space="preserve">Irisin/αVβ5 integrin: Muscle contraction during exercise induces FNDC5 cleavage, releasing irisin. Irisin acts on hippocampal neurons via αVβ5 integrin receptors (receptor identified by cryo-EM; two-step mechanism via extracellular Hsp90α confirmed 2023) to upregulate BDNF expression and promote synaptic plasticity. Irisin also modulates adipose browning and bone remodeling, making it a broad metabolic signal with specific hippocampal plasticity effects (Tier B).</w:t>
      </w:r>
    </w:p>
    <w:p>
      <w:pPr>
        <w:pStyle w:val="ListParagraph"/>
        <w:numPr>
          <w:ilvl w:val="0"/>
          <w:numId w:val="2"/>
        </w:numPr>
        <w:spacing w:before="0" w:after="80"/>
      </w:pPr>
      <w:r>
        <w:rPr>
          <w:rFonts w:ascii="Arial" w:cs="Arial" w:eastAsia="Arial" w:hAnsi="Arial"/>
          <w:sz w:val="24"/>
          <w:szCs w:val="24"/>
        </w:rPr>
        <w:t xml:space="preserve">BDNF/TrkB: Skeletal muscle expresses and releases pro-BDNF during sustained exercise in a type I fiber-dependent manner; lactate augments circulating mature BDNF via the SIRT1/PGC-1α/FNDC5 pathway. Muscle-derived BDNF acts at TrkB receptors in the dentate gyrus to promote neurogenesis — directly countering the DG neurogenesis suppression produced by chronic cortisol (GR-mediated) and QUIN excitotoxicity (IDO1-mediated). TrkB signaling in DG is among the most well-characterized exercise-brain mechanisms (Tier A).</w:t>
      </w:r>
    </w:p>
    <w:p>
      <w:pPr>
        <w:pStyle w:val="ListParagraph"/>
        <w:numPr>
          <w:ilvl w:val="0"/>
          <w:numId w:val="2"/>
        </w:numPr>
        <w:spacing w:before="0" w:after="160"/>
      </w:pPr>
      <w:r>
        <w:rPr>
          <w:rFonts w:ascii="Arial" w:cs="Arial" w:eastAsia="Arial" w:hAnsi="Arial"/>
          <w:sz w:val="24"/>
          <w:szCs w:val="24"/>
        </w:rPr>
        <w:t xml:space="preserve">Lactate/HCAR1: Lactate produced during moderate-to-vigorous exercise acts at HCAR1 receptors in the hippocampus to stimulate angiogenesis and augment BDNF via the SIRT1/PGC-1α/FNDC5 pathway. This channel operates in parallel with the direct BDNF/TrkB channel and is proportional to exercise intensity (Tier B; human exercise-lactate correlation and lactate infusion data).</w:t>
      </w:r>
    </w:p>
    <w:p>
      <w:pPr>
        <w:spacing w:before="0" w:after="160" w:line="320" w:lineRule="auto"/>
        <w:jc w:val="left"/>
      </w:pPr>
      <w:r>
        <w:rPr>
          <w:rFonts w:ascii="Arial" w:cs="Arial" w:eastAsia="Arial" w:hAnsi="Arial"/>
          <w:sz w:val="24"/>
          <w:szCs w:val="24"/>
        </w:rPr>
        <w:t xml:space="preserve">The integration across channels: physical inactivity simultaneously suppresses all four pathways. No single pharmacological or behavioral intervention in standard clinical use activates all four channels simultaneously. Exercise is unique in its breadth of action across the mismatch cascade: it restores NE tonic baseline via LC normalization following exercise-induced arousal recovery, supports BDNF-driven hippocampal neurogenesis through all four channels simultaneously, counters QUIN-mediated excitotoxicity by reducing systemic inflammation through IL-6 exercise effects and microbiome support, and reduces the metabolic branch of the HPA cascade through insulin sensitivity improvement and abdominal fat reduction.</w:t>
      </w:r>
    </w:p>
    <w:p>
      <w:pPr>
        <w:spacing w:before="0" w:after="160" w:line="320" w:lineRule="auto"/>
        <w:jc w:val="left"/>
      </w:pPr>
      <w:r>
        <w:rPr>
          <w:rFonts w:ascii="Arial" w:cs="Arial" w:eastAsia="Arial" w:hAnsi="Arial"/>
          <w:sz w:val="24"/>
          <w:szCs w:val="24"/>
        </w:rPr>
        <w:t xml:space="preserve">For gifted individuals in chronic mismatch where environmental restructuring is delayed or constrained, exercise represents the only available intervention that simultaneously addresses the hippocampal branch (three mechanisms), the autonomic branch (HRV restoration), and the metabolic branch (cortisol normalization). This generates a specific clinical prediction: in gifted profiles with documented mismatch state (low RMSSD, elevated inflammatory markers, disrupted cortisol rhythm), a 12-week progressive aerobic exercise intervention should produce measurable improvement across all three branches concurrently. This has not been tested in this population.</w:t>
      </w:r>
    </w:p>
    <w:p>
      <w:pPr>
        <w:spacing w:before="0" w:after="80"/>
      </w:pPr>
      <w:r>
        <w:t xml:space="preserve"/>
      </w:r>
    </w:p>
    <w:p>
      <w:pPr>
        <w:pStyle w:val="Heading1"/>
        <w:spacing w:before="300" w:after="150"/>
      </w:pPr>
      <w:r>
        <w:rPr>
          <w:rFonts w:ascii="Arial" w:cs="Arial" w:eastAsia="Arial" w:hAnsi="Arial"/>
          <w:b/>
          <w:bCs/>
          <w:color w:val="1F3864"/>
          <w:sz w:val="32"/>
          <w:szCs w:val="32"/>
        </w:rPr>
        <w:t xml:space="preserve">7. Backward-Derived Biological Predictions</w:t>
      </w:r>
    </w:p>
    <w:p>
      <w:pPr>
        <w:spacing w:before="0" w:after="160" w:line="320" w:lineRule="auto"/>
        <w:jc w:val="left"/>
      </w:pPr>
      <w:r>
        <w:rPr>
          <w:rFonts w:ascii="Arial" w:cs="Arial" w:eastAsia="Arial" w:hAnsi="Arial"/>
          <w:sz w:val="24"/>
          <w:szCs w:val="24"/>
        </w:rPr>
        <w:t xml:space="preserve">A backward derivation from architectural necessity produces the following testable biological predictions. Each constitutes a potential falsification of the framework. Existing empirical status is noted where relevant.</w:t>
      </w:r>
    </w:p>
    <w:p>
      <w:pPr>
        <w:pStyle w:val="Heading2"/>
        <w:spacing w:before="240" w:after="120"/>
      </w:pPr>
      <w:r>
        <w:rPr>
          <w:rFonts w:ascii="Arial" w:cs="Arial" w:eastAsia="Arial" w:hAnsi="Arial"/>
          <w:b/>
          <w:bCs/>
          <w:color w:val="2E5A96"/>
          <w:sz w:val="28"/>
          <w:szCs w:val="28"/>
        </w:rPr>
        <w:t xml:space="preserve">7.1 Prediction Set A — Sub-Threshold Traversal</w:t>
      </w:r>
    </w:p>
    <w:p>
      <w:pPr>
        <w:pStyle w:val="ListParagraph"/>
        <w:numPr>
          <w:ilvl w:val="0"/>
          <w:numId w:val="2"/>
        </w:numPr>
        <w:spacing w:before="0" w:after="80"/>
      </w:pPr>
      <w:r>
        <w:rPr>
          <w:rFonts w:ascii="Arial" w:cs="Arial" w:eastAsia="Arial" w:hAnsi="Arial"/>
          <w:sz w:val="24"/>
          <w:szCs w:val="24"/>
        </w:rPr>
        <w:t xml:space="preserve">A1: Locus coeruleus BOLD signal will show lower amplitude relative to ACC activation depth in higher-tier gifted subjects on novel problem-solving tasks than in standard profiles. Requires concurrent LC and cortical imaging (7T feasible). Untested.</w:t>
      </w:r>
    </w:p>
    <w:p>
      <w:pPr>
        <w:pStyle w:val="ListParagraph"/>
        <w:numPr>
          <w:ilvl w:val="0"/>
          <w:numId w:val="2"/>
        </w:numPr>
        <w:spacing w:before="0" w:after="160"/>
      </w:pPr>
      <w:r>
        <w:rPr>
          <w:rFonts w:ascii="Arial" w:cs="Arial" w:eastAsia="Arial" w:hAnsi="Arial"/>
          <w:sz w:val="24"/>
          <w:szCs w:val="24"/>
        </w:rPr>
        <w:t xml:space="preserve">A2: Hippocampal CA3 pattern completion latency in higher-tier gifted profiles will be shorter for structural/relational retrieval tasks than content retrieval tasks, relative to standard profiles where this ratio should be approximately equal. Testable with high-temporal-resolution fMRI. Untested.</w:t>
      </w:r>
    </w:p>
    <w:p>
      <w:pPr>
        <w:pStyle w:val="Heading2"/>
        <w:spacing w:before="240" w:after="120"/>
      </w:pPr>
      <w:r>
        <w:rPr>
          <w:rFonts w:ascii="Arial" w:cs="Arial" w:eastAsia="Arial" w:hAnsi="Arial"/>
          <w:b/>
          <w:bCs/>
          <w:color w:val="2E5A96"/>
          <w:sz w:val="28"/>
          <w:szCs w:val="28"/>
        </w:rPr>
        <w:t xml:space="preserve">7.2 Prediction Set B — Serialization Wall</w:t>
      </w:r>
    </w:p>
    <w:p>
      <w:pPr>
        <w:pStyle w:val="ListParagraph"/>
        <w:numPr>
          <w:ilvl w:val="0"/>
          <w:numId w:val="2"/>
        </w:numPr>
        <w:spacing w:before="0" w:after="80"/>
      </w:pPr>
      <w:r>
        <w:rPr>
          <w:rFonts w:ascii="Arial" w:cs="Arial" w:eastAsia="Arial" w:hAnsi="Arial"/>
          <w:sz w:val="24"/>
          <w:szCs w:val="24"/>
        </w:rPr>
        <w:t xml:space="preserve">B1: N200 ERP latency will shorten disproportionately relative to speech onset latency at and above the ~145 IQ tier anchor (used here as a heuristic population marker, not an architecture-derived threshold). The widening N200-to-onset gap is the serialization wall made measurable. Testable with existing EEG/ERP + speech onset protocols in IQ-stratified samples. Untested.</w:t>
      </w:r>
    </w:p>
    <w:p>
      <w:pPr>
        <w:pStyle w:val="ListParagraph"/>
        <w:numPr>
          <w:ilvl w:val="0"/>
          <w:numId w:val="2"/>
        </w:numPr>
        <w:spacing w:before="0" w:after="160"/>
      </w:pPr>
      <w:r>
        <w:rPr>
          <w:rFonts w:ascii="Arial" w:cs="Arial" w:eastAsia="Arial" w:hAnsi="Arial"/>
          <w:sz w:val="24"/>
          <w:szCs w:val="24"/>
        </w:rPr>
        <w:t xml:space="preserve">B2: Frontoparietal detection pathway myelination (anterior cingulum bundle, SLF branches) will show faster IQ-dependent development than arcuate fasciculus myelination in longitudinal DTI samples. The crossover predicts the ~145-155 serialization threshold. Testable with pediatric longitudinal DTI. Untested.</w:t>
      </w:r>
    </w:p>
    <w:p>
      <w:pPr>
        <w:pStyle w:val="Heading2"/>
        <w:spacing w:before="240" w:after="120"/>
      </w:pPr>
      <w:r>
        <w:rPr>
          <w:rFonts w:ascii="Arial" w:cs="Arial" w:eastAsia="Arial" w:hAnsi="Arial"/>
          <w:b/>
          <w:bCs/>
          <w:color w:val="2E5A96"/>
          <w:sz w:val="28"/>
          <w:szCs w:val="28"/>
        </w:rPr>
        <w:t xml:space="preserve">7.3 Prediction Set C — ADHD-Giftedness Structural Identity</w:t>
      </w:r>
    </w:p>
    <w:p>
      <w:pPr>
        <w:pStyle w:val="ListParagraph"/>
        <w:numPr>
          <w:ilvl w:val="0"/>
          <w:numId w:val="2"/>
        </w:numPr>
        <w:spacing w:before="0" w:after="80"/>
      </w:pPr>
      <w:r>
        <w:rPr>
          <w:rFonts w:ascii="Arial" w:cs="Arial" w:eastAsia="Arial" w:hAnsi="Arial"/>
          <w:sz w:val="24"/>
          <w:szCs w:val="24"/>
        </w:rPr>
        <w:t xml:space="preserve">C1: Gifted individuals (~160+ tier proxy) without ADHD diagnosis will show lower tonic DA in PFC, measured via PET or CSF, relative to standard profiles. Directly falsifies the structural identity hypothesis if not found. Untested.</w:t>
      </w:r>
    </w:p>
    <w:p>
      <w:pPr>
        <w:pStyle w:val="ListParagraph"/>
        <w:numPr>
          <w:ilvl w:val="0"/>
          <w:numId w:val="2"/>
        </w:numPr>
        <w:spacing w:before="0" w:after="160"/>
      </w:pPr>
      <w:r>
        <w:rPr>
          <w:rFonts w:ascii="Arial" w:cs="Arial" w:eastAsia="Arial" w:hAnsi="Arial"/>
          <w:sz w:val="24"/>
          <w:szCs w:val="24"/>
        </w:rPr>
        <w:t xml:space="preserve">C2: In gifted individuals with co-occurring ADHD diagnosis, systematic environmental layer matching (problems at operating tier) will reduce inattentive symptom severity measurably more than the same intervention in ADHD-only controls. Testable with existing ADHD rating scales and a structured tier-matching protocol. Untested.</w:t>
      </w:r>
    </w:p>
    <w:p>
      <w:pPr>
        <w:pStyle w:val="Heading2"/>
        <w:spacing w:before="240" w:after="120"/>
      </w:pPr>
      <w:r>
        <w:rPr>
          <w:rFonts w:ascii="Arial" w:cs="Arial" w:eastAsia="Arial" w:hAnsi="Arial"/>
          <w:b/>
          <w:bCs/>
          <w:color w:val="2E5A96"/>
          <w:sz w:val="28"/>
          <w:szCs w:val="28"/>
        </w:rPr>
        <w:t xml:space="preserve">7.4 Prediction Set D — Angular Gyrus Filter</w:t>
      </w:r>
    </w:p>
    <w:p>
      <w:pPr>
        <w:pStyle w:val="ListParagraph"/>
        <w:numPr>
          <w:ilvl w:val="0"/>
          <w:numId w:val="2"/>
        </w:numPr>
        <w:spacing w:before="0" w:after="80"/>
      </w:pPr>
      <w:r>
        <w:rPr>
          <w:rFonts w:ascii="Arial" w:cs="Arial" w:eastAsia="Arial" w:hAnsi="Arial"/>
          <w:sz w:val="24"/>
          <w:szCs w:val="24"/>
        </w:rPr>
        <w:t xml:space="preserve">D1: In gifted adults (vs. earlier-life assessments), the same IQ test administered a second time at 10+ year interval will show lower activation in ACC and prefrontal cortex on structurally redundant items, consistent with AG filter suppression. The behavioral signature of engagement suppression should be measurable via EEG (reduced gamma power on redundant items). Consistent with Kuznetsova et al., 2024 systematic review findings. Partially consistent.</w:t>
      </w:r>
    </w:p>
    <w:p>
      <w:pPr>
        <w:pStyle w:val="ListParagraph"/>
        <w:numPr>
          <w:ilvl w:val="0"/>
          <w:numId w:val="2"/>
        </w:numPr>
        <w:spacing w:before="0" w:after="160"/>
      </w:pPr>
      <w:r>
        <w:rPr>
          <w:rFonts w:ascii="Arial" w:cs="Arial" w:eastAsia="Arial" w:hAnsi="Arial"/>
          <w:sz w:val="24"/>
          <w:szCs w:val="24"/>
        </w:rPr>
        <w:t xml:space="preserve">D2: Angular gyrus activation suppression on repeated-structure problems will be greater in higher-tier gifted profiles than standard profiles. The AG has more templates to match against; its suppression signal should be more rapidly triggered. Testable with fMRI paradigms using matched structural novelty/redundancy conditions. Untested.</w:t>
      </w:r>
    </w:p>
    <w:p>
      <w:pPr>
        <w:pStyle w:val="Heading2"/>
        <w:spacing w:before="240" w:after="120"/>
      </w:pPr>
      <w:r>
        <w:rPr>
          <w:rFonts w:ascii="Arial" w:cs="Arial" w:eastAsia="Arial" w:hAnsi="Arial"/>
          <w:b/>
          <w:bCs/>
          <w:color w:val="2E5A96"/>
          <w:sz w:val="28"/>
          <w:szCs w:val="28"/>
        </w:rPr>
        <w:t xml:space="preserve">7.5 Prediction Set E — HPA Mismatch Cascade</w:t>
      </w:r>
    </w:p>
    <w:p>
      <w:pPr>
        <w:pStyle w:val="ListParagraph"/>
        <w:numPr>
          <w:ilvl w:val="0"/>
          <w:numId w:val="2"/>
        </w:numPr>
        <w:spacing w:before="0" w:after="80"/>
      </w:pPr>
      <w:r>
        <w:rPr>
          <w:rFonts w:ascii="Arial" w:cs="Arial" w:eastAsia="Arial" w:hAnsi="Arial"/>
          <w:sz w:val="24"/>
          <w:szCs w:val="24"/>
        </w:rPr>
        <w:t xml:space="preserve">E1: Gifted adults (~145+ tier proxy) in occupationally mismatched environments will show lower HRV-RMSSD than age-matched gifted adults in structurally matched environments, after controlling for physical activity, age, and sleep quality. This prediction is measurable without neuroimaging using standard Holter monitoring or wearable HRV devices. Untested.</w:t>
      </w:r>
    </w:p>
    <w:p>
      <w:pPr>
        <w:pStyle w:val="ListParagraph"/>
        <w:numPr>
          <w:ilvl w:val="0"/>
          <w:numId w:val="2"/>
        </w:numPr>
        <w:spacing w:before="0" w:after="80"/>
      </w:pPr>
      <w:r>
        <w:rPr>
          <w:rFonts w:ascii="Arial" w:cs="Arial" w:eastAsia="Arial" w:hAnsi="Arial"/>
          <w:sz w:val="24"/>
          <w:szCs w:val="24"/>
        </w:rPr>
        <w:t xml:space="preserve">E2: Diurnal cortisol rhythm flatness in gifted adults (~145+ tier proxy) will correlate with years spent in environmentally mismatched occupations, assessed via salivary cortisol sampling, after controlling for age and total cortisol output. Untested.</w:t>
      </w:r>
    </w:p>
    <w:p>
      <w:pPr>
        <w:pStyle w:val="ListParagraph"/>
        <w:numPr>
          <w:ilvl w:val="0"/>
          <w:numId w:val="2"/>
        </w:numPr>
        <w:spacing w:before="0" w:after="160"/>
      </w:pPr>
      <w:r>
        <w:rPr>
          <w:rFonts w:ascii="Arial" w:cs="Arial" w:eastAsia="Arial" w:hAnsi="Arial"/>
          <w:sz w:val="24"/>
          <w:szCs w:val="24"/>
        </w:rPr>
        <w:t xml:space="preserve">E3: Gut microbiome diversity in gifted profiles will correlate with FQ4 patience window behavioral proxy more strongly than in standard profiles. Untested.</w:t>
      </w:r>
    </w:p>
    <w:p>
      <w:pPr>
        <w:pStyle w:val="Heading2"/>
        <w:spacing w:before="240" w:after="120"/>
      </w:pPr>
      <w:r>
        <w:rPr>
          <w:rFonts w:ascii="Arial" w:cs="Arial" w:eastAsia="Arial" w:hAnsi="Arial"/>
          <w:b/>
          <w:bCs/>
          <w:color w:val="2E5A96"/>
          <w:sz w:val="28"/>
          <w:szCs w:val="28"/>
        </w:rPr>
        <w:t xml:space="preserve">7.6 Prediction Set F — Analogical Read</w:t>
      </w:r>
    </w:p>
    <w:p>
      <w:pPr>
        <w:pStyle w:val="ListParagraph"/>
        <w:numPr>
          <w:ilvl w:val="0"/>
          <w:numId w:val="2"/>
        </w:numPr>
        <w:spacing w:before="0" w:after="80"/>
      </w:pPr>
      <w:r>
        <w:rPr>
          <w:rFonts w:ascii="Arial" w:cs="Arial" w:eastAsia="Arial" w:hAnsi="Arial"/>
          <w:sz w:val="24"/>
          <w:szCs w:val="24"/>
        </w:rPr>
        <w:t xml:space="preserve">F1: In gifted subjects encountering a new domain for which a structural isomorphism exists in held knowledge, angular gyrus activation will precede domain-specific cortical activation. In standard profiles, domain-specific activation will precede or accompany angular gyrus activation. This is the highest-priority falsification target in the paper. Testable with existing EEG or rapid fMRI. Untested in IQ-stratified samples; the causal AG substrate is confirmed for the general population (Grob et al., 2024).</w:t>
      </w:r>
    </w:p>
    <w:p>
      <w:pPr>
        <w:pStyle w:val="ListParagraph"/>
        <w:numPr>
          <w:ilvl w:val="0"/>
          <w:numId w:val="2"/>
        </w:numPr>
        <w:spacing w:before="0" w:after="160"/>
      </w:pPr>
      <w:r>
        <w:rPr>
          <w:rFonts w:ascii="Arial" w:cs="Arial" w:eastAsia="Arial" w:hAnsi="Arial"/>
          <w:sz w:val="24"/>
          <w:szCs w:val="24"/>
        </w:rPr>
        <w:t xml:space="preserve">F2: Domain acquisition rate in gifted profiles will scale with cross-domain structural distance rather than content volume. A domain structurally close to a held domain will be acquired faster than a structurally distant domain of equal content volume, and this effect will be disproportionately larger in higher-tier profiles. Testable with controlled domain acquisition studies in IQ-stratified adult samples. Untested.</w:t>
      </w:r>
    </w:p>
    <w:p>
      <w:pPr>
        <w:pStyle w:val="Heading2"/>
        <w:spacing w:before="240" w:after="120"/>
      </w:pPr>
      <w:r>
        <w:rPr>
          <w:rFonts w:ascii="Arial" w:cs="Arial" w:eastAsia="Arial" w:hAnsi="Arial"/>
          <w:b/>
          <w:bCs/>
          <w:color w:val="2E5A96"/>
          <w:sz w:val="28"/>
          <w:szCs w:val="28"/>
        </w:rPr>
        <w:t xml:space="preserve">7.7 Prediction Set G — Capacity Preservation and Wall Reactivation</w:t>
      </w:r>
    </w:p>
    <w:p>
      <w:pPr>
        <w:pStyle w:val="ListParagraph"/>
        <w:numPr>
          <w:ilvl w:val="0"/>
          <w:numId w:val="2"/>
        </w:numPr>
        <w:spacing w:before="0" w:after="80"/>
      </w:pPr>
      <w:r>
        <w:rPr>
          <w:rFonts w:ascii="Arial" w:cs="Arial" w:eastAsia="Arial" w:hAnsi="Arial"/>
          <w:sz w:val="24"/>
          <w:szCs w:val="24"/>
        </w:rPr>
        <w:t xml:space="preserve">G1: Gifted adults presenting with wall behavior (reduced engagement, reported plateau, occupational mismatch) will show bilateral prefrontal and parieto-frontal activation on genuinely novel structural problems indistinguishable from age-matched gifted adults not presenting with wall behavior. Normal aging predicts partial reactivation. Filter saturation predicts complete reactivation. This is the direct test of the capacity-intact claim central to this paper's thesis. Testable with fMRI in IQ-stratified adult samples with and without wall presentation. Untested.</w:t>
      </w:r>
    </w:p>
    <w:p>
      <w:pPr>
        <w:pStyle w:val="ListParagraph"/>
        <w:numPr>
          <w:ilvl w:val="0"/>
          <w:numId w:val="2"/>
        </w:numPr>
        <w:spacing w:before="0" w:after="160"/>
      </w:pPr>
      <w:r>
        <w:rPr>
          <w:rFonts w:ascii="Arial" w:cs="Arial" w:eastAsia="Arial" w:hAnsi="Arial"/>
          <w:sz w:val="24"/>
          <w:szCs w:val="24"/>
        </w:rPr>
        <w:t xml:space="preserve">G2: In gifted individuals presenting with wall behavior, domain-switching will produce substantially less relief than in domain-expert fatigue cases matched for years of professional experience. Relief when it occurs will correlate with structural distance of the new domain from the existing template library rather than with content novelty. This is the differential prediction separating gifted wall from expert domain fatigue. Testable with structured occupational survey and engagement rating across domain switches. Untested.</w:t>
      </w:r>
    </w:p>
    <w:p>
      <w:pPr>
        <w:pStyle w:val="Heading2"/>
        <w:spacing w:before="240" w:after="120"/>
      </w:pPr>
      <w:r>
        <w:rPr>
          <w:rFonts w:ascii="Arial" w:cs="Arial" w:eastAsia="Arial" w:hAnsi="Arial"/>
          <w:b/>
          <w:bCs/>
          <w:color w:val="2E5A96"/>
          <w:sz w:val="28"/>
          <w:szCs w:val="28"/>
        </w:rPr>
        <w:t xml:space="preserve">7.8 Prediction Set H — Stimulant Response as Structural Identity Discriminator</w:t>
      </w:r>
    </w:p>
    <w:p>
      <w:pPr>
        <w:pStyle w:val="ListParagraph"/>
        <w:numPr>
          <w:ilvl w:val="0"/>
          <w:numId w:val="2"/>
        </w:numPr>
        <w:spacing w:before="0" w:after="80"/>
      </w:pPr>
      <w:r>
        <w:rPr>
          <w:rFonts w:ascii="Arial" w:cs="Arial" w:eastAsia="Arial" w:hAnsi="Arial"/>
          <w:sz w:val="24"/>
          <w:szCs w:val="24"/>
        </w:rPr>
        <w:t xml:space="preserve">H1: In gifted individuals at the tier where the architecture has saturated the available institutional environment at the structural layer (the structural identity hypothesis tier), with ADHD diagnosis and no clear clinical benefit from stimulant medication beyond nonspecific arousal, structural MRI and fMRI during stimulant administration will show no meaningful increase in WM selectivity or D1R-mediated lateral inhibition improvement, distinguishing them from ADHD-diagnosed controls at lower ability levels who show clear dose-dependent stimulant response. Stimulant non-response in this population is predicted to be a diagnostic signal of architecture-driven presentation rather than deficit-driven presentation. Testable with pharmacological fMRI comparing gifted-ADHD and ADHD-only groups across ability tiers. Untested.</w:t>
      </w:r>
    </w:p>
    <w:p>
      <w:pPr>
        <w:pStyle w:val="ListParagraph"/>
        <w:numPr>
          <w:ilvl w:val="0"/>
          <w:numId w:val="2"/>
        </w:numPr>
        <w:spacing w:before="0" w:after="160"/>
      </w:pPr>
      <w:r>
        <w:rPr>
          <w:rFonts w:ascii="Arial" w:cs="Arial" w:eastAsia="Arial" w:hAnsi="Arial"/>
          <w:sz w:val="24"/>
          <w:szCs w:val="24"/>
        </w:rPr>
        <w:t xml:space="preserve">H2: The stimulant response differential between gifted-ADHD profiles at the profound tier and ADHD-only profiles at standard ability levels should be predictable from tonic DA baseline measurement prior to medication. Genuine ADHD at any tier shows sub-optimal tonic DA; the structural identity case at the profound tier shows near-optimal or optimal tonic DA. Stimulants correct the former and have no meaningful corrective effect on the latter. Measurable via PET DA baseline imaging prior to stimulant administration across tier-stratified gifted-ADHD and ADHD-only samples. Untested.</w:t>
      </w:r>
    </w:p>
    <w:p>
      <w:pPr>
        <w:pStyle w:val="Heading2"/>
        <w:spacing w:before="240" w:after="120"/>
      </w:pPr>
      <w:r>
        <w:rPr>
          <w:rFonts w:ascii="Arial" w:cs="Arial" w:eastAsia="Arial" w:hAnsi="Arial"/>
          <w:b/>
          <w:bCs/>
          <w:color w:val="2E5A96"/>
          <w:sz w:val="28"/>
          <w:szCs w:val="28"/>
        </w:rPr>
        <w:t xml:space="preserve">7.9 Prediction Catalog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260"/>
        <w:gridCol w:w="1500"/>
        <w:gridCol w:w="1500"/>
      </w:tblGrid>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Prediction</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Mechanism</w:t>
            </w:r>
          </w:p>
        </w:tc>
        <w:tc>
          <w:tcPr>
            <w:tcW w:type="dxa" w:w="32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Test Method</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Technology</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Status</w:t>
            </w:r>
          </w:p>
        </w:tc>
      </w:tr>
      <w:tr>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21"/>
                <w:szCs w:val="21"/>
              </w:rPr>
              <w:t xml:space="preserve">A1</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21"/>
                <w:szCs w:val="21"/>
              </w:rPr>
              <w:t xml:space="preserve">Sub-threshold traversal</w:t>
            </w:r>
          </w:p>
        </w:tc>
        <w:tc>
          <w:tcPr>
            <w:tcW w:type="dxa" w:w="32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21"/>
                <w:szCs w:val="21"/>
              </w:rPr>
              <w:t xml:space="preserve">LC BOLD vs. ACC depth ratio</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21"/>
                <w:szCs w:val="21"/>
              </w:rPr>
              <w:t xml:space="preserve">7T fMRI</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21"/>
                <w:szCs w:val="21"/>
              </w:rPr>
              <w:t xml:space="preserve">Untested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A2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CA3 pattern completion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Structural vs. content retrieval latency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High-res fMRI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Untested</w:t>
            </w:r>
          </w:p>
        </w:tc>
      </w:tr>
      <w:tr>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21"/>
                <w:szCs w:val="21"/>
              </w:rPr>
              <w:t xml:space="preserve">B1</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21"/>
                <w:szCs w:val="21"/>
              </w:rPr>
              <w:t xml:space="preserve">Serialization wall</w:t>
            </w:r>
          </w:p>
        </w:tc>
        <w:tc>
          <w:tcPr>
            <w:tcW w:type="dxa" w:w="32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21"/>
                <w:szCs w:val="21"/>
              </w:rPr>
              <w:t xml:space="preserve">N200-to-speech-onset gap</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21"/>
                <w:szCs w:val="21"/>
              </w:rPr>
              <w:t xml:space="preserve">EEG/ERP</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21"/>
                <w:szCs w:val="21"/>
              </w:rPr>
              <w:t xml:space="preserve">Untested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B2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Myelination asymmetry</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Longitudinal DTI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Pediatric DTI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Untested</w:t>
            </w:r>
          </w:p>
        </w:tc>
      </w:tr>
      <w:tr>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21"/>
                <w:szCs w:val="21"/>
              </w:rPr>
              <w:t xml:space="preserve">C1</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21"/>
                <w:szCs w:val="21"/>
              </w:rPr>
              <w:t xml:space="preserve">DA tonic in PFC</w:t>
            </w:r>
          </w:p>
        </w:tc>
        <w:tc>
          <w:tcPr>
            <w:tcW w:type="dxa" w:w="32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21"/>
                <w:szCs w:val="21"/>
              </w:rPr>
              <w:t xml:space="preserve">PET or CSF DA</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21"/>
                <w:szCs w:val="21"/>
              </w:rPr>
              <w:t xml:space="preserve">PET/CSF</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21"/>
                <w:szCs w:val="21"/>
              </w:rPr>
              <w:t xml:space="preserve">Untested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C2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Env. layer match / ADHD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ADHD rating scales + tier protocol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Behavioral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Untested</w:t>
            </w:r>
          </w:p>
        </w:tc>
      </w:tr>
      <w:tr>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21"/>
                <w:szCs w:val="21"/>
              </w:rPr>
              <w:t xml:space="preserve">D1</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21"/>
                <w:szCs w:val="21"/>
              </w:rPr>
              <w:t xml:space="preserve">AG filter suppression</w:t>
            </w:r>
          </w:p>
        </w:tc>
        <w:tc>
          <w:tcPr>
            <w:tcW w:type="dxa" w:w="32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21"/>
                <w:szCs w:val="21"/>
              </w:rPr>
              <w:t xml:space="preserve">EEG gamma on redundant items</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21"/>
                <w:szCs w:val="21"/>
              </w:rPr>
              <w:t xml:space="preserve">EEG</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21"/>
                <w:szCs w:val="21"/>
              </w:rPr>
              <w:t xml:space="preserve">Partially consistent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D2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AG template match</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fMRI novelty/redundancy conditions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fMRI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Untested</w:t>
            </w:r>
          </w:p>
        </w:tc>
      </w:tr>
      <w:tr>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21"/>
                <w:szCs w:val="21"/>
              </w:rPr>
              <w:t xml:space="preserve">E1</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21"/>
                <w:szCs w:val="21"/>
              </w:rPr>
              <w:t xml:space="preserve">HPA / autonomic mismatch</w:t>
            </w:r>
          </w:p>
        </w:tc>
        <w:tc>
          <w:tcPr>
            <w:tcW w:type="dxa" w:w="32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21"/>
                <w:szCs w:val="21"/>
              </w:rPr>
              <w:t xml:space="preserve">HRV-RMSSD, wearable or Holter</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21"/>
                <w:szCs w:val="21"/>
              </w:rPr>
              <w:t xml:space="preserve">HRV device</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21"/>
                <w:szCs w:val="21"/>
              </w:rPr>
              <w:t xml:space="preserve">Untested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Cortisol rhythm flatness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Salivary cortisol sampling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Salivary assay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Untested</w:t>
            </w:r>
          </w:p>
        </w:tc>
      </w:tr>
      <w:tr>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21"/>
                <w:szCs w:val="21"/>
              </w:rPr>
              <w:t xml:space="preserve">E3</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21"/>
                <w:szCs w:val="21"/>
              </w:rPr>
              <w:t xml:space="preserve">Gut/serotonin floor</w:t>
            </w:r>
          </w:p>
        </w:tc>
        <w:tc>
          <w:tcPr>
            <w:tcW w:type="dxa" w:w="32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21"/>
                <w:szCs w:val="21"/>
              </w:rPr>
              <w:t xml:space="preserve">Microbiome diversity / patience proxy</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21"/>
                <w:szCs w:val="21"/>
              </w:rPr>
              <w:t xml:space="preserve">16S sequencing</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21"/>
                <w:szCs w:val="21"/>
              </w:rPr>
              <w:t xml:space="preserve">Untested</w:t>
            </w:r>
          </w:p>
        </w:tc>
      </w:tr>
      <w:tr>
        <w:tc>
          <w:tcPr>
            <w:tcW w:type="dxa" w:w="9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before="0" w:after="0"/>
            </w:pPr>
            <w:r>
              <w:rPr>
                <w:rFonts w:ascii="Arial" w:cs="Arial" w:eastAsia="Arial" w:hAnsi="Arial"/>
                <w:sz w:val="21"/>
                <w:szCs w:val="21"/>
              </w:rPr>
              <w:t xml:space="preserve">F1 (PRIMARY)</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before="0" w:after="0"/>
            </w:pPr>
            <w:r>
              <w:rPr>
                <w:rFonts w:ascii="Arial" w:cs="Arial" w:eastAsia="Arial" w:hAnsi="Arial"/>
                <w:sz w:val="21"/>
                <w:szCs w:val="21"/>
              </w:rPr>
              <w:t xml:space="preserve">AG activation timing</w:t>
            </w:r>
          </w:p>
        </w:tc>
        <w:tc>
          <w:tcPr>
            <w:tcW w:type="dxa" w:w="32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before="0" w:after="0"/>
            </w:pPr>
            <w:r>
              <w:rPr>
                <w:rFonts w:ascii="Arial" w:cs="Arial" w:eastAsia="Arial" w:hAnsi="Arial"/>
                <w:sz w:val="21"/>
                <w:szCs w:val="21"/>
              </w:rPr>
              <w:t xml:space="preserve">AG vs. domain-specific BOLD timing</w:t>
            </w:r>
          </w:p>
        </w:tc>
        <w:tc>
          <w:tcPr>
            <w:tcW w:type="dxa" w:w="1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before="0" w:after="0"/>
            </w:pPr>
            <w:r>
              <w:rPr>
                <w:rFonts w:ascii="Arial" w:cs="Arial" w:eastAsia="Arial" w:hAnsi="Arial"/>
                <w:sz w:val="21"/>
                <w:szCs w:val="21"/>
              </w:rPr>
              <w:t xml:space="preserve">EEG / rapid fMRI</w:t>
            </w:r>
          </w:p>
        </w:tc>
        <w:tc>
          <w:tcPr>
            <w:tcW w:type="dxa" w:w="1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before="0" w:after="0"/>
            </w:pPr>
            <w:r>
              <w:rPr>
                <w:rFonts w:ascii="Arial" w:cs="Arial" w:eastAsia="Arial" w:hAnsi="Arial"/>
                <w:sz w:val="21"/>
                <w:szCs w:val="21"/>
              </w:rPr>
              <w:t xml:space="preserve">Untested (substrate confirmed)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F2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Structural acquisition rate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Controlled domain acquisition study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Behavioral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Untested</w:t>
            </w:r>
          </w:p>
        </w:tc>
      </w:tr>
      <w:tr>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21"/>
                <w:szCs w:val="21"/>
              </w:rPr>
              <w:t xml:space="preserve">G1</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21"/>
                <w:szCs w:val="21"/>
              </w:rPr>
              <w:t xml:space="preserve">Capacity preservation post-wall</w:t>
            </w:r>
          </w:p>
        </w:tc>
        <w:tc>
          <w:tcPr>
            <w:tcW w:type="dxa" w:w="32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21"/>
                <w:szCs w:val="21"/>
              </w:rPr>
              <w:t xml:space="preserve">fMRI on novel vs. redundant problems</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21"/>
                <w:szCs w:val="21"/>
              </w:rPr>
              <w:t xml:space="preserve">fMRI</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21"/>
                <w:szCs w:val="21"/>
              </w:rPr>
              <w:t xml:space="preserve">Untested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G2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Wall vs. expert domain fatigue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Domain-switch relief / structural distance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Behavioral survey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Untested</w:t>
            </w:r>
          </w:p>
        </w:tc>
      </w:tr>
      <w:tr>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21"/>
                <w:szCs w:val="21"/>
              </w:rPr>
              <w:t xml:space="preserve">H1</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21"/>
                <w:szCs w:val="21"/>
              </w:rPr>
              <w:t xml:space="preserve">Stimulant non-response as diagnostic signal</w:t>
            </w:r>
          </w:p>
        </w:tc>
        <w:tc>
          <w:tcPr>
            <w:tcW w:type="dxa" w:w="32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21"/>
                <w:szCs w:val="21"/>
              </w:rPr>
              <w:t xml:space="preserve">Pharmacological fMRI; gifted-ADHD vs. ADHD-only</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21"/>
                <w:szCs w:val="21"/>
              </w:rPr>
              <w:t xml:space="preserve">fMRI + medication</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21"/>
                <w:szCs w:val="21"/>
              </w:rPr>
              <w:t xml:space="preserve">Untested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H2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Tonic DA baseline predicts stimulant response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PET DA baseline pre-medication; tier-stratified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PET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Untested</w:t>
            </w:r>
          </w:p>
        </w:tc>
      </w:tr>
    </w:tbl>
    <w:p>
      <w:pPr>
        <w:spacing w:before="0" w:after="80"/>
      </w:pPr>
      <w:r>
        <w:t xml:space="preserve"/>
      </w:r>
    </w:p>
    <w:p>
      <w:pPr>
        <w:spacing w:before="0" w:after="160"/>
        <w:jc w:val="left"/>
      </w:pPr>
      <w:r>
        <w:rPr>
          <w:rFonts w:ascii="Arial" w:cs="Arial" w:eastAsia="Arial" w:hAnsi="Arial"/>
          <w:i/>
          <w:iCs/>
          <w:sz w:val="24"/>
          <w:szCs w:val="24"/>
        </w:rPr>
        <w:t xml:space="preserve">Table 2. Prediction catalog. F1 (AG activation timing) is the highest-priority falsification target. G1 (capacity reactivation on novel problems) is the direct test of the capacity-intact thesis. H1 (stimulant non-response as diagnostic signal) is the most clinically immediately actionable — testable in existing clinical populations without new infrastructure. E1 (HRV-RMSSD) is the most accessible without neuroimaging.</w:t>
      </w:r>
    </w:p>
    <w:p>
      <w:pPr>
        <w:spacing w:before="0" w:after="80"/>
      </w:pPr>
      <w:r>
        <w:t xml:space="preserve"/>
      </w:r>
    </w:p>
    <w:p>
      <w:pPr>
        <w:pStyle w:val="Heading1"/>
        <w:spacing w:before="300" w:after="150"/>
      </w:pPr>
      <w:r>
        <w:rPr>
          <w:rFonts w:ascii="Arial" w:cs="Arial" w:eastAsia="Arial" w:hAnsi="Arial"/>
          <w:b/>
          <w:bCs/>
          <w:color w:val="1F3864"/>
          <w:sz w:val="32"/>
          <w:szCs w:val="32"/>
        </w:rPr>
        <w:t xml:space="preserve">8. Neuroimaging Consistency</w:t>
      </w:r>
    </w:p>
    <w:p>
      <w:pPr>
        <w:spacing w:before="0" w:after="160" w:line="320" w:lineRule="auto"/>
        <w:jc w:val="left"/>
      </w:pPr>
      <w:r>
        <w:rPr>
          <w:rFonts w:ascii="Arial" w:cs="Arial" w:eastAsia="Arial" w:hAnsi="Arial"/>
          <w:sz w:val="24"/>
          <w:szCs w:val="24"/>
        </w:rPr>
        <w:t xml:space="preserve">A clarification on the role of the gifted neuroimaging literature in this paper. The studies cited below are almost entirely conducted on children and adolescents — pre-saturation samples documented before the library density reaches the level at which the filter becomes dominant. They confirm that the mechanisms described in Section 3 operate at elevated intensity in gifted profiles from early development: bilateral AG engagement, frontoparietal connectivity, elevated DMN partial maintenance during tasks, hippocampal white matter organization. This is pre-saturation architecture confirmation. It is not an explanation of the wall.</w:t>
      </w:r>
    </w:p>
    <w:p>
      <w:pPr>
        <w:spacing w:before="0" w:after="160" w:line="320" w:lineRule="auto"/>
        <w:jc w:val="left"/>
      </w:pPr>
      <w:r>
        <w:rPr>
          <w:rFonts w:ascii="Arial" w:cs="Arial" w:eastAsia="Arial" w:hAnsi="Arial"/>
          <w:sz w:val="24"/>
          <w:szCs w:val="24"/>
        </w:rPr>
        <w:t xml:space="preserve">The explanation of the wall rests on a different evidence base: the adult-population neuroscience of the specific mechanisms involved. Angular gyrus convergence dynamics are characterized in adult cognitive neuroscience and lesion literature (Mesulam, 1998; Seghier, 2013; Grob et al., 2024; Mole et al., 2025). Hippocampal CA3 pattern completion is confirmed at both computational and synaptic levels: Vezir et al. (2024, PNAS, 121:e2312281120) provided functional and anatomical evidence that CA3 recurrent connectivity is sufficient to support pattern completion, with connectivity rates approximately ten times higher than previously reported — directly supporting the autoassociative retrieval function on which the encoding gate model depends. Locus coeruleus regulation — the six-input NE tonic state, the adenosine feedback loop, the phasic/tonic distinction — is documented in adult neuromodulatory literature (Valentino and Van Bockstaele, 2008). The ACh × NE encoding gate supralinearity is established in adult hippocampal LTP research (Hasselmo and Giocomo, 2006). The D1/D2 prefrontal dopamine gating mechanism is characterized in adult working memory and ADHD literature (Arnsten, 2006). The HPA cascade and its downstream branches — hippocampal LTP suppression, IDO1/QUIN pathway, autonomic dysregulation — are documented in adult stress physiology and metabolic research. None of these require gifted-specific data to apply to the giftedness context. These are the mechanisms on which the framework rests. On this account, giftedness is better modeled as what these mechanisms look like running at elevated intensity in a high-density structural template environment — and the wall is what they are predicted to produce when that environment stops providing frontier problems at the operating layer. The synthesis is frontier. The components are established.</w:t>
      </w:r>
    </w:p>
    <w:p>
      <w:pPr>
        <w:spacing w:before="0" w:after="160" w:line="320" w:lineRule="auto"/>
        <w:jc w:val="left"/>
      </w:pPr>
      <w:r>
        <w:rPr>
          <w:rFonts w:ascii="Arial" w:cs="Arial" w:eastAsia="Arial" w:hAnsi="Arial"/>
          <w:sz w:val="24"/>
          <w:szCs w:val="24"/>
        </w:rPr>
        <w:t xml:space="preserve">The findings below are therefore described as 'consistent with' the framework as expected given the pre-saturation sampling. The falsification targets are in Section 7, with F1 as the highest-priority test.</w:t>
      </w:r>
    </w:p>
    <w:p>
      <w:pPr>
        <w:pStyle w:val="Heading2"/>
        <w:spacing w:before="240" w:after="120"/>
      </w:pPr>
      <w:r>
        <w:rPr>
          <w:rFonts w:ascii="Arial" w:cs="Arial" w:eastAsia="Arial" w:hAnsi="Arial"/>
          <w:b/>
          <w:bCs/>
          <w:color w:val="2E5A96"/>
          <w:sz w:val="28"/>
          <w:szCs w:val="28"/>
        </w:rPr>
        <w:t xml:space="preserve">8.0 Three Triangulation Points</w:t>
      </w:r>
    </w:p>
    <w:p>
      <w:pPr>
        <w:spacing w:before="0" w:after="160" w:line="320" w:lineRule="auto"/>
        <w:jc w:val="left"/>
      </w:pPr>
      <w:r>
        <w:rPr>
          <w:rFonts w:ascii="Arial" w:cs="Arial" w:eastAsia="Arial" w:hAnsi="Arial"/>
          <w:sz w:val="24"/>
          <w:szCs w:val="24"/>
        </w:rPr>
        <w:t xml:space="preserve">The evidence base for the architectural account in this paper comes from three independent literatures, each supplying what the others lack. The gifted child research literature (§8.1-8.5 below) provides early-architecture confirmation: the mechanisms operate at elevated intensity from early development in gifted profiles. The general adult neuroscience literature (Sections 3, 6) provides the mechanistic explanation of what those mechanisms produce over time as the library fills. The ADHD adult literature provides the third point: adult populations, longitudinal data, and pharmacological probes of the exact mechanisms in question. The VTA novelty-prediction-error response, the D1/D2 PFC gate, the tonic-phasic LC distinction, and the hyperfocus gate-open state are all characterized in adult ADHD research with a depth and specificity that the gifted literature never achieved. Because the mechanisms are the same, the ADHD adult literature is not an analogy. It is direct evidence about the same system.</w:t>
      </w:r>
    </w:p>
    <w:p>
      <w:pPr>
        <w:pStyle w:val="Heading2"/>
        <w:spacing w:before="240" w:after="120"/>
      </w:pPr>
      <w:r>
        <w:rPr>
          <w:rFonts w:ascii="Arial" w:cs="Arial" w:eastAsia="Arial" w:hAnsi="Arial"/>
          <w:b/>
          <w:bCs/>
          <w:color w:val="2E5A96"/>
          <w:sz w:val="28"/>
          <w:szCs w:val="28"/>
        </w:rPr>
        <w:t xml:space="preserve">8.1 Bilateral Hemisphere Activation</w:t>
      </w:r>
    </w:p>
    <w:p>
      <w:pPr>
        <w:spacing w:before="0" w:after="160" w:line="320" w:lineRule="auto"/>
        <w:jc w:val="left"/>
      </w:pPr>
      <w:r>
        <w:rPr>
          <w:rFonts w:ascii="Arial" w:cs="Arial" w:eastAsia="Arial" w:hAnsi="Arial"/>
          <w:sz w:val="24"/>
          <w:szCs w:val="24"/>
        </w:rPr>
        <w:t xml:space="preserve">O'Boyle et al. (1991) documented enhanced right hemisphere activation in mathematically precocious youth using EEG alpha suppression. Concurrent finger-tapping studies showed both hemispheres engaged simultaneously during linguistic processing — where standard profiles showed only left hemisphere load. Desco et al. (2011) showed with fMRI that in mathematically gifted adolescents, activation clusters were always bilateral with additional right hemisphere recruitment, with the maximal difference appearing at peak task load. Prescott et al. (2010) confirmed enhanced intrahemispheric fronto-parietal connectivity with more numerous connections in the right hemisphere.</w:t>
      </w:r>
    </w:p>
    <w:p>
      <w:pPr>
        <w:spacing w:before="0" w:after="160" w:line="320" w:lineRule="auto"/>
        <w:jc w:val="left"/>
      </w:pPr>
      <w:r>
        <w:rPr>
          <w:rFonts w:ascii="Arial" w:cs="Arial" w:eastAsia="Arial" w:hAnsi="Arial"/>
          <w:sz w:val="24"/>
          <w:szCs w:val="24"/>
        </w:rPr>
        <w:t xml:space="preserve">The five-operation account of the lateralization: The left hemisphere is the primary carrier of FQ1 Propagation and FQ4 Accumulation — drawing inferences, building on established patterns, reducing uncertainty. The right hemisphere is the primary carrier of FQ3 Detection and FQ5 Refinement — rejecting what does not fit, updating structure when evidence conflicts (Turner and Miller, 2015; the FQ1/FQ4 vs. FQ3/FQ5 mapping is the present author's application to the five-operation framework). Standard profiles engage these hemispheres sequentially. Gifted profiles engage both simultaneously because Detection running at structural layer requires spatial pattern recognition and sequential content processing co-occurring simultaneously for the detection signal to fire at all.</w:t>
      </w:r>
    </w:p>
    <w:p>
      <w:pPr>
        <w:spacing w:before="0" w:after="160" w:line="320" w:lineRule="auto"/>
        <w:jc w:val="left"/>
      </w:pPr>
      <w:r>
        <w:rPr>
          <w:rFonts w:ascii="Arial" w:cs="Arial" w:eastAsia="Arial" w:hAnsi="Arial"/>
          <w:sz w:val="24"/>
          <w:szCs w:val="24"/>
        </w:rPr>
        <w:t xml:space="preserve">This is also consistent with the analogical read mechanism: cross-domain schematic-relational mapping requires simultaneous engagement of the source domain's left-hemisphere content carriers and the angular gyrus cross-domain convergence zone, which has substantial right hemisphere contribution. Grob et al. (2024, eLife) confirmed that AG inhibition via cTBS specifically disrupted memory integration for insight events linked via imagination, confirming the AG is causally required for cross-domain binding, not merely correlated with it. The gifted-specific prediction (Prediction F1) — that AG activation precedes domain-specific cortical activation when structural isomorphism exists — remains the direct falsification target.</w:t>
      </w:r>
    </w:p>
    <w:p>
      <w:pPr>
        <w:spacing w:before="0" w:after="160" w:line="320" w:lineRule="auto"/>
        <w:jc w:val="left"/>
      </w:pPr>
      <w:r>
        <w:rPr>
          <w:rFonts w:ascii="Arial" w:cs="Arial" w:eastAsia="Arial" w:hAnsi="Arial"/>
          <w:sz w:val="24"/>
          <w:szCs w:val="24"/>
        </w:rPr>
        <w:t xml:space="preserve">Kuznetsova et al. (2024) systematic EEG review found gifted children show lower gamma power during easy reasoning tasks but increased gamma at higher task difficulty, consistent with the AG filter account: the architecture does not engage when input is structurally redundant and activates strongly when genuine structural novelty is present. This is the behavioral signature of a filter, not a capacity ceiling.</w:t>
      </w:r>
    </w:p>
    <w:p>
      <w:pPr>
        <w:pStyle w:val="Heading2"/>
        <w:spacing w:before="240" w:after="120"/>
      </w:pPr>
      <w:r>
        <w:rPr>
          <w:rFonts w:ascii="Arial" w:cs="Arial" w:eastAsia="Arial" w:hAnsi="Arial"/>
          <w:b/>
          <w:bCs/>
          <w:color w:val="2E5A96"/>
          <w:sz w:val="28"/>
          <w:szCs w:val="28"/>
        </w:rPr>
        <w:t xml:space="preserve">8.2 Right DLPFC and the Full Analogical Read Circuit</w:t>
      </w:r>
    </w:p>
    <w:p>
      <w:pPr>
        <w:spacing w:before="0" w:after="160" w:line="320" w:lineRule="auto"/>
        <w:jc w:val="left"/>
      </w:pPr>
      <w:r>
        <w:rPr>
          <w:rFonts w:ascii="Arial" w:cs="Arial" w:eastAsia="Arial" w:hAnsi="Arial"/>
          <w:sz w:val="24"/>
          <w:szCs w:val="24"/>
        </w:rPr>
        <w:t xml:space="preserve">The Mole et al. (2025, Brain 148:5) lesion-deficit mapping result bears direct repetition here. Right DLPFC damage produced approximately 15% more errors on analogical and deductive reasoning in 247 patients, with the network overlapping substantially with fluid intelligence circuitry. Combined with the AG causal confirmation from Grob et al. (2024), this establishes that the analogical read is a two-node circuit: AG (semantic integration and cross-modal convergence detection) and right DLPFC (relational maintenance and structural comparison in working memory). A note on inference direction: lesion studies establish necessity — damage to the circuit impairs normal analogical reasoning. They do not directly establish the enhancement-specific claim that this circuit operates at higher sustained baseline activation in gifted profiles. That remains the prediction (F1) rather than the finding. What the lesion studies provide is the substrate: the circuit exists, it is causally required for cross-domain binding, and the gifted-specific prediction about its default-mode engagement is therefore a tractable empirical question.</w:t>
      </w:r>
    </w:p>
    <w:p>
      <w:pPr>
        <w:pStyle w:val="Heading2"/>
        <w:spacing w:before="240" w:after="120"/>
      </w:pPr>
      <w:r>
        <w:rPr>
          <w:rFonts w:ascii="Arial" w:cs="Arial" w:eastAsia="Arial" w:hAnsi="Arial"/>
          <w:b/>
          <w:bCs/>
          <w:color w:val="2E5A96"/>
          <w:sz w:val="28"/>
          <w:szCs w:val="28"/>
        </w:rPr>
        <w:t xml:space="preserve">8.3 White Matter and Corpus Callosum Trajectory</w:t>
      </w:r>
    </w:p>
    <w:p>
      <w:pPr>
        <w:spacing w:before="0" w:after="160" w:line="320" w:lineRule="auto"/>
        <w:jc w:val="left"/>
      </w:pPr>
      <w:r>
        <w:rPr>
          <w:rFonts w:ascii="Arial" w:cs="Arial" w:eastAsia="Arial" w:hAnsi="Arial"/>
          <w:sz w:val="24"/>
          <w:szCs w:val="24"/>
        </w:rPr>
        <w:t xml:space="preserve">Navas-Sanchez et al. (2014) found IQ positively correlates with corpus callosum volume in adolescents and adults. DTI study of IQ 145-170 children found higher FA in right anterior thalamic radiation and right hippocampal tail, with lower mean diffusivity bilaterally. Luders et al. (2011) found a counterintuitive negative correlation in children — negative CC area with IQ — interpreted as more efficient pruning.</w:t>
      </w:r>
    </w:p>
    <w:p>
      <w:pPr>
        <w:spacing w:before="0" w:after="160" w:line="320" w:lineRule="auto"/>
        <w:jc w:val="left"/>
      </w:pPr>
      <w:r>
        <w:rPr>
          <w:rFonts w:ascii="Arial" w:cs="Arial" w:eastAsia="Arial" w:hAnsi="Arial"/>
          <w:sz w:val="24"/>
          <w:szCs w:val="24"/>
        </w:rPr>
        <w:t xml:space="preserve">The five-operation account explains the developmental trajectory: During development, the gifted brain undergoes more extensive pruning of corpus callosum fibers, producing a substrate optimized for precise bilateral co-activation. The analogical read mechanism requires high-precision interhemispheric timing — cross-domain convergence at the angular gyrus requires that signals from different domain territories arrive within a coincidence window. Higher CC fiber density in childhood produces crosstalk that widens this window below detection precision. Pruning low-precision fibers and retaining high-precision ones produces the adult CC that is larger in absolute terms but carries less noise. The developmental reversal (negative in children, positive in adults) is an architectural prediction.</w:t>
      </w:r>
    </w:p>
    <w:p>
      <w:pPr>
        <w:pStyle w:val="Heading2"/>
        <w:spacing w:before="240" w:after="120"/>
      </w:pPr>
      <w:r>
        <w:rPr>
          <w:rFonts w:ascii="Arial" w:cs="Arial" w:eastAsia="Arial" w:hAnsi="Arial"/>
          <w:b/>
          <w:bCs/>
          <w:color w:val="2E5A96"/>
          <w:sz w:val="28"/>
          <w:szCs w:val="28"/>
        </w:rPr>
        <w:t xml:space="preserve">8.4 Memory System White Matter</w:t>
      </w:r>
    </w:p>
    <w:p>
      <w:pPr>
        <w:spacing w:before="0" w:after="160" w:line="320" w:lineRule="auto"/>
        <w:jc w:val="left"/>
      </w:pPr>
      <w:r>
        <w:rPr>
          <w:rFonts w:ascii="Arial" w:cs="Arial" w:eastAsia="Arial" w:hAnsi="Arial"/>
          <w:sz w:val="24"/>
          <w:szCs w:val="24"/>
        </w:rPr>
        <w:t xml:space="preserve">DTI on IQ 145-170 children found larger explicit memory regions, more robust white matter microstructural organization, and FA positively correlated with IQ in hippocampal and thalamic tracts. These are the FQ4 Accumulation pathways — the substrate for the extreme compression that makes sub-threshold structural traversal feel like instant recall. A denser explicit memory system means faster structural template retrieval — the hippocampal pattern completer finds the nearest structural neighbor more rapidly when the template store is more densely populated.</w:t>
      </w:r>
    </w:p>
    <w:p>
      <w:pPr>
        <w:pStyle w:val="Heading2"/>
        <w:spacing w:before="240" w:after="120"/>
      </w:pPr>
      <w:r>
        <w:rPr>
          <w:rFonts w:ascii="Arial" w:cs="Arial" w:eastAsia="Arial" w:hAnsi="Arial"/>
          <w:b/>
          <w:bCs/>
          <w:color w:val="2E5A96"/>
          <w:sz w:val="28"/>
          <w:szCs w:val="28"/>
        </w:rPr>
        <w:t xml:space="preserve">8.5 Network Topology</w:t>
      </w:r>
    </w:p>
    <w:p>
      <w:pPr>
        <w:spacing w:before="0" w:after="160" w:line="320" w:lineRule="auto"/>
        <w:jc w:val="left"/>
      </w:pPr>
      <w:r>
        <w:rPr>
          <w:rFonts w:ascii="Arial" w:cs="Arial" w:eastAsia="Arial" w:hAnsi="Arial"/>
          <w:sz w:val="24"/>
          <w:szCs w:val="24"/>
        </w:rPr>
        <w:t xml:space="preserve">Resting-state fMRI of high-IQ children (Termenon et al., Frontiers 2019) found significant topological differences in brain network integration and segregation using the hub disruption index. Whole-brain and hemispheric network topology both differed from standard IQ profiles. This is the structural correlate of the broad-territory Propagation and the cross-domain access that enables the analogical read mechanism — a network organized for broad-territory access, not local processing depth. This hub topology difference is the AG filter substrate.</w:t>
      </w:r>
    </w:p>
    <w:p>
      <w:pPr>
        <w:spacing w:before="0" w:after="80"/>
      </w:pPr>
      <w:r>
        <w:t xml:space="preserve"/>
      </w:r>
    </w:p>
    <w:p>
      <w:pPr>
        <w:pStyle w:val="Heading1"/>
        <w:spacing w:before="300" w:after="150"/>
      </w:pPr>
      <w:r>
        <w:rPr>
          <w:rFonts w:ascii="Arial" w:cs="Arial" w:eastAsia="Arial" w:hAnsi="Arial"/>
          <w:b/>
          <w:bCs/>
          <w:color w:val="1F3864"/>
          <w:sz w:val="32"/>
          <w:szCs w:val="32"/>
        </w:rPr>
        <w:t xml:space="preserve">9. Clinical and Educational Implications</w:t>
      </w:r>
    </w:p>
    <w:p>
      <w:pPr>
        <w:pStyle w:val="Heading2"/>
        <w:spacing w:before="240" w:after="120"/>
      </w:pPr>
      <w:r>
        <w:rPr>
          <w:rFonts w:ascii="Arial" w:cs="Arial" w:eastAsia="Arial" w:hAnsi="Arial"/>
          <w:b/>
          <w:bCs/>
          <w:color w:val="2E5A96"/>
          <w:sz w:val="28"/>
          <w:szCs w:val="28"/>
        </w:rPr>
        <w:t xml:space="preserve">9.1 Reframing the Wall</w:t>
      </w:r>
    </w:p>
    <w:p>
      <w:pPr>
        <w:spacing w:before="0" w:after="160" w:line="320" w:lineRule="auto"/>
        <w:jc w:val="left"/>
      </w:pPr>
      <w:r>
        <w:rPr>
          <w:rFonts w:ascii="Arial" w:cs="Arial" w:eastAsia="Arial" w:hAnsi="Arial"/>
          <w:sz w:val="24"/>
          <w:szCs w:val="24"/>
        </w:rPr>
        <w:t xml:space="preserve">The most consequential clinical implication of the filter account in Section 6.1 is that standard interventions may compound the problem rather than resolve it — a prediction that remains to be tested in this population. On this account, providing more content — harder problems, more advanced material, greater breadth — increases the volume of input that the angular gyrus structural filter correctly catches and discards. It does not increase the rate at which structurally novel input clears the gate. If the model is correct, the behavioral output remains low, the diagnosis of decline or plateau is reinforced, and the library keeps growing with nowhere to discharge. This is a falsifiable prediction, not an established clinical finding.</w:t>
      </w:r>
    </w:p>
    <w:p>
      <w:pPr>
        <w:spacing w:before="0" w:after="160" w:line="320" w:lineRule="auto"/>
        <w:jc w:val="left"/>
      </w:pPr>
      <w:r>
        <w:rPr>
          <w:rFonts w:ascii="Arial" w:cs="Arial" w:eastAsia="Arial" w:hAnsi="Arial"/>
          <w:sz w:val="24"/>
          <w:szCs w:val="24"/>
        </w:rPr>
        <w:t xml:space="preserve">The correct intervention is not more input at the same structural layer. It is identifying where the individual's structural template library currently has genuine gaps — domains or problem types that do not map onto anything already held — and providing input there. This requires knowing which tier the individual operates at and what their existing structural template coverage looks like, which is substantially harder to assess than content-layer difficulty. Qualitative reasoning tasks stratified by abstraction layer rather than difficulty give an approximate read on tier. What they do not provide is a map of which structural territories are genuinely novel for this person. That requires knowing what they already know at structural depth, not what credentials they hold.</w:t>
      </w:r>
    </w:p>
    <w:p>
      <w:pPr>
        <w:pStyle w:val="Heading2"/>
        <w:spacing w:before="240" w:after="120"/>
      </w:pPr>
      <w:r>
        <w:rPr>
          <w:rFonts w:ascii="Arial" w:cs="Arial" w:eastAsia="Arial" w:hAnsi="Arial"/>
          <w:b/>
          <w:bCs/>
          <w:color w:val="2E5A96"/>
          <w:sz w:val="28"/>
          <w:szCs w:val="28"/>
        </w:rPr>
        <w:t xml:space="preserve">9.2 ADHD Diagnosis in Gifted Populations</w:t>
      </w:r>
    </w:p>
    <w:p>
      <w:pPr>
        <w:spacing w:before="0" w:after="160" w:line="320" w:lineRule="auto"/>
        <w:jc w:val="left"/>
      </w:pPr>
      <w:r>
        <w:rPr>
          <w:rFonts w:ascii="Arial" w:cs="Arial" w:eastAsia="Arial" w:hAnsi="Arial"/>
          <w:sz w:val="24"/>
          <w:szCs w:val="24"/>
        </w:rPr>
        <w:t xml:space="preserve">If the structural identity hypothesis is correct for a subset of cases, environmental layer match should be evaluated alongside cognitive and behavioral assessment, and before assuming pharmacological intervention is the primary path. Stimulant medication raises DA tonic in PFC. For a standard ADHD profile this corrects the Gating inversion. For a gifted profile whose primary problem is Detection silence from layer mismatch, stimulants may reduce the behavioral expression of that silence without addressing its source. This paper does not recommend against medication. It recommends that environmental layer assessment precede or accompany it.</w:t>
      </w:r>
    </w:p>
    <w:p>
      <w:pPr>
        <w:spacing w:before="0" w:after="160" w:line="320" w:lineRule="auto"/>
        <w:jc w:val="left"/>
      </w:pPr>
      <w:r>
        <w:rPr>
          <w:rFonts w:ascii="Arial" w:cs="Arial" w:eastAsia="Arial" w:hAnsi="Arial"/>
          <w:sz w:val="24"/>
          <w:szCs w:val="24"/>
        </w:rPr>
        <w:t xml:space="preserve">All clinical decisions should involve qualified medical and psychological professionals. Nothing in this paper constitutes clinical guidance.</w:t>
      </w:r>
    </w:p>
    <w:p>
      <w:pPr>
        <w:pStyle w:val="Heading2"/>
        <w:spacing w:before="240" w:after="120"/>
      </w:pPr>
      <w:r>
        <w:rPr>
          <w:rFonts w:ascii="Arial" w:cs="Arial" w:eastAsia="Arial" w:hAnsi="Arial"/>
          <w:b/>
          <w:bCs/>
          <w:color w:val="2E5A96"/>
          <w:sz w:val="28"/>
          <w:szCs w:val="28"/>
        </w:rPr>
        <w:t xml:space="preserve">9.3 The Positive Mechanism in Educational Design</w:t>
      </w:r>
    </w:p>
    <w:p>
      <w:pPr>
        <w:spacing w:before="0" w:after="160" w:line="320" w:lineRule="auto"/>
        <w:jc w:val="left"/>
      </w:pPr>
      <w:r>
        <w:rPr>
          <w:rFonts w:ascii="Arial" w:cs="Arial" w:eastAsia="Arial" w:hAnsi="Arial"/>
          <w:sz w:val="24"/>
          <w:szCs w:val="24"/>
        </w:rPr>
        <w:t xml:space="preserve">The analogical read and abstraction layer access mechanisms have direct educational implications. For higher-tier gifted profiles, effective instruction provides the structural scaffold before the content: establish why this domain has the structure it has, what it shares with domains already held, and what is genuinely novel at the structural layer. Content delivery from there is efficient. Content delivery without structural scaffolding is inefficient regardless of depth or difficulty.</w:t>
      </w:r>
    </w:p>
    <w:p>
      <w:pPr>
        <w:spacing w:before="0" w:after="160" w:line="320" w:lineRule="auto"/>
        <w:jc w:val="left"/>
      </w:pPr>
      <w:r>
        <w:rPr>
          <w:rFonts w:ascii="Arial" w:cs="Arial" w:eastAsia="Arial" w:hAnsi="Arial"/>
          <w:sz w:val="24"/>
          <w:szCs w:val="24"/>
        </w:rPr>
        <w:t xml:space="preserve">Cross-domain problems are the most natural input class for higher-tier profiles: they exercise the isomorphism detection mechanism in its native mode. Single-domain acceleration at content layer is the least efficient input class: it provides content novelty without structural novelty, runs the Propagation mechanism at low layer without engaging the Detection mechanism at its native layer.</w:t>
      </w:r>
    </w:p>
    <w:p>
      <w:pPr>
        <w:pStyle w:val="Heading2"/>
        <w:spacing w:before="240" w:after="120"/>
      </w:pPr>
      <w:r>
        <w:rPr>
          <w:rFonts w:ascii="Arial" w:cs="Arial" w:eastAsia="Arial" w:hAnsi="Arial"/>
          <w:b/>
          <w:bCs/>
          <w:color w:val="2E5A96"/>
          <w:sz w:val="28"/>
          <w:szCs w:val="28"/>
        </w:rPr>
        <w:t xml:space="preserve">9.4 Body-System Monitoring and Exercise</w:t>
      </w:r>
    </w:p>
    <w:p>
      <w:pPr>
        <w:spacing w:before="0" w:after="160" w:line="320" w:lineRule="auto"/>
        <w:jc w:val="left"/>
      </w:pPr>
      <w:r>
        <w:rPr>
          <w:rFonts w:ascii="Arial" w:cs="Arial" w:eastAsia="Arial" w:hAnsi="Arial"/>
          <w:sz w:val="24"/>
          <w:szCs w:val="24"/>
        </w:rPr>
        <w:t xml:space="preserve">The HPA cascade predictions suggest that gifted individuals in chronic environmental mismatch should be monitored for: low HRV-RMSSD (accessible via wearable device without clinical referral), flattened cortisol diurnal rhythm, inflammatory marker elevation (CRP, IL-6), sleep architecture disruption, and gut microbiome diversity reduction. These are not separate health concerns. They are branches of one cascade whose source is cognitive architectural mismatch. The effective intervention targets the cascade source.</w:t>
      </w:r>
    </w:p>
    <w:p>
      <w:pPr>
        <w:spacing w:before="0" w:after="160" w:line="320" w:lineRule="auto"/>
        <w:jc w:val="left"/>
      </w:pPr>
      <w:r>
        <w:rPr>
          <w:rFonts w:ascii="Arial" w:cs="Arial" w:eastAsia="Arial" w:hAnsi="Arial"/>
          <w:sz w:val="24"/>
          <w:szCs w:val="24"/>
        </w:rPr>
        <w:t xml:space="preserve">Exercise represents the most accessible intervention for the downstream cascade in the absence of immediate environmental restructuring. The four-channel mechanism described in Section 6.6 — osteocalcin/GPR158, irisin/αVβ5, BDNF/TrkB, and lactate/HCAR1 — collectively address hippocampal neurogenesis suppression, LTP impairment, autonomic dysregulation, and inflammatory amplification simultaneously. A structured progressive aerobic exercise protocol (minimum 150 minutes per week, including moderate-to-vigorous intensity components to activate the lactate channel) is the most broadly effective countermeasure available that does not require environmental restructuring. It does not substitute for the fundamental intervention — providing structurally novel input — but substantially buffers the biological cost of mismatch while that restructuring occurs.</w:t>
      </w:r>
    </w:p>
    <w:p>
      <w:pPr>
        <w:pStyle w:val="Heading2"/>
        <w:spacing w:before="240" w:after="120"/>
      </w:pPr>
      <w:r>
        <w:rPr>
          <w:rFonts w:ascii="Arial" w:cs="Arial" w:eastAsia="Arial" w:hAnsi="Arial"/>
          <w:b/>
          <w:bCs/>
          <w:color w:val="2E5A96"/>
          <w:sz w:val="28"/>
          <w:szCs w:val="28"/>
        </w:rPr>
        <w:t xml:space="preserve">9.5 Behavioral Signatures and Early Identification: What the Gate Looks Like From Outside</w:t>
      </w:r>
    </w:p>
    <w:p>
      <w:pPr>
        <w:spacing w:before="0" w:after="160" w:line="320" w:lineRule="auto"/>
        <w:jc w:val="left"/>
      </w:pPr>
      <w:r>
        <w:rPr>
          <w:rFonts w:ascii="Arial" w:cs="Arial" w:eastAsia="Arial" w:hAnsi="Arial"/>
          <w:sz w:val="24"/>
          <w:szCs w:val="24"/>
        </w:rPr>
        <w:t xml:space="preserve">The most practically consequential clinical implication of the gate mechanism is that the behavioral signatures of a profoundly gifted child in a mismatched environment are systematically misread as learning disabilities, behavioral disorders, or motivational failures. If the framework is correct, these signatures reflect the encoding gate working correctly in an environment that is not providing the right input. The predicted response, on this account, is identification followed by environment restructuring rather than remediation — though this recommendation requires direct empirical testing before it can be treated as clinical guidance.</w:t>
      </w:r>
    </w:p>
    <w:p>
      <w:pPr>
        <w:spacing w:before="0" w:after="160" w:line="320" w:lineRule="auto"/>
        <w:jc w:val="left"/>
      </w:pPr>
      <w:r>
        <w:rPr>
          <w:rFonts w:ascii="Arial" w:cs="Arial" w:eastAsia="Arial" w:hAnsi="Arial"/>
          <w:sz w:val="24"/>
          <w:szCs w:val="24"/>
        </w:rPr>
        <w:t xml:space="preserve">The following behavioral patterns follow directly from the gate mechanism and are predictable from the architecture. They require no special testing to observe. They are visible in ordinary classroom and occupational settings to any observer who knows what they are looking at.</w:t>
      </w:r>
    </w:p>
    <w:p>
      <w:pPr>
        <w:pStyle w:val="Heading3"/>
        <w:spacing w:before="180" w:after="80"/>
      </w:pPr>
      <w:r>
        <w:rPr>
          <w:rFonts w:ascii="Arial" w:cs="Arial" w:eastAsia="Arial" w:hAnsi="Arial"/>
          <w:b/>
          <w:bCs/>
          <w:color w:val="2E5A96"/>
          <w:sz w:val="24"/>
          <w:szCs w:val="24"/>
        </w:rPr>
        <w:t xml:space="preserve">The Test/Homework Dissociation</w:t>
      </w:r>
    </w:p>
    <w:p>
      <w:pPr>
        <w:spacing w:before="0" w:after="160" w:line="320" w:lineRule="auto"/>
        <w:jc w:val="left"/>
      </w:pPr>
      <w:r>
        <w:rPr>
          <w:rFonts w:ascii="Arial" w:cs="Arial" w:eastAsia="Arial" w:hAnsi="Arial"/>
          <w:sz w:val="24"/>
          <w:szCs w:val="24"/>
        </w:rPr>
        <w:t xml:space="preserve">The most diagnostically clean signature of the gate mechanism in a school-age child is the dissociation between test performance and assignment completion. The child aces tests consistently — sometimes without apparent study — and refuses, fails to submit, or produces minimal effort on homework, notebook work, and repetitive practice assignments.</w:t>
      </w:r>
    </w:p>
    <w:p>
      <w:pPr>
        <w:spacing w:before="0" w:after="160" w:line="320" w:lineRule="auto"/>
        <w:jc w:val="left"/>
      </w:pPr>
      <w:r>
        <w:rPr>
          <w:rFonts w:ascii="Arial" w:cs="Arial" w:eastAsia="Arial" w:hAnsi="Arial"/>
          <w:sz w:val="24"/>
          <w:szCs w:val="24"/>
        </w:rPr>
        <w:t xml:space="preserve">The mechanism: tests present structurally novel problems in the moment of encounter. The CA3 pattern completion runs, finds no high-confidence match for the specific problem configuration, the encoding gate opens, the traversal occurs, the answer is produced. The performance is genuine and does not require prior memorization of the specific answer. Homework and practice assignments are repetition of content already structurally held — the CA3 match is found immediately, the encoding gate stays closed, no processing occurs because no processing is needed. The brain is not refusing to work. It is accurately reporting: this content is already held, encoding is not required.</w:t>
      </w:r>
    </w:p>
    <w:p>
      <w:pPr>
        <w:spacing w:before="0" w:after="160" w:line="320" w:lineRule="auto"/>
        <w:jc w:val="left"/>
      </w:pPr>
      <w:r>
        <w:rPr>
          <w:rFonts w:ascii="Arial" w:cs="Arial" w:eastAsia="Arial" w:hAnsi="Arial"/>
          <w:sz w:val="24"/>
          <w:szCs w:val="24"/>
        </w:rPr>
        <w:t xml:space="preserve">From outside: inconsistency, laziness, defiance, selective engagement. From inside: the gate working with precision — open on genuine problems, closed on redundant ones. The dissociation is not a behavioral problem. It is the clearest available behavioral marker that the encoding gate is functioning correctly. A child who aces every test and refuses every homework assignment is showing the gate mechanism in operation. The diagnosis of learning disability or behavioral disorder that typically follows this pattern has the causal direction exactly reversed. The school has a delivery problem, not the child.</w:t>
      </w:r>
    </w:p>
    <w:p>
      <w:pPr>
        <w:spacing w:before="0" w:after="160" w:line="320" w:lineRule="auto"/>
        <w:jc w:val="left"/>
      </w:pPr>
      <w:r>
        <w:rPr>
          <w:rFonts w:ascii="Arial" w:cs="Arial" w:eastAsia="Arial" w:hAnsi="Arial"/>
          <w:sz w:val="24"/>
          <w:szCs w:val="24"/>
        </w:rPr>
        <w:t xml:space="preserve">The test/homework dissociation specifically predicts: performance should be high and consistent on problems that are genuinely novel (including advanced material the child has never seen) and low or absent on repetitive practice of already-held content. This is not the pattern of a learning disability. A learning disability produces low performance on novel problems and may benefit from repetitive practice. The gate mechanism produces the opposite: high performance on genuine problems, refusal of repetition. These are distinguishable with any standard academic record.</w:t>
      </w:r>
    </w:p>
    <w:p>
      <w:pPr>
        <w:pStyle w:val="Heading3"/>
        <w:spacing w:before="180" w:after="80"/>
      </w:pPr>
      <w:r>
        <w:rPr>
          <w:rFonts w:ascii="Arial" w:cs="Arial" w:eastAsia="Arial" w:hAnsi="Arial"/>
          <w:b/>
          <w:bCs/>
          <w:color w:val="2E5A96"/>
          <w:sz w:val="24"/>
          <w:szCs w:val="24"/>
        </w:rPr>
        <w:t xml:space="preserve">The Pace-Removal Acceleration</w:t>
      </w:r>
    </w:p>
    <w:p>
      <w:pPr>
        <w:spacing w:before="0" w:after="160" w:line="320" w:lineRule="auto"/>
        <w:jc w:val="left"/>
      </w:pPr>
      <w:r>
        <w:rPr>
          <w:rFonts w:ascii="Arial" w:cs="Arial" w:eastAsia="Arial" w:hAnsi="Arial"/>
          <w:sz w:val="24"/>
          <w:szCs w:val="24"/>
        </w:rPr>
        <w:t xml:space="preserve">The second behavioral signature is rate of acquisition under unconstrained conditions. The gifted child's acquisition rate in a paced institutional environment is set by the institution's delivery rate, not by the child's acquisition capacity. The two are entirely different quantities and the institution's rate is almost always the binding constraint. When the pace constraint is removed — independent study, self-directed learning, access to frontier material at the child's own rate — the actual acquisition rate emerges.</w:t>
      </w:r>
    </w:p>
    <w:p>
      <w:pPr>
        <w:spacing w:before="0" w:after="160" w:line="320" w:lineRule="auto"/>
        <w:jc w:val="left"/>
      </w:pPr>
      <w:r>
        <w:rPr>
          <w:rFonts w:ascii="Arial" w:cs="Arial" w:eastAsia="Arial" w:hAnsi="Arial"/>
          <w:sz w:val="24"/>
          <w:szCs w:val="24"/>
        </w:rPr>
        <w:t xml:space="preserve">The predicted outcome: multiple institutional grade-levels of material acquired in a fraction of the expected time. This is not a processing speed effect. Processing speed is a continuous variable that would produce proportional acceleration — twice as fast would cover twice the material. What the gate mechanism predicts is non-linear: the bottleneck was structural novelty supply rate, not acquisition capacity. Remove the bottleneck and the system runs at its native rate, which is bounded by structural-layer novelty, not by calendar time or content volume. The acquisition rate in an unconstrained environment reveals what the paced environment was suppressing.</w:t>
      </w:r>
    </w:p>
    <w:p>
      <w:pPr>
        <w:spacing w:before="0" w:after="160" w:line="320" w:lineRule="auto"/>
        <w:jc w:val="left"/>
      </w:pPr>
      <w:r>
        <w:rPr>
          <w:rFonts w:ascii="Arial" w:cs="Arial" w:eastAsia="Arial" w:hAnsi="Arial"/>
          <w:sz w:val="24"/>
          <w:szCs w:val="24"/>
        </w:rPr>
        <w:t xml:space="preserve">Two years of institutional content completed in one semester is not exceptional in the context of this mechanism. It is the expected outcome when a structural-layer Detection architecture is finally supplied with frontier material at its own rate instead of at a rate calibrated for content-layer acquisition. The child completing two academic years in one semester on top of regular coursework is not working harder. The structural templates are being laid down at the rate the gate was always capable of when given appropriate input. The institution had been delivering content at a rate calibrated for CA3-match-required encoding. The gate was never the bottleneck.</w:t>
      </w:r>
    </w:p>
    <w:p>
      <w:pPr>
        <w:spacing w:before="0" w:after="160" w:line="320" w:lineRule="auto"/>
        <w:jc w:val="left"/>
      </w:pPr>
      <w:r>
        <w:rPr>
          <w:rFonts w:ascii="Arial" w:cs="Arial" w:eastAsia="Arial" w:hAnsi="Arial"/>
          <w:sz w:val="24"/>
          <w:szCs w:val="24"/>
        </w:rPr>
        <w:t xml:space="preserve">The motivational account of acceleration requires acknowledgment: a bored child given autonomy and interesting material performs better simply because motivation is restored. This alternative predicts proportional improvement — a child who was 50% engaged, now at 100% engagement, covers material twice as fast. The structural novelty account predicts non-linear acceleration: removing the structural novelty bottleneck allows the system to run at its native acquisition rate, which is bounded by structural-layer novelty supply, not by effort level. Two academic years in one semester is a 4x acceleration that exceeds what motivational restoration alone would predict. Non-linear acceleration under unconstrained conditions — significantly beyond proportional improvement — is the discriminating feature between the two accounts.</w:t>
      </w:r>
    </w:p>
    <w:p>
      <w:pPr>
        <w:pStyle w:val="Heading3"/>
        <w:spacing w:before="180" w:after="80"/>
      </w:pPr>
      <w:r>
        <w:rPr>
          <w:rFonts w:ascii="Arial" w:cs="Arial" w:eastAsia="Arial" w:hAnsi="Arial"/>
          <w:b/>
          <w:bCs/>
          <w:color w:val="2E5A96"/>
          <w:sz w:val="24"/>
          <w:szCs w:val="24"/>
        </w:rPr>
        <w:t xml:space="preserve">The Cross-Domain Acquisition Signature</w:t>
      </w:r>
    </w:p>
    <w:p>
      <w:pPr>
        <w:spacing w:before="0" w:after="160" w:line="320" w:lineRule="auto"/>
        <w:jc w:val="left"/>
      </w:pPr>
      <w:r>
        <w:rPr>
          <w:rFonts w:ascii="Arial" w:cs="Arial" w:eastAsia="Arial" w:hAnsi="Arial"/>
          <w:sz w:val="24"/>
          <w:szCs w:val="24"/>
        </w:rPr>
        <w:t xml:space="preserve">The third signature appears in adult professional contexts: rapid acquisition of a new occupational or professional domain with minimal training, followed by the ability to teach domain veterans on aspects they have not integrated structurally. The mechanism is AG structural isomorphism detection running against the existing template library, supported by the schema-mediated encoding described in the neuroscience literature: when new information is consistent with existing structural schemas, it is rapidly assimilated via expedited cortical consolidation rather than requiring full episodic hippocampal encoding (Tzakis et al., 2024). A new job domain encountered with a rich structural template library from prior domains benefits from this acceleration in proportion to its structural overlap with held templates. Only the non-overlapping content needs full acquisition — the structural scaffold is already held and the new domain's content is mapped onto it directly. A prediction derived from this framework: acquisition rate should scale inversely with structural distance. Domains structurally adjacent to the existing library should be acquired dramatically faster; genuinely structurally distant domains should require more time because the structural scaffold must be built rather than borrowed. This is a testable prediction (see Prediction F2), not a documented finding. The months of apparent acquisition time in adjacent domains is actually weeks of content-layer delta on top of an already-held structural scaffold.</w:t>
      </w:r>
    </w:p>
    <w:p>
      <w:pPr>
        <w:spacing w:before="0" w:after="160" w:line="320" w:lineRule="auto"/>
        <w:jc w:val="left"/>
      </w:pPr>
      <w:r>
        <w:rPr>
          <w:rFonts w:ascii="Arial" w:cs="Arial" w:eastAsia="Arial" w:hAnsi="Arial"/>
          <w:sz w:val="24"/>
          <w:szCs w:val="24"/>
        </w:rPr>
        <w:t xml:space="preserve">The teaching inversion follows from the same mechanism. The domain veteran has content-layer depth — years of execution experience, accumulated procedural knowledge. The structural-layer acquisition produces something different: knowledge of why the domain is organized the way it is, what structural constraints underlie the standard procedures, where the edge cases live and why, what would need to change if a boundary condition shifted. These are questions the content-layer acquisition rarely reaches because they require the structural template to be active before the content is engaged. The new arrival who can answer questions the veterans cannot is not arrogant and is not wrong. They are operating from a different layer of the domain's knowledge structure.</w:t>
      </w:r>
    </w:p>
    <w:p>
      <w:pPr>
        <w:pStyle w:val="Heading3"/>
        <w:spacing w:before="180" w:after="80"/>
      </w:pPr>
      <w:r>
        <w:rPr>
          <w:rFonts w:ascii="Arial" w:cs="Arial" w:eastAsia="Arial" w:hAnsi="Arial"/>
          <w:b/>
          <w:bCs/>
          <w:color w:val="2E5A96"/>
          <w:sz w:val="24"/>
          <w:szCs w:val="24"/>
        </w:rPr>
        <w:t xml:space="preserve">The Identification Protocol</w:t>
      </w:r>
    </w:p>
    <w:p>
      <w:pPr>
        <w:spacing w:before="0" w:after="160" w:line="320" w:lineRule="auto"/>
        <w:jc w:val="left"/>
      </w:pPr>
      <w:r>
        <w:rPr>
          <w:rFonts w:ascii="Arial" w:cs="Arial" w:eastAsia="Arial" w:hAnsi="Arial"/>
          <w:sz w:val="24"/>
          <w:szCs w:val="24"/>
        </w:rPr>
        <w:t xml:space="preserve">These three signatures together constitute a practical identification protocol that requires no specialized testing, no IQ score, and no clinical referral. Any teacher, parent, or employer who observes all three in the same individual — consistent high performance on genuine novel problems, refusal or minimal engagement with repetitive work, non-linear acceleration under unconstrained conditions — is looking at a structural-layer Detection architecture in a mismatched environment. The framework suggests the relevant question is environmental fit rather than individual deficit. If the mismatch account is correct, the predicted intervention is structural novelty supply at the operating layer — though this prediction awaits empirical validation before it can be treated as a clinical recommendation.</w:t>
      </w:r>
    </w:p>
    <w:p>
      <w:pPr>
        <w:spacing w:before="0" w:after="160" w:line="320" w:lineRule="auto"/>
        <w:jc w:val="left"/>
      </w:pPr>
      <w:r>
        <w:rPr>
          <w:rFonts w:ascii="Arial" w:cs="Arial" w:eastAsia="Arial" w:hAnsi="Arial"/>
          <w:sz w:val="24"/>
          <w:szCs w:val="24"/>
        </w:rPr>
        <w:t xml:space="preserve">The protocol is falsifiable: if a child shows the test/homework dissociation but does not show acceleration under unconstrained conditions, the gate mechanism account is weakened — some other explanation for the dissociation should be sought. If a child shows acceleration under unconstrained conditions but does not show the test/homework dissociation, the gate is not producing the expected filter signature and again another account should be considered. All three signatures together, with the dissociation running in the predicted direction (high on novel, low on repetition), is the behavioral fingerprint of the mechanism.</w:t>
      </w:r>
    </w:p>
    <w:p>
      <w:pPr>
        <w:spacing w:before="0" w:after="160" w:line="320" w:lineRule="auto"/>
        <w:jc w:val="left"/>
      </w:pPr>
      <w:r>
        <w:rPr>
          <w:rFonts w:ascii="Arial" w:cs="Arial" w:eastAsia="Arial" w:hAnsi="Arial"/>
          <w:sz w:val="24"/>
          <w:szCs w:val="24"/>
        </w:rPr>
        <w:t xml:space="preserve">Each signature in isolation has alternative explanations and produces false positives. The test/homework dissociation without acceleration could reflect domain-specific learning disability — high performance in areas of strength, poor performance in areas of processing deficit, with no unconstrained acceleration because the deficit is real. Unconstrained acceleration without the dissociation could reflect motivational effects of autonomy in a bright but not structural-layer child. The combination of all three, with the specific directionality the mechanism predicts, substantially reduces alternative explanations — but does not eliminate them. The identification protocol is a clinical signal requiring follow-up assessment, not a definitive diagnosis.</w:t>
      </w:r>
    </w:p>
    <w:p>
      <w:pPr>
        <w:spacing w:before="0" w:after="160" w:line="320" w:lineRule="auto"/>
        <w:jc w:val="left"/>
      </w:pPr>
      <w:r>
        <w:rPr>
          <w:rFonts w:ascii="Arial" w:cs="Arial" w:eastAsia="Arial" w:hAnsi="Arial"/>
          <w:sz w:val="24"/>
          <w:szCs w:val="24"/>
        </w:rPr>
        <w:t xml:space="preserve">The distinguishing feature between a structural-layer Detection profile and a bright, motivated content-layer profile is the structural quality of the acceleration. A content-layer profile acquires more content faster when constraints are removed. A structural-layer profile acquires structural schemas — the 'why is this domain organized the way it is' and 'what does this share with other domains I hold' — before engaging content detail, and the acquisition rate is non-linear because the structural scaffold then pulls in related content automatically. Watch for questions that probe organizational structure rather than content detail, connections drawn between the new domain and apparently unrelated fields, and the ability to predict domain-internal structure before fully processing it. These are the structural-layer signatures inside the acceleration.</w:t>
      </w:r>
    </w:p>
    <w:p>
      <w:pPr>
        <w:spacing w:before="0" w:after="160" w:line="320" w:lineRule="auto"/>
        <w:jc w:val="left"/>
      </w:pPr>
      <w:r>
        <w:rPr>
          <w:rFonts w:ascii="Arial" w:cs="Arial" w:eastAsia="Arial" w:hAnsi="Arial"/>
          <w:sz w:val="24"/>
          <w:szCs w:val="24"/>
        </w:rPr>
        <w:t xml:space="preserve">A specific caution on IQ scores: do not use them as the primary identification tool for this profile. As detailed in Section 4, IQ scores are systematically misleading at the profound end — they underestimate when the library is dense, are unstable across instruments because those instruments measure different things, and are circular because they measure what gifted profiles do natively. At the profound tier, a profoundly gifted child who was bored during the test and scored 130 has not been measured. The gate fired on the test format mid-session. The score reflects filter saturation, not capacity. The behavioral signatures — test/homework dissociation, pace-removal acceleration, cross-domain acquisition signature — are more diagnostically informative than any IQ number. A child who aces every test without studying and completed two academic years in one semester when given the chance has told you everything a test score could tell you and more.</w:t>
      </w:r>
    </w:p>
    <w:p>
      <w:pPr>
        <w:pStyle w:val="Heading3"/>
        <w:spacing w:before="180" w:after="80"/>
      </w:pPr>
      <w:r>
        <w:rPr>
          <w:rFonts w:ascii="Arial" w:cs="Arial" w:eastAsia="Arial" w:hAnsi="Arial"/>
          <w:b/>
          <w:bCs/>
          <w:color w:val="2E5A96"/>
          <w:sz w:val="24"/>
          <w:szCs w:val="24"/>
        </w:rPr>
        <w:t xml:space="preserve">A Fourth Signature in the Clinical Context: Stimulant Non-Response</w:t>
      </w:r>
    </w:p>
    <w:p>
      <w:pPr>
        <w:spacing w:before="0" w:after="160" w:line="320" w:lineRule="auto"/>
        <w:jc w:val="left"/>
      </w:pPr>
      <w:r>
        <w:rPr>
          <w:rFonts w:ascii="Arial" w:cs="Arial" w:eastAsia="Arial" w:hAnsi="Arial"/>
          <w:sz w:val="24"/>
          <w:szCs w:val="24"/>
        </w:rPr>
        <w:t xml:space="preserve">In clinical settings where stimulant medication has been tried, stimulant non-response is a fourth identification signal. Genuine ADHD produces clear, dose-dependent improvement with stimulants — WM selectivity restores, attention stabilizes, task completion improves substantially. The structural identity case predicts non-response: tonic DA is already near optimal, D1R stimulation is near the optimal inverted-U range, and pushing DA higher produces no meaningful gate correction. The effect is equivalent to caffeine — mild nonspecific arousal, nothing more. If a profoundly gifted person with an ADHD diagnosis reports that stimulant medication did nothing beyond mild alertness, and that this effect was indistinguishable from caffeine, this is not a treatment failure. It is a diagnostic signal. On this account, the navigation system was not broken, and environmental restructuring is the predicted intervention — a hypothesis that requires tier-stratified clinical study to confirm.</w:t>
      </w:r>
    </w:p>
    <w:p>
      <w:pPr>
        <w:spacing w:before="0" w:after="160" w:line="320" w:lineRule="auto"/>
        <w:jc w:val="left"/>
      </w:pPr>
      <w:r>
        <w:rPr>
          <w:rFonts w:ascii="Arial" w:cs="Arial" w:eastAsia="Arial" w:hAnsi="Arial"/>
          <w:sz w:val="24"/>
          <w:szCs w:val="24"/>
        </w:rPr>
        <w:t xml:space="preserve">The clinical cost of missing this identification is the self-reinforcing mismatch cascade described in §6.1: the child receives a learning disability or behavioral disorder diagnosis, is placed in remediation programs or medicated, is trained in neurotypical persistence strategies, and the wall label is installed early. The navigation signal gets suppressed or pathologized at the age when the architecture is most active and the library is growing fastest. The damage from that early mislabeling compounds through every subsequent environment the person enters. Getting the identification right in childhood is the highest-leverage intervention point in this entire framework.</w:t>
      </w:r>
    </w:p>
    <w:p>
      <w:pPr>
        <w:pStyle w:val="Heading3"/>
        <w:spacing w:before="180" w:after="80"/>
      </w:pPr>
      <w:r>
        <w:rPr>
          <w:rFonts w:ascii="Arial" w:cs="Arial" w:eastAsia="Arial" w:hAnsi="Arial"/>
          <w:b/>
          <w:bCs/>
          <w:color w:val="2E5A96"/>
          <w:sz w:val="24"/>
          <w:szCs w:val="24"/>
        </w:rPr>
        <w:t xml:space="preserve">The Internalizing vs. Externalizing Presentation Problem</w:t>
      </w:r>
    </w:p>
    <w:p>
      <w:pPr>
        <w:spacing w:before="0" w:after="160" w:line="320" w:lineRule="auto"/>
        <w:jc w:val="left"/>
      </w:pPr>
      <w:r>
        <w:rPr>
          <w:rFonts w:ascii="Arial" w:cs="Arial" w:eastAsia="Arial" w:hAnsi="Arial"/>
          <w:sz w:val="24"/>
          <w:szCs w:val="24"/>
        </w:rPr>
        <w:t xml:space="preserve">The identification protocol as described is most visible when the mismatch response is externalizing — refusal, visible disengagement, disruptive behavior, outward resistance to homework. These presentations are what get referred for assessment. The same mechanism produces an internalizing response in a substantial portion of the population: quiet compliance with redundant work, social masking, anxiety about not understanding why the environment feels so wrong, withdrawal. The test/homework dissociation may still be present — acing tests while producing minimal homework effort — but the refusal is internalized as anxiety rather than externalized as defiance. The pace-removal acceleration may be hidden because the child has learned to self-pace to institutional norms. A 2024 study using ECLS-K data found that among students with disabilities (IEPs) who statistically should have qualified for gifted programs, those exhibiting more internalizing problem behaviors were significantly more likely to be missed — the identification system systematically underselects internalizing presentations in twice-exceptional populations (Jameson et al., 2024, Education 14:1048). The broader hypothesis that identification misses internalizing gifted presentations more generally is well-supported by practitioner literature and the bidirectional masking literature, but the direct ECLS-K finding is specific to the IEP/twice-exceptional subgroup. Girls, students from disadvantaged backgrounds, and students who have learned to camouflage mismatch responses are overrepresented in the missed group. The behavioral signatures in §9.5 should be applied with explicit awareness that the filter and gate mechanisms are identical across these populations — the behavioral surface may look quieter, but the underlying architecture and its mismatch with the environment is the same.</w:t>
      </w:r>
    </w:p>
    <w:p>
      <w:pPr>
        <w:spacing w:before="0" w:after="80"/>
      </w:pPr>
      <w:r>
        <w:t xml:space="preserve"/>
      </w:r>
    </w:p>
    <w:p>
      <w:pPr>
        <w:pStyle w:val="Heading1"/>
        <w:spacing w:before="300" w:after="150"/>
      </w:pPr>
      <w:r>
        <w:rPr>
          <w:rFonts w:ascii="Arial" w:cs="Arial" w:eastAsia="Arial" w:hAnsi="Arial"/>
          <w:b/>
          <w:bCs/>
          <w:color w:val="1F3864"/>
          <w:sz w:val="32"/>
          <w:szCs w:val="32"/>
        </w:rPr>
        <w:t xml:space="preserve">10. Discussion and Limitations</w:t>
      </w:r>
    </w:p>
    <w:p>
      <w:pPr>
        <w:spacing w:before="0" w:after="160" w:line="320" w:lineRule="auto"/>
        <w:jc w:val="left"/>
      </w:pPr>
      <w:r>
        <w:rPr>
          <w:rFonts w:ascii="Arial" w:cs="Arial" w:eastAsia="Arial" w:hAnsi="Arial"/>
          <w:sz w:val="24"/>
          <w:szCs w:val="24"/>
        </w:rPr>
        <w:t xml:space="preserve">The five-operation framework applied here derives from systematic analysis of the cognitive neuroscience literature on spreading activation, attentional gating, novelty detection, pattern completion, and structural updating. It has not been validated in the giftedness context by independent research groups, and the predictions in Section 7 remain untested as explicit tests of this framework. Independent replication is the necessary next step.</w:t>
      </w:r>
    </w:p>
    <w:p>
      <w:pPr>
        <w:spacing w:before="0" w:after="160" w:line="320" w:lineRule="auto"/>
        <w:jc w:val="left"/>
      </w:pPr>
      <w:r>
        <w:rPr>
          <w:rFonts w:ascii="Arial" w:cs="Arial" w:eastAsia="Arial" w:hAnsi="Arial"/>
          <w:sz w:val="24"/>
          <w:szCs w:val="24"/>
        </w:rPr>
        <w:t xml:space="preserve">The three positive mechanisms in Section 3 are the most novel claims in this paper. They are stated mechanistically and produce falsifiable predictions (F1, F2 in Section 7.6). The analogical read prediction in particular — that angular gyrus activation precedes domain-specific activation in gifted profiles encountering new domains — is directly testable with existing neuroimaging infrastructure and requires no new methodology. F1 remains the highest-priority falsification target.</w:t>
      </w:r>
    </w:p>
    <w:p>
      <w:pPr>
        <w:spacing w:before="0" w:after="160" w:line="320" w:lineRule="auto"/>
        <w:jc w:val="left"/>
      </w:pPr>
      <w:r>
        <w:rPr>
          <w:rFonts w:ascii="Arial" w:cs="Arial" w:eastAsia="Arial" w:hAnsi="Arial"/>
          <w:sz w:val="24"/>
          <w:szCs w:val="24"/>
        </w:rPr>
        <w:t xml:space="preserve">The construct of structural novelty is defined and operationalized in Section 2.1. Its measurement limitations apply throughout: the neural operationalization via LC phasic response, CA3 completion failure, and AG mismatch signal is more precise than behavioral approximation, and those neural markers constitute Predictions A1, A2, and F1 respectively.</w:t>
      </w:r>
    </w:p>
    <w:p>
      <w:pPr>
        <w:spacing w:before="0" w:after="160" w:line="320" w:lineRule="auto"/>
        <w:jc w:val="left"/>
      </w:pPr>
      <w:r>
        <w:rPr>
          <w:rFonts w:ascii="Arial" w:cs="Arial" w:eastAsia="Arial" w:hAnsi="Arial"/>
          <w:sz w:val="24"/>
          <w:szCs w:val="24"/>
        </w:rPr>
        <w:t xml:space="preserve">An aging confound requires acknowledgment. The gifted wall typically presents in adults at ages where normal age-related cognitive changes are also occurring — processing speed decline, executive function shifts, sleep architecture changes. The paper does not disambiguate these contributions. The key prediction that distinguishes filter saturation from normal aging is selective rather than global activation change: aging produces broadly distributed neural efficiency reductions across task types; filter saturation predicts selective suppression specifically on structurally redundant inputs with full activation reactivation on genuinely novel structural problems. The neuroimaging prediction added to §7 as Prediction G1 — that gifted adults presenting with wall behavior show full bilateral prefrontal activation on genuinely novel structural problems indistinguishable from age-matched gifted adults not presenting with wall behavior — directly tests this disambiguation. Normal aging would predict partial reactivation at best. Filter saturation predicts complete reactivation.</w:t>
      </w:r>
    </w:p>
    <w:p>
      <w:pPr>
        <w:spacing w:before="0" w:after="160" w:line="320" w:lineRule="auto"/>
        <w:jc w:val="left"/>
      </w:pPr>
      <w:r>
        <w:rPr>
          <w:rFonts w:ascii="Arial" w:cs="Arial" w:eastAsia="Arial" w:hAnsi="Arial"/>
          <w:sz w:val="24"/>
          <w:szCs w:val="24"/>
        </w:rPr>
        <w:t xml:space="preserve">The tier IQ ranges in Section 4 (~130-144, ~145-159, ~160-174, ~175+) are proposed approximate boundaries for falsification purposes, not derived values from the architecture. The architecture predicts tier transitions exist and are qualitative; it does not predict the specific IQ values at which they occur. The boundaries are chosen for approximate consistency with existing IQ classification literature, subject to the measurement constraints described in Section 4.</w:t>
      </w:r>
    </w:p>
    <w:p>
      <w:pPr>
        <w:spacing w:before="0" w:after="160" w:line="320" w:lineRule="auto"/>
        <w:jc w:val="left"/>
      </w:pPr>
      <w:r>
        <w:rPr>
          <w:rFonts w:ascii="Arial" w:cs="Arial" w:eastAsia="Arial" w:hAnsi="Arial"/>
          <w:sz w:val="24"/>
          <w:szCs w:val="24"/>
        </w:rPr>
        <w:t xml:space="preserve">The ADHD-giftedness structural identity claim is the strongest claim in this paper. It should be noted that even if the mechanisms are identical, presentation differences are real and practically significant. The claim is not that ADHD and giftedness are the same condition — it is that they may be the same underlying neurochemical architecture presenting through different environmental filters in a specific subset of cases.</w:t>
      </w:r>
    </w:p>
    <w:p>
      <w:pPr>
        <w:spacing w:before="0" w:after="160" w:line="320" w:lineRule="auto"/>
        <w:jc w:val="left"/>
      </w:pPr>
      <w:r>
        <w:rPr>
          <w:rFonts w:ascii="Arial" w:cs="Arial" w:eastAsia="Arial" w:hAnsi="Arial"/>
          <w:sz w:val="24"/>
          <w:szCs w:val="24"/>
        </w:rPr>
        <w:t xml:space="preserve">The exercise countermeasure section (6.6) integrates findings from musculoskeletal, cardiovascular, and neurotrophic research streams. Individual mechanisms are Tier A or Tier B. Their integration as a unified countermeasure for architectural mismatch is a Tier C synthesis — each component is supported, but the combined cascade as a deliberate intervention strategy has not been tested in the gifted mismatch population.</w:t>
      </w:r>
    </w:p>
    <w:p>
      <w:pPr>
        <w:spacing w:before="0" w:after="160" w:line="320" w:lineRule="auto"/>
        <w:jc w:val="left"/>
      </w:pPr>
      <w:r>
        <w:rPr>
          <w:rFonts w:ascii="Arial" w:cs="Arial" w:eastAsia="Arial" w:hAnsi="Arial"/>
          <w:sz w:val="24"/>
          <w:szCs w:val="24"/>
        </w:rPr>
        <w:t xml:space="preserve">The peripheral immune detection analog (Section 6.3) rests on a structural analogy with a plausible molecular candidate (GR sensitivity). The population evidence is mixed, as predicted by the tier-stratification argument, but that argument itself requires direct test. The strongest test would be tier-stratified GR sensitivity measurement across immune and neural tissue in the same individuals.</w:t>
      </w:r>
    </w:p>
    <w:p>
      <w:pPr>
        <w:spacing w:before="0" w:after="80"/>
      </w:pPr>
      <w:r>
        <w:t xml:space="preserve"/>
      </w:r>
    </w:p>
    <w:p>
      <w:pPr>
        <w:pStyle w:val="Heading1"/>
        <w:spacing w:before="300" w:after="150"/>
      </w:pPr>
      <w:r>
        <w:rPr>
          <w:rFonts w:ascii="Arial" w:cs="Arial" w:eastAsia="Arial" w:hAnsi="Arial"/>
          <w:b/>
          <w:bCs/>
          <w:color w:val="1F3864"/>
          <w:sz w:val="32"/>
          <w:szCs w:val="32"/>
        </w:rPr>
        <w:t xml:space="preserve">11. Conclusions</w:t>
      </w:r>
    </w:p>
    <w:p>
      <w:pPr>
        <w:spacing w:before="0" w:after="160" w:line="320" w:lineRule="auto"/>
        <w:jc w:val="left"/>
      </w:pPr>
      <w:r>
        <w:rPr>
          <w:rFonts w:ascii="Arial" w:cs="Arial" w:eastAsia="Arial" w:hAnsi="Arial"/>
          <w:sz w:val="24"/>
          <w:szCs w:val="24"/>
        </w:rPr>
        <w:t xml:space="preserve">Intellectual giftedness is often treated as a quantitative increase in intelligence, but the framework developed here suggests it may be better understood as a difference in the abstraction layer at which detection primarily operates. On this account, gifted cognition is not defined only by faster processing or greater capacity, but by a characteristic configuration of propagation, gating, detection, accumulation, and refinement that supports cross-domain structural integration, sub-threshold associative traversal, and access to higher-order representational layers.</w:t>
      </w:r>
    </w:p>
    <w:p>
      <w:pPr>
        <w:spacing w:before="0" w:after="160" w:line="320" w:lineRule="auto"/>
        <w:jc w:val="left"/>
      </w:pPr>
      <w:r>
        <w:rPr>
          <w:rFonts w:ascii="Arial" w:cs="Arial" w:eastAsia="Arial" w:hAnsi="Arial"/>
          <w:sz w:val="24"/>
          <w:szCs w:val="24"/>
        </w:rPr>
        <w:t xml:space="preserve">Within that framework, the phenomenon often described as the "gifted wall" is better modeled not as loss of giftedness or developmental decline, but as a mismatch between an intact architecture and an environment that has become structurally redundant at the individual's operating layer. The central proposal is that the angular gyrus filter, together with hippocampal pattern completion and encoding-gate dynamics, increasingly classifies incoming material as structurally familiar as the template library grows denser across development and adulthood. When that occurs, reduced engagement and reduced visible output need not imply reduced capacity; they may instead reflect a system that is correctly withholding new encoding under conditions of high structural predictability.</w:t>
      </w:r>
    </w:p>
    <w:p>
      <w:pPr>
        <w:spacing w:before="0" w:after="160" w:line="320" w:lineRule="auto"/>
        <w:jc w:val="left"/>
      </w:pPr>
      <w:r>
        <w:rPr>
          <w:rFonts w:ascii="Arial" w:cs="Arial" w:eastAsia="Arial" w:hAnsi="Arial"/>
          <w:sz w:val="24"/>
          <w:szCs w:val="24"/>
        </w:rPr>
        <w:t xml:space="preserve">This interpretation has several implications. First, it suggests that apparent plateau, disengagement, or "after-gifted" decline may in some cases be better explained by architectural mismatch than by ceiling effects or trait loss. Second, it predicts that restoring genuinely novel structural input should reactivate the same architecture rapidly, a claim captured most directly in Prediction G1. Third, it implies that some behaviors commonly labeled distractibility, domain-jumping, or inconsistent output may be expressions of the same architecture under different environmental conditions rather than evidence of separate dysfunction in every case.</w:t>
      </w:r>
    </w:p>
    <w:p>
      <w:pPr>
        <w:spacing w:before="0" w:after="160" w:line="320" w:lineRule="auto"/>
        <w:jc w:val="left"/>
      </w:pPr>
      <w:r>
        <w:rPr>
          <w:rFonts w:ascii="Arial" w:cs="Arial" w:eastAsia="Arial" w:hAnsi="Arial"/>
          <w:sz w:val="24"/>
          <w:szCs w:val="24"/>
        </w:rPr>
        <w:t xml:space="preserve">The paper also advances a narrower and more controversial possibility: that, in a subset of higher-tier cases, behaviors currently described through both giftedness and ADHD frameworks may reflect overlapping or even identical underlying mechanisms expressed under different environmental constraints. That claim remains a hypothesis, not a settled conclusion, and it requires direct testing with tier-stratified samples, environmental manipulations, and biological markers rather than behavioral observation alone. The practical value of the proposal is therefore not that it resolves the question in advance, but that it generates discriminating predictions about stimulant response, environmental layer matching, and baseline neurobiology.</w:t>
      </w:r>
    </w:p>
    <w:p>
      <w:pPr>
        <w:spacing w:before="0" w:after="160" w:line="320" w:lineRule="auto"/>
        <w:jc w:val="left"/>
      </w:pPr>
      <w:r>
        <w:rPr>
          <w:rFonts w:ascii="Arial" w:cs="Arial" w:eastAsia="Arial" w:hAnsi="Arial"/>
          <w:sz w:val="24"/>
          <w:szCs w:val="24"/>
        </w:rPr>
        <w:t xml:space="preserve">More broadly, the paper is intended as a mechanistic synthesis and a falsifiable research program. Its strongest contribution is not any single downstream application, but the attempt to connect adult neuroscience of convergence, novelty detection, pattern completion, and neuromodulatory gating to a domain that has been studied mostly in pre-saturation child samples. The synthesis is frontier; the components are established. If the framework is wrong, the predictions should fail in clear ways — especially the priority tests concerning angular-gyrus timing (F1), preserved activation under renewed structural novelty (G1), and differential relief between mismatch and ordinary expert fatigue (G2).</w:t>
      </w:r>
    </w:p>
    <w:p>
      <w:pPr>
        <w:spacing w:before="0" w:after="160" w:line="320" w:lineRule="auto"/>
        <w:jc w:val="left"/>
      </w:pPr>
      <w:r>
        <w:rPr>
          <w:rFonts w:ascii="Arial" w:cs="Arial" w:eastAsia="Arial" w:hAnsi="Arial"/>
          <w:sz w:val="24"/>
          <w:szCs w:val="24"/>
        </w:rPr>
        <w:t xml:space="preserve">The model therefore stands or falls on empirical discrimination rather than rhetorical force. If higher-tier gifted adults who report wall behavior show selective suppression on structurally redundant input but full re-engagement on genuinely novel structural problems, the capacity-preservation account gains support. If they do not — if instead they show generalized reduction across both redundant and genuinely novel tasks — the mismatch interpretation would need to be revised in favor of decline, aging, or some other explanation.</w:t>
      </w:r>
    </w:p>
    <w:p>
      <w:pPr>
        <w:spacing w:before="0" w:after="160" w:line="320" w:lineRule="auto"/>
        <w:jc w:val="left"/>
      </w:pPr>
      <w:r>
        <w:rPr>
          <w:rFonts w:ascii="Arial" w:cs="Arial" w:eastAsia="Arial" w:hAnsi="Arial"/>
          <w:sz w:val="24"/>
          <w:szCs w:val="24"/>
        </w:rPr>
        <w:t xml:space="preserve">For that reason, the most important next step is not further theoretical expansion but direct testing. The new predictions in this version — HRV-RMSSD as a non-imaging proxy for mismatch state, the exercise endocrine axis as a four-channel simultaneous countermeasure, and G1/G2 distinguishing filter saturation from aging and expert fatigue — provide both clinically accessible tools and direct tests of the paper's central claims. The framework is ambitious, but many of its central claims are experimentally accessible with existing neuroimaging, psychophysiological, and behavioral methods. At minimum, it offers a concrete alternative to developmental-ceiling accounts of the wall and a set of measurable ways to determine whether that alternative is correct.</w:t>
      </w:r>
    </w:p>
    <w:p>
      <w:pPr>
        <w:spacing w:before="0" w:after="80"/>
      </w:pPr>
      <w:r>
        <w:t xml:space="preserve"/>
      </w:r>
    </w:p>
    <w:p>
      <w:pPr>
        <w:pStyle w:val="Heading1"/>
        <w:spacing w:before="300" w:after="150"/>
      </w:pPr>
      <w:r>
        <w:rPr>
          <w:rFonts w:ascii="Arial" w:cs="Arial" w:eastAsia="Arial" w:hAnsi="Arial"/>
          <w:b/>
          <w:bCs/>
          <w:color w:val="1F3864"/>
          <w:sz w:val="32"/>
          <w:szCs w:val="32"/>
        </w:rPr>
        <w:t xml:space="preserve">References</w:t>
      </w:r>
    </w:p>
    <w:p>
      <w:pPr>
        <w:spacing w:before="0" w:after="160" w:line="320" w:lineRule="auto"/>
        <w:jc w:val="left"/>
      </w:pPr>
      <w:r>
        <w:rPr>
          <w:rFonts w:ascii="Arial" w:cs="Arial" w:eastAsia="Arial" w:hAnsi="Arial"/>
          <w:sz w:val="24"/>
          <w:szCs w:val="24"/>
        </w:rPr>
        <w:t xml:space="preserve">Aston-Jones, G., &amp; Cohen, J. D. (2005). An integrative theory of locus coeruleus-norepinephrine function: Adaptive gain and optimal performance. Annual Review of Neuroscience, 28, 403–450.</w:t>
      </w:r>
    </w:p>
    <w:p>
      <w:pPr>
        <w:spacing w:before="0" w:after="160" w:line="320" w:lineRule="auto"/>
        <w:jc w:val="left"/>
      </w:pPr>
      <w:r>
        <w:rPr>
          <w:rFonts w:ascii="Arial" w:cs="Arial" w:eastAsia="Arial" w:hAnsi="Arial"/>
          <w:sz w:val="24"/>
          <w:szCs w:val="24"/>
        </w:rPr>
        <w:t xml:space="preserve">Alexander, L., Wood, C. M., Gaskin, P. L. R., Sawiak, S. J., Fryer, T. D., Hong, Y. T., Clarke, H. F., &amp; Roberts, A. C. (2020). Over-activation of primate subgenual cingulate cortex enhances the cardiovascular, behavioral and neural responses to threat. Nature Communications, 11, 5386.</w:t>
      </w:r>
    </w:p>
    <w:p>
      <w:pPr>
        <w:spacing w:before="0" w:after="160" w:line="320" w:lineRule="auto"/>
        <w:jc w:val="left"/>
      </w:pPr>
      <w:r>
        <w:rPr>
          <w:rFonts w:ascii="Arial" w:cs="Arial" w:eastAsia="Arial" w:hAnsi="Arial"/>
          <w:sz w:val="24"/>
          <w:szCs w:val="24"/>
        </w:rPr>
        <w:t xml:space="preserve">Arnsten, A. F. T. (2006). Stimulants: Therapeutic actions in ADHD. Neuropsychopharmacology, 31(11), 2376–2383.</w:t>
      </w:r>
    </w:p>
    <w:p>
      <w:pPr>
        <w:spacing w:before="0" w:after="160" w:line="320" w:lineRule="auto"/>
        <w:jc w:val="left"/>
      </w:pPr>
      <w:r>
        <w:rPr>
          <w:rFonts w:ascii="Arial" w:cs="Arial" w:eastAsia="Arial" w:hAnsi="Arial"/>
          <w:sz w:val="24"/>
          <w:szCs w:val="24"/>
        </w:rPr>
        <w:t xml:space="preserve">Bartoli, E., et al. (2024). Causal role of the default mode network in divergent thinking via direct cortical stimulation. Brain, 147, 3409–3421.</w:t>
      </w:r>
    </w:p>
    <w:p>
      <w:pPr>
        <w:spacing w:before="0" w:after="160" w:line="320" w:lineRule="auto"/>
        <w:jc w:val="left"/>
      </w:pPr>
      <w:r>
        <w:rPr>
          <w:rFonts w:ascii="Arial" w:cs="Arial" w:eastAsia="Arial" w:hAnsi="Arial"/>
          <w:sz w:val="24"/>
          <w:szCs w:val="24"/>
        </w:rPr>
        <w:t xml:space="preserve">Bastien, C. H., et al. (2023). Sleep architecture in children with high intellectual potential: Polysomnographic findings and behavioral correlates. Sleep Medicine, 102, 112–121.</w:t>
      </w:r>
    </w:p>
    <w:p>
      <w:pPr>
        <w:spacing w:before="0" w:after="160" w:line="320" w:lineRule="auto"/>
        <w:jc w:val="left"/>
      </w:pPr>
      <w:r>
        <w:rPr>
          <w:rFonts w:ascii="Arial" w:cs="Arial" w:eastAsia="Arial" w:hAnsi="Arial"/>
          <w:sz w:val="24"/>
          <w:szCs w:val="24"/>
        </w:rPr>
        <w:t xml:space="preserve">Benbow, C. P. (1986). Physiological correlates of extreme intellectual precocity. Neuropsychologia, 24(5), 719–725.</w:t>
      </w:r>
    </w:p>
    <w:p>
      <w:pPr>
        <w:spacing w:before="0" w:after="160" w:line="320" w:lineRule="auto"/>
        <w:jc w:val="left"/>
      </w:pPr>
      <w:r>
        <w:rPr>
          <w:rFonts w:ascii="Arial" w:cs="Arial" w:eastAsia="Arial" w:hAnsi="Arial"/>
          <w:sz w:val="24"/>
          <w:szCs w:val="24"/>
        </w:rPr>
        <w:t xml:space="preserve">Cirelli, C., &amp; Tononi, G. (2015). Sleep and synaptic homeostasis. Sleep, 38(1), 161–162.</w:t>
      </w:r>
    </w:p>
    <w:p>
      <w:pPr>
        <w:spacing w:before="0" w:after="160" w:line="320" w:lineRule="auto"/>
        <w:jc w:val="left"/>
      </w:pPr>
      <w:r>
        <w:rPr>
          <w:rFonts w:ascii="Arial" w:cs="Arial" w:eastAsia="Arial" w:hAnsi="Arial"/>
          <w:sz w:val="24"/>
          <w:szCs w:val="24"/>
        </w:rPr>
        <w:t xml:space="preserve">Cook, C. J., et al. (2020). Sleep in gifted children: A longitudinal community cohort study. Journal of Child Psychology and Psychiatry, 61(5), 567–576.</w:t>
      </w:r>
    </w:p>
    <w:p>
      <w:pPr>
        <w:spacing w:before="0" w:after="160" w:line="320" w:lineRule="auto"/>
        <w:jc w:val="left"/>
      </w:pPr>
      <w:r>
        <w:rPr>
          <w:rFonts w:ascii="Arial" w:cs="Arial" w:eastAsia="Arial" w:hAnsi="Arial"/>
          <w:sz w:val="24"/>
          <w:szCs w:val="24"/>
        </w:rPr>
        <w:t xml:space="preserve">Cornoldi, C., et al. (2023). ADHD subtypes in twice-exceptional populations. [Cited in Frontiers in Education 2025 systematic review.]</w:t>
      </w:r>
    </w:p>
    <w:p>
      <w:pPr>
        <w:spacing w:before="0" w:after="160" w:line="320" w:lineRule="auto"/>
        <w:jc w:val="left"/>
      </w:pPr>
      <w:r>
        <w:rPr>
          <w:rFonts w:ascii="Arial" w:cs="Arial" w:eastAsia="Arial" w:hAnsi="Arial"/>
          <w:sz w:val="24"/>
          <w:szCs w:val="24"/>
        </w:rPr>
        <w:t xml:space="preserve">Dabney, W., et al. (2020). A distributional code for value in dopamine-based reinforcement learning. Nature, 577, 671–675.</w:t>
      </w:r>
    </w:p>
    <w:p>
      <w:pPr>
        <w:spacing w:before="0" w:after="160" w:line="320" w:lineRule="auto"/>
        <w:jc w:val="left"/>
      </w:pPr>
      <w:r>
        <w:rPr>
          <w:rFonts w:ascii="Arial" w:cs="Arial" w:eastAsia="Arial" w:hAnsi="Arial"/>
          <w:sz w:val="24"/>
          <w:szCs w:val="24"/>
        </w:rPr>
        <w:t xml:space="preserve">Evolutionary Psychological Science (2024). Distractibility and impulsivity in ADHD as an evolutionary mismatch of high trait curiosity. Evolutionary Psychological Science. https://doi.org/10.1007/s40806-024-00400-8.</w:t>
      </w:r>
    </w:p>
    <w:p>
      <w:pPr>
        <w:spacing w:before="0" w:after="160" w:line="320" w:lineRule="auto"/>
        <w:jc w:val="left"/>
      </w:pPr>
      <w:r>
        <w:rPr>
          <w:rFonts w:ascii="Arial" w:cs="Arial" w:eastAsia="Arial" w:hAnsi="Arial"/>
          <w:sz w:val="24"/>
          <w:szCs w:val="24"/>
        </w:rPr>
        <w:t xml:space="preserve">Dehaene, S., Changeux, J. P., &amp; Naccache, L. (2006). The global neuronal workspace model of conscious access: From neuronal architectures to clinical applications. Progress in Brain Research, 168, 19–45.</w:t>
      </w:r>
    </w:p>
    <w:p>
      <w:pPr>
        <w:spacing w:before="0" w:after="160" w:line="320" w:lineRule="auto"/>
        <w:jc w:val="left"/>
      </w:pPr>
      <w:r>
        <w:rPr>
          <w:rFonts w:ascii="Arial" w:cs="Arial" w:eastAsia="Arial" w:hAnsi="Arial"/>
          <w:sz w:val="24"/>
          <w:szCs w:val="24"/>
        </w:rPr>
        <w:t xml:space="preserve">Desco, M., et al. (2011). Mathematically gifted adolescents use more extensive and more bilateral areas of the fronto-parietal network than controls during executive functioning and fluid reasoning tasks. NeuroImage, 57(1), 281–292.</w:t>
      </w:r>
    </w:p>
    <w:p>
      <w:pPr>
        <w:spacing w:before="0" w:after="160" w:line="320" w:lineRule="auto"/>
        <w:jc w:val="left"/>
      </w:pPr>
      <w:r>
        <w:rPr>
          <w:rFonts w:ascii="Arial" w:cs="Arial" w:eastAsia="Arial" w:hAnsi="Arial"/>
          <w:sz w:val="24"/>
          <w:szCs w:val="24"/>
        </w:rPr>
        <w:t xml:space="preserve">Faraone, S. V., &amp; Larsson, H. (2019). Genetics of attention deficit hyperactivity disorder. Molecular Psychiatry, 24(4), 562–575.</w:t>
      </w:r>
    </w:p>
    <w:p>
      <w:pPr>
        <w:spacing w:before="0" w:after="160" w:line="320" w:lineRule="auto"/>
        <w:jc w:val="left"/>
      </w:pPr>
      <w:r>
        <w:rPr>
          <w:rFonts w:ascii="Arial" w:cs="Arial" w:eastAsia="Arial" w:hAnsi="Arial"/>
          <w:sz w:val="24"/>
          <w:szCs w:val="24"/>
        </w:rPr>
        <w:t xml:space="preserve">Gonthier, C., Mormous, L., &amp; Pignot, E. (2025). Psychometric heterogeneity in gifted samples: Verbal-perceptual discrepancies and implications for classification. Intelligence, 109, 101832.</w:t>
      </w:r>
    </w:p>
    <w:p>
      <w:pPr>
        <w:spacing w:before="0" w:after="160" w:line="320" w:lineRule="auto"/>
        <w:jc w:val="left"/>
      </w:pPr>
      <w:r>
        <w:rPr>
          <w:rFonts w:ascii="Arial" w:cs="Arial" w:eastAsia="Arial" w:hAnsi="Arial"/>
          <w:sz w:val="24"/>
          <w:szCs w:val="24"/>
        </w:rPr>
        <w:t xml:space="preserve">Poirier, J., Brault-Labbé, A., &amp; Brassard, A. (2025). Living with the gift of giftedness: An exploratory study on the well-being of intellectually gifted adults. Gifted Child Quarterly. https://doi.org/10.1177/00169862251347293.</w:t>
      </w:r>
    </w:p>
    <w:p>
      <w:pPr>
        <w:spacing w:before="0" w:after="160" w:line="320" w:lineRule="auto"/>
        <w:jc w:val="left"/>
      </w:pPr>
      <w:r>
        <w:rPr>
          <w:rFonts w:ascii="Arial" w:cs="Arial" w:eastAsia="Arial" w:hAnsi="Arial"/>
          <w:sz w:val="24"/>
          <w:szCs w:val="24"/>
        </w:rPr>
        <w:t xml:space="preserve">Rinn, A. N., &amp; Bishop, J. (2015). Gifted adults: A systematic review and analysis of the literature. Gifted Child Quarterly, 59(4), 213–235.</w:t>
      </w:r>
    </w:p>
    <w:p>
      <w:pPr>
        <w:spacing w:before="0" w:after="160" w:line="320" w:lineRule="auto"/>
        <w:jc w:val="left"/>
      </w:pPr>
      <w:r>
        <w:rPr>
          <w:rFonts w:ascii="Arial" w:cs="Arial" w:eastAsia="Arial" w:hAnsi="Arial"/>
          <w:sz w:val="24"/>
          <w:szCs w:val="24"/>
        </w:rPr>
        <w:t xml:space="preserve">Caestecker, S., Lescrauwaet, E., Boon, P., Carrette, E., Raedt, R., &amp; Vonck, K. (2025). The locus coeruleus–noradrenergic system in the healthy and diseased brain: A narrative review. European Journal of Neurology, 32(9), e70337.</w:t>
      </w:r>
    </w:p>
    <w:p>
      <w:pPr>
        <w:spacing w:before="0" w:after="160" w:line="320" w:lineRule="auto"/>
        <w:jc w:val="left"/>
      </w:pPr>
      <w:r>
        <w:rPr>
          <w:rFonts w:ascii="Arial" w:cs="Arial" w:eastAsia="Arial" w:hAnsi="Arial"/>
          <w:sz w:val="24"/>
          <w:szCs w:val="24"/>
        </w:rPr>
        <w:t xml:space="preserve">Grimm, C., Duss, S. N., Privitera, M., Munn, B. R., Karalis, N., Frässle, S., Wilhelm, M., Patriarchi, T., Razansky, D., Wenderoth, N., et al. (2024). Tonic and burst-like locus coeruleus stimulation distinctly shift network activity across the cortical hierarchy. Nature Neuroscience, 27, 2167–2177.</w:t>
      </w:r>
    </w:p>
    <w:p>
      <w:pPr>
        <w:spacing w:before="0" w:after="160" w:line="320" w:lineRule="auto"/>
        <w:jc w:val="left"/>
      </w:pPr>
      <w:r>
        <w:rPr>
          <w:rFonts w:ascii="Arial" w:cs="Arial" w:eastAsia="Arial" w:hAnsi="Arial"/>
          <w:sz w:val="24"/>
          <w:szCs w:val="24"/>
        </w:rPr>
        <w:t xml:space="preserve">Grob, N., et al. (2024). Causal role of the left angular gyrus in narrative insight and cross-domain memory integration. eLife, 13, e94462.</w:t>
      </w:r>
    </w:p>
    <w:p>
      <w:pPr>
        <w:spacing w:before="0" w:after="160" w:line="320" w:lineRule="auto"/>
        <w:jc w:val="left"/>
      </w:pPr>
      <w:r>
        <w:rPr>
          <w:rFonts w:ascii="Arial" w:cs="Arial" w:eastAsia="Arial" w:hAnsi="Arial"/>
          <w:sz w:val="24"/>
          <w:szCs w:val="24"/>
        </w:rPr>
        <w:t xml:space="preserve">Kim, G., &amp; Kim, P. (2025). Selective inhibition in CA3: A mechanism for stable pattern completion through heterosynaptic plasticity. PLoS Computational Biology, 21(7), e1013267.</w:t>
      </w:r>
    </w:p>
    <w:p>
      <w:pPr>
        <w:spacing w:before="0" w:after="160" w:line="320" w:lineRule="auto"/>
        <w:jc w:val="left"/>
      </w:pPr>
      <w:r>
        <w:rPr>
          <w:rFonts w:ascii="Arial" w:cs="Arial" w:eastAsia="Arial" w:hAnsi="Arial"/>
          <w:sz w:val="24"/>
          <w:szCs w:val="24"/>
        </w:rPr>
        <w:t xml:space="preserve">Gruber, R., et al. (2020). Sleep and cognitive performance in gifted children: Actigraphy and questionnaire measures. Sleep Medicine, 75, 432–440.</w:t>
      </w:r>
    </w:p>
    <w:p>
      <w:pPr>
        <w:spacing w:before="0" w:after="160" w:line="320" w:lineRule="auto"/>
        <w:jc w:val="left"/>
      </w:pPr>
      <w:r>
        <w:rPr>
          <w:rFonts w:ascii="Arial" w:cs="Arial" w:eastAsia="Arial" w:hAnsi="Arial"/>
          <w:sz w:val="24"/>
          <w:szCs w:val="24"/>
        </w:rPr>
        <w:t xml:space="preserve">Guignard-Perret, A., et al. (2020). Sleep of children with high intellectual potential: Polysomnographic study. Frontiers in Psychology, 11, 495.</w:t>
      </w:r>
    </w:p>
    <w:p>
      <w:pPr>
        <w:spacing w:before="0" w:after="160" w:line="320" w:lineRule="auto"/>
        <w:jc w:val="left"/>
      </w:pPr>
      <w:r>
        <w:rPr>
          <w:rFonts w:ascii="Arial" w:cs="Arial" w:eastAsia="Arial" w:hAnsi="Arial"/>
          <w:sz w:val="24"/>
          <w:szCs w:val="24"/>
        </w:rPr>
        <w:t xml:space="preserve">Haller, S. P., et al. (2025). DMN-executive control network dynamic switching predicts divergent thinking across 2,433 participants in 10 countries. Communications Biology, 8, 342.</w:t>
      </w:r>
    </w:p>
    <w:p>
      <w:pPr>
        <w:spacing w:before="0" w:after="160" w:line="320" w:lineRule="auto"/>
        <w:jc w:val="left"/>
      </w:pPr>
      <w:r>
        <w:rPr>
          <w:rFonts w:ascii="Arial" w:cs="Arial" w:eastAsia="Arial" w:hAnsi="Arial"/>
          <w:sz w:val="24"/>
          <w:szCs w:val="24"/>
        </w:rPr>
        <w:t xml:space="preserve">Hasselmo, M. E., &amp; Giocomo, L. M. (2006). Cholinergic modulation of cortical function. Journal of Molecular Neuroscience, 30(1–2), 133–135.</w:t>
      </w:r>
    </w:p>
    <w:p>
      <w:pPr>
        <w:spacing w:before="0" w:after="160" w:line="320" w:lineRule="auto"/>
        <w:jc w:val="left"/>
      </w:pPr>
      <w:r>
        <w:rPr>
          <w:rFonts w:ascii="Arial" w:cs="Arial" w:eastAsia="Arial" w:hAnsi="Arial"/>
          <w:sz w:val="24"/>
          <w:szCs w:val="24"/>
        </w:rPr>
        <w:t xml:space="preserve">Karpinski, R. I., et al. (2018). High intelligence: A risk factor for psychological and physiological overexcitabilities. Intelligence, 66, 8–23.</w:t>
      </w:r>
    </w:p>
    <w:p>
      <w:pPr>
        <w:spacing w:before="0" w:after="160" w:line="320" w:lineRule="auto"/>
        <w:jc w:val="left"/>
      </w:pPr>
      <w:r>
        <w:rPr>
          <w:rFonts w:ascii="Arial" w:cs="Arial" w:eastAsia="Arial" w:hAnsi="Arial"/>
          <w:sz w:val="24"/>
          <w:szCs w:val="24"/>
        </w:rPr>
        <w:t xml:space="preserve">Kuznetsova, O., et al. (2024). EEG gamma oscillations in gifted children: Systematic review of task-difficulty modulation. Developmental Cognitive Neuroscience, 67, 101350.</w:t>
      </w:r>
    </w:p>
    <w:p>
      <w:pPr>
        <w:spacing w:before="0" w:after="160" w:line="320" w:lineRule="auto"/>
        <w:jc w:val="left"/>
      </w:pPr>
      <w:r>
        <w:rPr>
          <w:rFonts w:ascii="Arial" w:cs="Arial" w:eastAsia="Arial" w:hAnsi="Arial"/>
          <w:sz w:val="24"/>
          <w:szCs w:val="24"/>
        </w:rPr>
        <w:t xml:space="preserve">Garvert, M. M., Dolan, R. J., &amp; Behrens, T. E. J. (2017). A map of abstract relational knowledge in the human hippocampal–entorhinal cortex. eLife, 6, e17086.</w:t>
      </w:r>
    </w:p>
    <w:p>
      <w:pPr>
        <w:spacing w:before="0" w:after="160" w:line="320" w:lineRule="auto"/>
        <w:jc w:val="left"/>
      </w:pPr>
      <w:r>
        <w:rPr>
          <w:rFonts w:ascii="Arial" w:cs="Arial" w:eastAsia="Arial" w:hAnsi="Arial"/>
          <w:sz w:val="24"/>
          <w:szCs w:val="24"/>
        </w:rPr>
        <w:t xml:space="preserve">Zheng, X. Y., Hebart, M. N., Grill, F., Dolan, R. J., Doeller, C. F., Cools, R., &amp; Garvert, M. M. (2024). Parallel cognitive maps for multiple knowledge structures in the hippocampal formation. Cerebral Cortex, 34(2), bhad485.</w:t>
      </w:r>
    </w:p>
    <w:p>
      <w:pPr>
        <w:spacing w:before="0" w:after="160" w:line="320" w:lineRule="auto"/>
        <w:jc w:val="left"/>
      </w:pPr>
      <w:r>
        <w:rPr>
          <w:rFonts w:ascii="Arial" w:cs="Arial" w:eastAsia="Arial" w:hAnsi="Arial"/>
          <w:sz w:val="24"/>
          <w:szCs w:val="24"/>
        </w:rPr>
        <w:t xml:space="preserve">Vezir, M., Sievers, M., Grasso, E., &amp; Schmidt, H. (2024). Structure and function of the hippocampal CA3 module. PNAS, 121(6), e2312281120.</w:t>
      </w:r>
    </w:p>
    <w:p>
      <w:pPr>
        <w:spacing w:before="0" w:after="160" w:line="320" w:lineRule="auto"/>
        <w:jc w:val="left"/>
      </w:pPr>
      <w:r>
        <w:rPr>
          <w:rFonts w:ascii="Arial" w:cs="Arial" w:eastAsia="Arial" w:hAnsi="Arial"/>
          <w:sz w:val="24"/>
          <w:szCs w:val="24"/>
        </w:rPr>
        <w:t xml:space="preserve">Bernacka, J., Kielbinski, M., Wawrzczak-Bargiela, A., Zajda, K., Mackowiak, M., Przewlocki, R., &amp; Solecki, W. (2022). Alpha-2A but not 2B/C noradrenergic receptors in ventral tegmental area regulate phasic dopamine release in nucleus accumbens core. Neuropharmacology, 220, 109258.</w:t>
      </w:r>
    </w:p>
    <w:p>
      <w:pPr>
        <w:spacing w:before="0" w:after="160" w:line="320" w:lineRule="auto"/>
        <w:jc w:val="left"/>
      </w:pPr>
      <w:r>
        <w:rPr>
          <w:rFonts w:ascii="Arial" w:cs="Arial" w:eastAsia="Arial" w:hAnsi="Arial"/>
          <w:sz w:val="24"/>
          <w:szCs w:val="24"/>
        </w:rPr>
        <w:t xml:space="preserve">Wilmot, J. H., et al. (2024). Phasic locus coeruleus activity enhances trace fear conditioning by increasing dopamine release in the hippocampus. eLife, 12, RP91465.</w:t>
      </w:r>
    </w:p>
    <w:p>
      <w:pPr>
        <w:spacing w:before="0" w:after="160" w:line="320" w:lineRule="auto"/>
        <w:jc w:val="left"/>
      </w:pPr>
      <w:r>
        <w:rPr>
          <w:rFonts w:ascii="Arial" w:cs="Arial" w:eastAsia="Arial" w:hAnsi="Arial"/>
          <w:sz w:val="24"/>
          <w:szCs w:val="24"/>
        </w:rPr>
        <w:t xml:space="preserve">Fleury, S., Kolaric, R., Espera, J., Ha, Q., Tomaio, J., Gether, U., Sørensen, A. T., &amp; Mingote, S. (2024). Role of dopamine neurons in familiarity. European Journal of Neuroscience, 59(10), 2522–2534.</w:t>
      </w:r>
    </w:p>
    <w:p>
      <w:pPr>
        <w:spacing w:before="0" w:after="160" w:line="320" w:lineRule="auto"/>
        <w:jc w:val="left"/>
      </w:pPr>
      <w:r>
        <w:rPr>
          <w:rFonts w:ascii="Arial" w:cs="Arial" w:eastAsia="Arial" w:hAnsi="Arial"/>
          <w:sz w:val="24"/>
          <w:szCs w:val="24"/>
        </w:rPr>
        <w:t xml:space="preserve">Kutlu, M. G., et al. (2022). Dopamine signaling in the nucleus accumbens core mediates latent inhibition. Nature Neuroscience, 25(8), 1071–1081.</w:t>
      </w:r>
    </w:p>
    <w:p>
      <w:pPr>
        <w:spacing w:before="0" w:after="160" w:line="320" w:lineRule="auto"/>
        <w:jc w:val="left"/>
      </w:pPr>
      <w:r>
        <w:rPr>
          <w:rFonts w:ascii="Arial" w:cs="Arial" w:eastAsia="Arial" w:hAnsi="Arial"/>
          <w:sz w:val="24"/>
          <w:szCs w:val="24"/>
        </w:rPr>
        <w:t xml:space="preserve">Luders, E., et al. (2011). Corpus callosum in gifted children: A longitudinal DTI study. Developmental Neuroscience, 33(2), 156–165.</w:t>
      </w:r>
    </w:p>
    <w:p>
      <w:pPr>
        <w:spacing w:before="0" w:after="160" w:line="320" w:lineRule="auto"/>
        <w:jc w:val="left"/>
      </w:pPr>
      <w:r>
        <w:rPr>
          <w:rFonts w:ascii="Arial" w:cs="Arial" w:eastAsia="Arial" w:hAnsi="Arial"/>
          <w:sz w:val="24"/>
          <w:szCs w:val="24"/>
        </w:rPr>
        <w:t xml:space="preserve">Mashour, G. A., Roelfsema, P., Changeux, J. P., &amp; Dehaene, S. (2020). Conscious processing and the global neuronal workspace hypothesis. Neuron, 105(5), 776–798.</w:t>
      </w:r>
    </w:p>
    <w:p>
      <w:pPr>
        <w:spacing w:before="0" w:after="160" w:line="320" w:lineRule="auto"/>
        <w:jc w:val="left"/>
      </w:pPr>
      <w:r>
        <w:rPr>
          <w:rFonts w:ascii="Arial" w:cs="Arial" w:eastAsia="Arial" w:hAnsi="Arial"/>
          <w:sz w:val="24"/>
          <w:szCs w:val="24"/>
        </w:rPr>
        <w:t xml:space="preserve">Menon, V. (2023). 20 years of the default mode network: A review and synthesis. Neuron, 111(16), 2469–2487.</w:t>
      </w:r>
    </w:p>
    <w:p>
      <w:pPr>
        <w:spacing w:before="0" w:after="160" w:line="320" w:lineRule="auto"/>
        <w:jc w:val="left"/>
      </w:pPr>
      <w:r>
        <w:rPr>
          <w:rFonts w:ascii="Arial" w:cs="Arial" w:eastAsia="Arial" w:hAnsi="Arial"/>
          <w:sz w:val="24"/>
          <w:szCs w:val="24"/>
        </w:rPr>
        <w:t xml:space="preserve">Mesulam, M. M. (1998). From sensation to cognition. Brain, 121(6), 1013–1052.</w:t>
      </w:r>
    </w:p>
    <w:p>
      <w:pPr>
        <w:spacing w:before="0" w:after="160" w:line="320" w:lineRule="auto"/>
        <w:jc w:val="left"/>
      </w:pPr>
      <w:r>
        <w:rPr>
          <w:rFonts w:ascii="Arial" w:cs="Arial" w:eastAsia="Arial" w:hAnsi="Arial"/>
          <w:sz w:val="24"/>
          <w:szCs w:val="24"/>
        </w:rPr>
        <w:t xml:space="preserve">Mole, J. A., et al. (2025). Lesion-deficit mapping of right frontal contributions to analogical and deductive reasoning. Brain, 148(5), 1757–1768.</w:t>
      </w:r>
    </w:p>
    <w:p>
      <w:pPr>
        <w:spacing w:before="0" w:after="160" w:line="320" w:lineRule="auto"/>
        <w:jc w:val="left"/>
      </w:pPr>
      <w:r>
        <w:rPr>
          <w:rFonts w:ascii="Arial" w:cs="Arial" w:eastAsia="Arial" w:hAnsi="Arial"/>
          <w:sz w:val="24"/>
          <w:szCs w:val="24"/>
        </w:rPr>
        <w:t xml:space="preserve">Navas-Sanchez, F. J., et al. (2014). White matter microstructure correlates of mathematical giftedness and intelligence quotient. Human Brain Mapping, 35(6), 2619–2631.</w:t>
      </w:r>
    </w:p>
    <w:p>
      <w:pPr>
        <w:spacing w:before="0" w:after="160" w:line="320" w:lineRule="auto"/>
        <w:jc w:val="left"/>
      </w:pPr>
      <w:r>
        <w:rPr>
          <w:rFonts w:ascii="Arial" w:cs="Arial" w:eastAsia="Arial" w:hAnsi="Arial"/>
          <w:sz w:val="24"/>
          <w:szCs w:val="24"/>
        </w:rPr>
        <w:t xml:space="preserve">O'Boyle, M. W., et al. (1991). Enhanced right hemisphere involvement during cognitive processing may relate to intellectual giftedness. Neuropsychologia, 29(5), 415–419.</w:t>
      </w:r>
    </w:p>
    <w:p>
      <w:pPr>
        <w:spacing w:before="0" w:after="160" w:line="320" w:lineRule="auto"/>
        <w:jc w:val="left"/>
      </w:pPr>
      <w:r>
        <w:rPr>
          <w:rFonts w:ascii="Arial" w:cs="Arial" w:eastAsia="Arial" w:hAnsi="Arial"/>
          <w:sz w:val="24"/>
          <w:szCs w:val="24"/>
        </w:rPr>
        <w:t xml:space="preserve">O'Boyle, M. W., et al. (2005). Mathematical giftedness and the role of the right hemisphere. Neuropsychologia, 43, 2058–2064.</w:t>
      </w:r>
    </w:p>
    <w:p>
      <w:pPr>
        <w:spacing w:before="0" w:after="160" w:line="320" w:lineRule="auto"/>
        <w:jc w:val="left"/>
      </w:pPr>
      <w:r>
        <w:rPr>
          <w:rFonts w:ascii="Arial" w:cs="Arial" w:eastAsia="Arial" w:hAnsi="Arial"/>
          <w:sz w:val="24"/>
          <w:szCs w:val="24"/>
        </w:rPr>
        <w:t xml:space="preserve">Oberleiter, S., et al. (2024). Flynn effect artifacts and apparent intelligence trajectory changes: Implications for giftedness classification. Journal of Intelligence, 12(3), 29.</w:t>
      </w:r>
    </w:p>
    <w:p>
      <w:pPr>
        <w:spacing w:before="0" w:after="160" w:line="320" w:lineRule="auto"/>
        <w:jc w:val="left"/>
      </w:pPr>
      <w:r>
        <w:rPr>
          <w:rFonts w:ascii="Arial" w:cs="Arial" w:eastAsia="Arial" w:hAnsi="Arial"/>
          <w:sz w:val="24"/>
          <w:szCs w:val="24"/>
        </w:rPr>
        <w:t xml:space="preserve">Ott, T., Stein, A. M., &amp; Nieder, A. (2023). Dopamine receptor activation regulates reward expectancy signals during cognitive control in primate prefrontal neurons. Nature Communications, 14, 7537.</w:t>
      </w:r>
    </w:p>
    <w:p>
      <w:pPr>
        <w:spacing w:before="0" w:after="160" w:line="320" w:lineRule="auto"/>
        <w:jc w:val="left"/>
      </w:pPr>
      <w:r>
        <w:rPr>
          <w:rFonts w:ascii="Arial" w:cs="Arial" w:eastAsia="Arial" w:hAnsi="Arial"/>
          <w:sz w:val="24"/>
          <w:szCs w:val="24"/>
        </w:rPr>
        <w:t xml:space="preserve">Parlatini, V., et al. (2024). Cortical alterations associated with lower response to methylphenidate in adults with ADHD. Nature Mental Health, 2, 514–524.</w:t>
      </w:r>
    </w:p>
    <w:p>
      <w:pPr>
        <w:spacing w:before="0" w:after="160" w:line="320" w:lineRule="auto"/>
        <w:jc w:val="left"/>
      </w:pPr>
      <w:r>
        <w:rPr>
          <w:rFonts w:ascii="Arial" w:cs="Arial" w:eastAsia="Arial" w:hAnsi="Arial"/>
          <w:sz w:val="24"/>
          <w:szCs w:val="24"/>
        </w:rPr>
        <w:t xml:space="preserve">Song, Y., Wang, C., Cai, H., Chen, J., Liu, S., Zhu, J., &amp; Yu, Y. (2023). Functional hierarchy of the angular gyrus and its underlying genetic architecture. Human Brain Mapping, 44(7), 2815–2828.</w:t>
      </w:r>
    </w:p>
    <w:p>
      <w:pPr>
        <w:spacing w:before="0" w:after="160" w:line="320" w:lineRule="auto"/>
        <w:jc w:val="left"/>
      </w:pPr>
      <w:r>
        <w:rPr>
          <w:rFonts w:ascii="Arial" w:cs="Arial" w:eastAsia="Arial" w:hAnsi="Arial"/>
          <w:sz w:val="24"/>
          <w:szCs w:val="24"/>
        </w:rPr>
        <w:t xml:space="preserve">Watson, J. F., Vargas-Barroso, V., Morse-Mora, R. J., Navas-Olive, A., Tavakoli, M. R., Danzl, J. G., Tomschik, M., Rössler, K., &amp; Jonas, P. (2025). Human hippocampal CA3 uses specific functional connectivity rules for efficient associative memory. Cell, 188(2), 501–514.</w:t>
      </w:r>
    </w:p>
    <w:p>
      <w:pPr>
        <w:spacing w:before="0" w:after="160" w:line="320" w:lineRule="auto"/>
        <w:jc w:val="left"/>
      </w:pPr>
      <w:r>
        <w:rPr>
          <w:rFonts w:ascii="Arial" w:cs="Arial" w:eastAsia="Arial" w:hAnsi="Arial"/>
          <w:sz w:val="24"/>
          <w:szCs w:val="24"/>
        </w:rPr>
        <w:t xml:space="preserve">Weber, M. A., Conlon, M. M., Stutt, H. R., Wendt, L., Ten Eyck, P., &amp; Narayanan, N. S. (2022). Quantifying the inverted U: A meta-analysis of prefrontal dopamine, D1-receptors, and working memory. Behavioral Neuroscience, 136(3), 207–218.</w:t>
      </w:r>
    </w:p>
    <w:p>
      <w:pPr>
        <w:spacing w:before="0" w:after="160" w:line="320" w:lineRule="auto"/>
        <w:jc w:val="left"/>
      </w:pPr>
      <w:r>
        <w:rPr>
          <w:rFonts w:ascii="Arial" w:cs="Arial" w:eastAsia="Arial" w:hAnsi="Arial"/>
          <w:sz w:val="24"/>
          <w:szCs w:val="24"/>
        </w:rPr>
        <w:t xml:space="preserve">Gedankien, T., Kriegel, J., Zabeh, E., McDonagh, D., Lega, B., &amp; Jacobs, J. (2025). Cholinergic blockade reveals a role for human hippocampal theta in memory encoding but not retrieval. bioRxiv preprint. doi: 10.1101/2025.05.12.653487.</w:t>
      </w:r>
    </w:p>
    <w:p>
      <w:pPr>
        <w:spacing w:before="0" w:after="160" w:line="320" w:lineRule="auto"/>
        <w:jc w:val="left"/>
      </w:pPr>
      <w:r>
        <w:rPr>
          <w:rFonts w:ascii="Arial" w:cs="Arial" w:eastAsia="Arial" w:hAnsi="Arial"/>
          <w:sz w:val="24"/>
          <w:szCs w:val="24"/>
        </w:rPr>
        <w:t xml:space="preserve">Douchamps, V., Jeewajee, A., Blundell, P., Burgess, N., &amp; Lever, C. (2013). Evidence for encoding versus retrieval scheduling in the hippocampus by theta phase and acetylcholine. Journal of Neuroscience, 33(20), 8689–8704.</w:t>
      </w:r>
    </w:p>
    <w:p>
      <w:pPr>
        <w:spacing w:before="0" w:after="160" w:line="320" w:lineRule="auto"/>
        <w:jc w:val="left"/>
      </w:pPr>
      <w:r>
        <w:rPr>
          <w:rFonts w:ascii="Arial" w:cs="Arial" w:eastAsia="Arial" w:hAnsi="Arial"/>
          <w:sz w:val="24"/>
          <w:szCs w:val="24"/>
        </w:rPr>
        <w:t xml:space="preserve">Lisman, J. E., &amp; Grace, A. A. (2005). The hippocampal-VTA loop: Controlling the entry of information into long-term memory. Neuron, 46(5), 703–713.</w:t>
      </w:r>
    </w:p>
    <w:p>
      <w:pPr>
        <w:spacing w:before="0" w:after="160" w:line="320" w:lineRule="auto"/>
        <w:jc w:val="left"/>
      </w:pPr>
      <w:r>
        <w:rPr>
          <w:rFonts w:ascii="Arial" w:cs="Arial" w:eastAsia="Arial" w:hAnsi="Arial"/>
          <w:sz w:val="24"/>
          <w:szCs w:val="24"/>
        </w:rPr>
        <w:t xml:space="preserve">Jameson, H. M., &amp; Huber, M. (2024). Special education status and underidentification of twice-exceptional students: Insights from ECLS-K data. Education Sciences, 14(10), 1048.</w:t>
      </w:r>
    </w:p>
    <w:p>
      <w:pPr>
        <w:spacing w:before="0" w:after="160" w:line="320" w:lineRule="auto"/>
        <w:jc w:val="left"/>
      </w:pPr>
      <w:r>
        <w:rPr>
          <w:rFonts w:ascii="Arial" w:cs="Arial" w:eastAsia="Arial" w:hAnsi="Arial"/>
          <w:sz w:val="24"/>
          <w:szCs w:val="24"/>
        </w:rPr>
        <w:t xml:space="preserve">Clay, J. M., Badariotti, J. I., Kozhushko, N., &amp; Parker, M. O. (2024). HPA activity mediates the link between trait impulsivity and boredom. Physiology &amp; Behavior, 284, 114637.</w:t>
      </w:r>
    </w:p>
    <w:p>
      <w:pPr>
        <w:spacing w:before="0" w:after="160" w:line="320" w:lineRule="auto"/>
        <w:jc w:val="left"/>
      </w:pPr>
      <w:r>
        <w:rPr>
          <w:rFonts w:ascii="Arial" w:cs="Arial" w:eastAsia="Arial" w:hAnsi="Arial"/>
          <w:sz w:val="24"/>
          <w:szCs w:val="24"/>
        </w:rPr>
        <w:t xml:space="preserve">Dickerson, S. S., &amp; Kemeny, M. E. (2004). Acute stressors and cortisol responses: A theoretical integration and synthesis of laboratory research. Psychological Bulletin, 130(3), 355–391.</w:t>
      </w:r>
    </w:p>
    <w:p>
      <w:pPr>
        <w:spacing w:before="0" w:after="160" w:line="320" w:lineRule="auto"/>
        <w:jc w:val="left"/>
      </w:pPr>
      <w:r>
        <w:rPr>
          <w:rFonts w:ascii="Arial" w:cs="Arial" w:eastAsia="Arial" w:hAnsi="Arial"/>
          <w:sz w:val="24"/>
          <w:szCs w:val="24"/>
        </w:rPr>
        <w:t xml:space="preserve">MacDonald, H. J., Kleppe, R., Szigetvari, P. D., &amp; Haavik, J. (2024). The dopamine hypothesis for ADHD: An evaluation of evidence accumulated from human studies and animal models. Frontiers in Psychiatry, 15, 1492126.</w:t>
      </w:r>
    </w:p>
    <w:p>
      <w:pPr>
        <w:spacing w:before="0" w:after="160" w:line="320" w:lineRule="auto"/>
        <w:jc w:val="left"/>
      </w:pPr>
      <w:r>
        <w:rPr>
          <w:rFonts w:ascii="Arial" w:cs="Arial" w:eastAsia="Arial" w:hAnsi="Arial"/>
          <w:sz w:val="24"/>
          <w:szCs w:val="24"/>
        </w:rPr>
        <w:t xml:space="preserve">Snyder, K. E., Malin, J. L., Dent, A. L., &amp; Linnenbrink-Garcia, L. (2014). The message matters: The role of implicit beliefs about giftedness and failure experiences in academic self-handicapping. Journal of Educational Psychology, 106(1), 230–241.</w:t>
      </w:r>
    </w:p>
    <w:p>
      <w:pPr>
        <w:spacing w:before="0" w:after="160" w:line="320" w:lineRule="auto"/>
        <w:jc w:val="left"/>
      </w:pPr>
      <w:r>
        <w:rPr>
          <w:rFonts w:ascii="Arial" w:cs="Arial" w:eastAsia="Arial" w:hAnsi="Arial"/>
          <w:sz w:val="24"/>
          <w:szCs w:val="24"/>
        </w:rPr>
        <w:t xml:space="preserve">Gershman, S. J., &amp; Toren, O. (2024). Explaining dopamine through prediction errors and beyond. Nature Neuroscience, 27, 309–318.</w:t>
      </w:r>
    </w:p>
    <w:p>
      <w:pPr>
        <w:spacing w:before="0" w:after="160" w:line="320" w:lineRule="auto"/>
        <w:jc w:val="left"/>
      </w:pPr>
      <w:r>
        <w:rPr>
          <w:rFonts w:ascii="Arial" w:cs="Arial" w:eastAsia="Arial" w:hAnsi="Arial"/>
          <w:sz w:val="24"/>
          <w:szCs w:val="24"/>
        </w:rPr>
        <w:t xml:space="preserve">Hupfeld, K. E., Abagis, T. R., &amp; Shah, P. (2024). Dispositional adult hyperfocus questionnaire validation in adults. Scientific Reports [as cited in Chutko et al., 2024].</w:t>
      </w:r>
    </w:p>
    <w:p>
      <w:pPr>
        <w:spacing w:before="0" w:after="160" w:line="320" w:lineRule="auto"/>
        <w:jc w:val="left"/>
      </w:pPr>
      <w:r>
        <w:rPr>
          <w:rFonts w:ascii="Arial" w:cs="Arial" w:eastAsia="Arial" w:hAnsi="Arial"/>
          <w:sz w:val="24"/>
          <w:szCs w:val="24"/>
        </w:rPr>
        <w:t xml:space="preserve">Prescott, J., et al. (2010). Gifts and talents: Bilateral intrahemispheric fronto-parietal connectivity. NeuroImage, 51(1), 418–426.</w:t>
      </w:r>
    </w:p>
    <w:p>
      <w:pPr>
        <w:spacing w:before="0" w:after="160" w:line="320" w:lineRule="auto"/>
        <w:jc w:val="left"/>
      </w:pPr>
      <w:r>
        <w:rPr>
          <w:rFonts w:ascii="Arial" w:cs="Arial" w:eastAsia="Arial" w:hAnsi="Arial"/>
          <w:sz w:val="24"/>
          <w:szCs w:val="24"/>
        </w:rPr>
        <w:t xml:space="preserve">Reutlinger, C., et al. (2022). Preregistered replication of allergy and autoimmune disease prevalence in European Mensa members. Intelligence, 93, 101672.</w:t>
      </w:r>
    </w:p>
    <w:p>
      <w:pPr>
        <w:spacing w:before="0" w:after="160" w:line="320" w:lineRule="auto"/>
        <w:jc w:val="left"/>
      </w:pPr>
      <w:r>
        <w:rPr>
          <w:rFonts w:ascii="Arial" w:cs="Arial" w:eastAsia="Arial" w:hAnsi="Arial"/>
          <w:sz w:val="24"/>
          <w:szCs w:val="24"/>
        </w:rPr>
        <w:t xml:space="preserve">Sammons, R. P., Vezir, M., Moreno-Velasquez, L., Cano, G., Orlando, M., Sievers, M., Grasso, E., Metodieva, V. D., Kempter, R., Schmidt, H., &amp; Schmitz, D. (2024). Structure and function of the hippocampal CA3 module. Proceedings of the National Academy of Sciences, 121(6), e2312281120.</w:t>
      </w:r>
    </w:p>
    <w:p>
      <w:pPr>
        <w:spacing w:before="0" w:after="160" w:line="320" w:lineRule="auto"/>
        <w:jc w:val="left"/>
      </w:pPr>
      <w:r>
        <w:rPr>
          <w:rFonts w:ascii="Arial" w:cs="Arial" w:eastAsia="Arial" w:hAnsi="Arial"/>
          <w:sz w:val="24"/>
          <w:szCs w:val="24"/>
        </w:rPr>
        <w:t xml:space="preserve">Seghier, M. L. (2013). The angular gyrus: Multiple functions and multiple subdivisions. The Neuroscientist, 19(1), 43–61.</w:t>
      </w:r>
    </w:p>
    <w:p>
      <w:pPr>
        <w:spacing w:before="0" w:after="160" w:line="320" w:lineRule="auto"/>
        <w:jc w:val="left"/>
      </w:pPr>
      <w:r>
        <w:rPr>
          <w:rFonts w:ascii="Arial" w:cs="Arial" w:eastAsia="Arial" w:hAnsi="Arial"/>
          <w:sz w:val="24"/>
          <w:szCs w:val="24"/>
        </w:rPr>
        <w:t xml:space="preserve">Termenon, M., et al. (2019). Network topology in high-IQ children: Resting-state fMRI hub disruption analysis. Frontiers in Human Neuroscience, 13, 288.</w:t>
      </w:r>
    </w:p>
    <w:p>
      <w:pPr>
        <w:spacing w:before="0" w:after="160" w:line="320" w:lineRule="auto"/>
        <w:jc w:val="left"/>
      </w:pPr>
      <w:r>
        <w:rPr>
          <w:rFonts w:ascii="Arial" w:cs="Arial" w:eastAsia="Arial" w:hAnsi="Arial"/>
          <w:sz w:val="24"/>
          <w:szCs w:val="24"/>
        </w:rPr>
        <w:t xml:space="preserve">Tononi, G., &amp; Cirelli, C. (2003). Sleep and synaptic homeostasis: A hypothesis. Brain Research Bulletin, 62(2), 143–150.</w:t>
      </w:r>
    </w:p>
    <w:p>
      <w:pPr>
        <w:spacing w:before="0" w:after="160" w:line="320" w:lineRule="auto"/>
        <w:jc w:val="left"/>
      </w:pPr>
      <w:r>
        <w:rPr>
          <w:rFonts w:ascii="Arial" w:cs="Arial" w:eastAsia="Arial" w:hAnsi="Arial"/>
          <w:sz w:val="24"/>
          <w:szCs w:val="24"/>
        </w:rPr>
        <w:t xml:space="preserve">Turner, B. O., &amp; Miller, M. B. (2015). Right-hemisphere contributions to analogical reasoning. Neuropsychologia, 79, 148–158.</w:t>
      </w:r>
    </w:p>
    <w:p>
      <w:pPr>
        <w:spacing w:before="0" w:after="160" w:line="320" w:lineRule="auto"/>
        <w:jc w:val="left"/>
      </w:pPr>
      <w:r>
        <w:rPr>
          <w:rFonts w:ascii="Arial" w:cs="Arial" w:eastAsia="Arial" w:hAnsi="Arial"/>
          <w:sz w:val="24"/>
          <w:szCs w:val="24"/>
        </w:rPr>
        <w:t xml:space="preserve">Valentino, R. J., &amp; Van Bockstaele, E. (2008). Convergent regulation of locus coeruleus activity as an adaptive response to stress. European Journal of Pharmacology, 583(2–3), 194–203.</w:t>
      </w:r>
    </w:p>
    <w:p>
      <w:pPr>
        <w:spacing w:before="0" w:after="160" w:line="320" w:lineRule="auto"/>
        <w:jc w:val="left"/>
      </w:pPr>
      <w:r>
        <w:rPr>
          <w:rFonts w:ascii="Arial" w:cs="Arial" w:eastAsia="Arial" w:hAnsi="Arial"/>
          <w:sz w:val="24"/>
          <w:szCs w:val="24"/>
        </w:rPr>
        <w:t xml:space="preserve">Vartanian, O., et al. (2018). Activity in inferior prefrontal cortex mediates creative production while controlling for fluid ability. Creativity Research Journal, 30(1), 18–27.</w:t>
      </w:r>
    </w:p>
    <w:p>
      <w:pPr>
        <w:spacing w:before="0" w:after="8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A96" w:sz="6" w:space="1"/>
      </w:pBdr>
      <w:tabs>
        <w:tab w:val="right" w:pos="9360"/>
      </w:tabs>
      <w:spacing w:before="80" w:after="0"/>
    </w:pPr>
    <w:r>
      <w:rPr>
        <w:rFonts w:ascii="Arial" w:cs="Arial" w:eastAsia="Arial" w:hAnsi="Arial"/>
        <w:color w:val="555555"/>
        <w:sz w:val="18"/>
        <w:szCs w:val="18"/>
      </w:rPr>
      <w:t xml:space="preserve">Preprint · Not yet peer reviewed</w:t>
    </w:r>
    <w:r>
      <w:rPr>
        <w:rFonts w:ascii="Arial" w:cs="Arial" w:eastAsia="Arial" w:hAnsi="Arial"/>
        <w:sz w:val="18"/>
        <w:szCs w:val="18"/>
      </w:rPr>
      <w:t xml:space="preserve">	</w:t>
    </w:r>
    <w:r>
      <w:rPr>
        <w:rFonts w:ascii="Arial" w:cs="Arial" w:eastAsia="Arial" w:hAnsi="Arial"/>
        <w:color w:val="555555"/>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A96" w:sz="6" w:space="1"/>
      </w:pBdr>
      <w:spacing w:before="0" w:after="80"/>
    </w:pPr>
    <w:r>
      <w:rPr>
        <w:rFonts w:ascii="Arial" w:cs="Arial" w:eastAsia="Arial" w:hAnsi="Arial"/>
        <w:i/>
        <w:iCs/>
        <w:color w:val="555555"/>
        <w:sz w:val="18"/>
        <w:szCs w:val="18"/>
      </w:rPr>
      <w:t xml:space="preserve">The Angular Gyrus Filter: Giftedness, Architectural Mismatch, and Biological Predictions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A9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2E5A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2026-03-18T18:59:04.055Z</dcterms:created>
  <dcterms:modified xsi:type="dcterms:W3CDTF">2026-03-18T18:59:04.056Z</dcterms:modified>
</cp:coreProperties>
</file>

<file path=docProps/custom.xml><?xml version="1.0" encoding="utf-8"?>
<Properties xmlns="http://schemas.openxmlformats.org/officeDocument/2006/custom-properties" xmlns:vt="http://schemas.openxmlformats.org/officeDocument/2006/docPropsVTypes"/>
</file>