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2"/>
          <w:szCs w:val="32"/>
        </w:rPr>
        <w:t xml:space="preserve">The Musculoskeletal System as an Exercise-Transducing Endocrine Architecture</w:t>
      </w:r>
    </w:p>
    <w:p>
      <w:pPr>
        <w:spacing w:after="120"/>
        <w:jc w:val="center"/>
      </w:pPr>
      <w:r>
        <w:rPr>
          <w:rFonts w:ascii="Arial" w:cs="Arial" w:eastAsia="Arial" w:hAnsi="Arial"/>
          <w:i/>
          <w:iCs/>
          <w:color w:val="2E75B6"/>
          <w:sz w:val="22"/>
          <w:szCs w:val="22"/>
        </w:rPr>
        <w:t xml:space="preserve">AMPK–PGC-1α Axis │ Myokine and Bone Hormone Signaling │ Muscle–Bone–Brain Crosstalk │ Exercise–Aging–Cognition Cascade</w:t>
      </w:r>
    </w:p>
    <w:p>
      <w:pPr>
        <w:spacing w:after="200"/>
        <w:jc w:val="center"/>
      </w:pPr>
      <w:r>
        <w:rPr>
          <w:rFonts w:ascii="Arial" w:cs="Arial" w:eastAsia="Arial" w:hAnsi="Arial"/>
          <w:b/>
          <w:bCs/>
          <w:sz w:val="22"/>
          <w:szCs w:val="22"/>
        </w:rPr>
        <w:t xml:space="preserve">M. Finnegan</w:t>
      </w:r>
      <w:r>
        <w:rPr>
          <w:rFonts w:ascii="Arial" w:cs="Arial" w:eastAsia="Arial" w:hAnsi="Arial"/>
          <w:sz w:val="22"/>
          <w:szCs w:val="22"/>
        </w:rPr>
        <w:t xml:space="preserve"> · ORCID: 0009-0009-4921-7722 · v1.0 — March 2026 · </w:t>
      </w:r>
      <w:r>
        <w:rPr>
          <w:rFonts w:ascii="Arial" w:cs="Arial" w:eastAsia="Arial" w:hAnsi="Arial"/>
          <w:i/>
          <w:iCs/>
          <w:sz w:val="22"/>
          <w:szCs w:val="22"/>
        </w:rPr>
        <w:t xml:space="preserve">Unpublished draft, not yet peer reviewed</w:t>
      </w:r>
    </w:p>
    <w:p>
      <w:pPr>
        <w:pBdr>
          <w:left w:val="single" w:color="2E75B6" w:sz="6" w:space="12"/>
        </w:pBdr>
        <w:spacing w:after="120"/>
        <w:ind w:left="720" w:right="720"/>
      </w:pPr>
      <w:r>
        <w:rPr>
          <w:rFonts w:ascii="Arial" w:cs="Arial" w:eastAsia="Arial" w:hAnsi="Arial"/>
          <w:i w:val="false"/>
          <w:iCs w:val="false"/>
          <w:sz w:val="22"/>
          <w:szCs w:val="22"/>
        </w:rPr>
        <w:t xml:space="preserve">Article Scope and Companion References: This paper is an integrative review of the musculoskeletal system analyzed as an exercise-transducing endocrine architecture. Skeletal muscle and bone are treated together because both function as endocrine organs whose primary output signals are driven by mechanical loading and metabolic state, and whose failure modes are bidirectionally coupled through the osteocalcin–myokine axis, shared hormonal regulation (GH/IGF-1, sex hormones, cortisol), and the exercise-aging-cognition spiral. The five-operation decomposition (Propagation, Gating, Detection, Accumulation, Refinement) is used as an analytical scaffold for locating control logic and identifying coupling points; it does not represent a theoretical claim beyond the established biology described. Brain-interface effects of musculoskeletal signals are covered at the systems level; detailed brainstem and limbic circuit mappings are in the companion Brain-Body Unified Reference (BrainBody v1.3). Evidence confidence tiers are specified at the end of §1.</w:t>
      </w:r>
    </w:p>
    <w:p>
      <w:pPr>
        <w:spacing w:after="80"/>
      </w:pPr>
      <w:r>
        <w:t xml:space="preserve"/>
      </w:r>
    </w:p>
    <w:p>
      <w:pPr>
        <w:pStyle w:val="Heading1"/>
        <w:spacing w:before="280" w:after="120"/>
      </w:pPr>
      <w:r>
        <w:rPr>
          <w:rFonts w:ascii="Arial" w:cs="Arial" w:eastAsia="Arial" w:hAnsi="Arial"/>
          <w:b/>
          <w:bCs/>
          <w:color w:val="1F3864"/>
          <w:sz w:val="28"/>
          <w:szCs w:val="28"/>
        </w:rPr>
        <w:t xml:space="preserve">Abstract</w:t>
      </w:r>
    </w:p>
    <w:p>
      <w:pPr>
        <w:spacing w:after="140"/>
        <w:jc w:val="both"/>
      </w:pPr>
      <w:r>
        <w:rPr>
          <w:rFonts w:ascii="Arial" w:cs="Arial" w:eastAsia="Arial" w:hAnsi="Arial"/>
          <w:sz w:val="22"/>
          <w:szCs w:val="22"/>
        </w:rPr>
        <w:t xml:space="preserve">The musculoskeletal system comprises two endocrine organs — skeletal muscle and bone — whose physiological role includes, alongside mechanical support and locomotion, the transduction of behavioral inputs (exercise, mechanical load) into biological age signals distributed systemically. Skeletal muscle is the body’s largest metabolic organ, accounting for approximately 30–40% of body mass in lean adults and 70% of insulin-stimulated glucose uptake; it communicates exercise state to the brain, adipose tissue, and liver through myokines (irisin, IL-6, FGF21) and the neurotrophin BDNF released during sustained exercise. Bone is a dynamic endocrine organ secreting osteocalcin (osteoblast-derived; targets brain memory circuits, pancreatic β-cells, and skeletal muscle mitochondria) and FGF23 (osteocyte-derived; regulates renal phosphate excretion and calcitriol synthesis). These two organs are coupled through the osteocalcin–myokine feedback loop, shared anabolic hormonal regulation (GH/IGF-1, testosterone, estradiol), and the mechanostat, in which mechanical loading drives osteoblast activation and muscle hypertrophy simultaneously.</w:t>
      </w:r>
    </w:p>
    <w:p>
      <w:pPr>
        <w:spacing w:after="140"/>
        <w:jc w:val="both"/>
      </w:pPr>
      <w:r>
        <w:rPr>
          <w:rFonts w:ascii="Arial" w:cs="Arial" w:eastAsia="Arial" w:hAnsi="Arial"/>
          <w:sz w:val="22"/>
          <w:szCs w:val="22"/>
        </w:rPr>
        <w:t xml:space="preserve">This paper applies the five-operation decomposition to skeletal muscle and bone and analyzes three coupled failure cascades: the sedentary aging cascade (physical inactivity → AMPK under-stimulation → mitochondrial density loss → insulin resistance → sarcopenia → reduced osteocalcin → cognitive decline), the osteoporosis–fracture–mortality cascade (sex hormone loss → RANKL/OPG imbalance → trabecular thinning → hip fracture → immobilization → pneumonia), and the GLP-1 receptor agonist–lean mass interaction (pharmacologic weight loss → lean mass loss of 25–40% of total weight lost, partially mitigated by resistance training and protein intake). The exercise-aging-cognition axis is the paper’s defining claim: physical activity is among the most effective evidence-based interventions for depression, insulin resistance, cognitive aging, and sarcopenia simultaneously, operating through converging molecular mechanisms (BDNF, irisin, osteocalcin, lactate–HCAR1–angiogenesis) that no single pharmacological agent currently activates as broadly, to our knowledge. Evidence tiers (A: replicated, mechanistically confirmed; B: mechanistically supported; C: integrative synthesis) are assigned throughout.</w:t>
      </w:r>
    </w:p>
    <w:p>
      <w:pPr>
        <w:spacing w:after="80"/>
      </w:pPr>
      <w:r>
        <w:t xml:space="preserve"/>
      </w:r>
    </w:p>
    <w:p>
      <w:pPr>
        <w:pStyle w:val="Heading1"/>
        <w:spacing w:before="280" w:after="120"/>
      </w:pPr>
      <w:r>
        <w:rPr>
          <w:rFonts w:ascii="Arial" w:cs="Arial" w:eastAsia="Arial" w:hAnsi="Arial"/>
          <w:b/>
          <w:bCs/>
          <w:color w:val="1F3864"/>
          <w:sz w:val="28"/>
          <w:szCs w:val="28"/>
        </w:rPr>
        <w:t xml:space="preserve">§1 — The Musculoskeletal System as a Coupled Endocrine Architecture</w:t>
      </w:r>
    </w:p>
    <w:p>
      <w:pPr>
        <w:spacing w:after="140"/>
        <w:jc w:val="both"/>
      </w:pPr>
      <w:r>
        <w:rPr>
          <w:rFonts w:ascii="Arial" w:cs="Arial" w:eastAsia="Arial" w:hAnsi="Arial"/>
          <w:sz w:val="22"/>
          <w:szCs w:val="22"/>
        </w:rPr>
        <w:t xml:space="preserve">Skeletal muscle and bone are textbook examples of mechanical tissues, and their roles in force generation and structural support are among the best-characterized functions in physiology. This framing is correct but incomplete. Both tissues function simultaneously as endocrine organs: skeletal muscle secretes a constellation of myokines during contraction that communicate exercise state to the brain, adipose tissue, liver, and immune system; bone secretes osteocalcin, a hormone that modulates brain memory circuits, pancreatic β-cell insulin secretion, and skeletal muscle mitochondrial function, with circulating levels rising with exercise and mechanical loading [3]. These endocrine functions represent a major and underemphasized physiological output of both tissues: endocrine signaling that translates behavioral inputs into systemic metabolic and aging trajectories.</w:t>
      </w:r>
    </w:p>
    <w:p>
      <w:pPr>
        <w:spacing w:after="140"/>
        <w:jc w:val="both"/>
      </w:pPr>
      <w:r>
        <w:rPr>
          <w:rFonts w:ascii="Arial" w:cs="Arial" w:eastAsia="Arial" w:hAnsi="Arial"/>
          <w:sz w:val="22"/>
          <w:szCs w:val="22"/>
        </w:rPr>
        <w:t xml:space="preserve">The AMPK–PGC-1α axis is the molecular core of the exercise-transduction system. During contraction, muscle ATP is consumed faster than it is regenerated, raising the AMP/ATP ratio. AMPK (AMP-activated protein kinase) senses this ratio and, when activated, simultaneously triggers GLUT4 translocation to the plasma membrane (insulin-independent glucose uptake), β-oxidation upregulation, and PGC-1α (peroxisome proliferator-activated receptor γ coactivator 1-α) transcription. PGC-1α is the master regulator of mitochondrial biogenesis: a single bout of exercise activates PGC-1α transiently; repeated bouts over weeks generate durable increases in mitochondrial density, oxidative capacity, and myokine secretory capacity [1]. The trainability of this axis — its ability to encode chronic exercise patterns into durable structural changes — is the mechanistic basis of exercise’s broad therapeutic effects [1].</w:t>
      </w:r>
    </w:p>
    <w:p>
      <w:pPr>
        <w:spacing w:after="140"/>
        <w:jc w:val="both"/>
      </w:pPr>
      <w:r>
        <w:rPr>
          <w:rFonts w:ascii="Arial" w:cs="Arial" w:eastAsia="Arial" w:hAnsi="Arial"/>
          <w:sz w:val="22"/>
          <w:szCs w:val="22"/>
        </w:rPr>
        <w:t xml:space="preserve">The bone–muscle axis operates bidirectionally. Muscle contraction applies mechanical loads to bone that activate osteoblasts through the mechanostat (Frost 1987): loading strains exceeding a minimum effective strain threshold stimulate periosteal bone formation, while disuse produces net resorption [2]. Bone, in turn, secretes osteocalcin whose exercise-induced rise feeds back to skeletal muscle to enhance mitochondrial function and exercise capacity [3]. This loop means that exercise simultaneously builds muscle (AMPK → PGC-1α) and bone (mechanostat → osteoblast), while the improved osteocalcin signal from bone further enhances muscle performance — a self-amplifying adaptive program that physical inactivity progressively dismantles.</w:t>
      </w:r>
    </w:p>
    <w:p>
      <w:pPr>
        <w:spacing w:after="140"/>
        <w:jc w:val="both"/>
      </w:pPr>
      <w:r>
        <w:rPr>
          <w:rFonts w:ascii="Arial" w:cs="Arial" w:eastAsia="Arial" w:hAnsi="Arial"/>
          <w:sz w:val="22"/>
          <w:szCs w:val="22"/>
        </w:rPr>
        <w:t xml:space="preserve">The brain-musculoskeletal interface is the paper’s defining claim and the justification for this paper’s standalone status. Exercise generates at least four classes of brain-active signals: irisin (FNDC5 cleavage product; crosses the blood-brain barrier; promotes hippocampal neuroplasticity via αV integrin receptors) [4, 5]; BDNF (both centrally synthesized during exercise and peripherally released from contracting muscle as pro-BDNF that is cleaved to mature BDNF in circulation) [6]; lactate (crosses the blood-brain barrier via monocarboxylate transporters; activates HCAR1, induces angiogenesis, and augments BDNF release through SIRT1–PGC-1α–FNDC5 pathway) [7]; and osteocalcin (bone-derived; crosses the blood-brain barrier; binds GPR158 on hippocampal neurons; enhances synthesis of monoamine neurotransmitters, BDNF, and synaptic plasticity proteins) [8, 9]. No single pharmacological agent activates all four pathways simultaneously. This convergence explains why exercise is consistently identified as among the most effective interventions for depression, cognitive aging, and metabolic syndrome in the published evidence base [10].</w:t>
      </w:r>
    </w:p>
    <w:p>
      <w:pPr>
        <w:spacing w:after="140"/>
        <w:jc w:val="both"/>
      </w:pPr>
      <w:r>
        <w:rPr>
          <w:rFonts w:ascii="Arial" w:cs="Arial" w:eastAsia="Arial" w:hAnsi="Arial"/>
          <w:sz w:val="22"/>
          <w:szCs w:val="22"/>
        </w:rPr>
        <w:t xml:space="preserve">The five-operation decomposition used throughout this paper is an analytical scaffold for locating control logic and identifying coupling points. The coupling analysis in §3 identifies the shared interfaces; the failure cascade analysis in §4 shows how those interfaces amplify rather than correct failure when physical activity is chronically reduced.</w:t>
      </w:r>
    </w:p>
    <w:p>
      <w:pPr>
        <w:spacing w:after="140"/>
        <w:jc w:val="both"/>
      </w:pPr>
      <w:r>
        <w:rPr>
          <w:rFonts w:ascii="Arial" w:cs="Arial" w:eastAsia="Arial" w:hAnsi="Arial"/>
          <w:sz w:val="22"/>
          <w:szCs w:val="22"/>
        </w:rPr>
        <w:t xml:space="preserve">Sources for this review were drawn from primary peer-reviewed literature, prioritizing mechanistic studies, landmark clinical trials, and recent literature (2023–2025) in areas of active development (irisin receptor biology, lactate–BDNF signaling, GLP-1 receptor agonist body composition effects). Evidence tiers were assigned operationally: Tier A requires human mechanistic confirmation or replicated RCT-level evidence; Tier B requires direct experimental support in human tissue or well-validated animal models with human correlates; Tier C designates integrative synthesis where individual steps are supported but the cascade as a unified clinical pattern has not been directly demonstrated. Tier assignments are made at point of use and consolidated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Evidence Tiers — Scope and Confidence of Claims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These tiers reflect the confidence with which claims are used within this review. They are not a formal evidence-grading system (e.g., GRADE) and should not be read as one. Reviewers may reasonably disagree on individual assignments.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Established consensus (well-replicated, textbook-level): AMPK activation by exercise → GLUT4 translocation (insulin-independent glucose uptake); PGC-1α as master mitochondrial biogenesis regulator; mTORC1 → protein synthesis (anabolic gate); myostatin (TGF-β family) suppresses muscle growth; RANKL/OPG system controlling osteoclast differentiation and bone resorption; E2 → OPG ↑ + RANKL ↓ (bone protection); mechanostat: weight-bearing loading → osteoblast activation; sarcopenia rate ~1–2% muscle mass per year after age 50; hip fracture 1-year mortality 20–25%.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(clinical trial outcomes): Bisphosphonates and denosumab reducing fracture risk [16]; resistance training increasing muscle mass and strength across age groups [1]; aerobic exercise reducing T2D risk and HbA1c [17]; CPAP for OSA (companion paper); exercise reducing depression symptoms (RCT-level evidence) [10]; romosozumab (anti-sclerostin) anabolic bone therapy [16].</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B — Mechanisms with direct experimental support: Irisin → αVβ5 integrin (receptor identified by cryo-EM; two-step mechanism via extracellular Hsp90α confirmed 2023) [4, 5]; irisin → hippocampal neuroplasticity (human observational + mouse causal); BDNF expressed and released from human skeletal muscle (type I fiber-dependent; lactate augments circulating mature BDNF in humans 2024) [6]; osteocalcin → GPR158 → hippocampal memory circuits (mouse mechanistic; human observational); lactate → BDNF augmentation via SIRT1/PGC-1α/FNDC5 pathway (human exercise correlation + lactate infusion data) [7]; FGF23 → renal calcitriol suppression; D2R decline with aging → reduced exercise motivation [18]; GLP-1 agonists → lean mass reduction of ~25% of total weight lost (22 RCTs, network meta-analysis 2024) [19].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 — Integrative syntheses: Osteocalcin → human cognitive outcomes at clinical magnitude (no human supplementation trial; observational and Mendelian randomization data only); sedentary aging → cognitive decline cascade (individual steps B; coordinated program C); lactate → direct hippocampal BDNF expression (correlation B; acute causal chain C); GLP-1 lean mass loss → long-term sarcopenia/metabolic consequence (observational concern; mitigation strategies under investigation).</w:t>
            </w:r>
          </w:p>
        </w:tc>
      </w:tr>
    </w:tbl>
    <w:p>
      <w:pPr>
        <w:spacing w:after="80"/>
      </w:pPr>
      <w:r>
        <w:t xml:space="preserve"/>
      </w:r>
    </w:p>
    <w:p>
      <w:pPr>
        <w:pStyle w:val="Heading1"/>
        <w:spacing w:before="280" w:after="120"/>
      </w:pPr>
      <w:r>
        <w:rPr>
          <w:rFonts w:ascii="Arial" w:cs="Arial" w:eastAsia="Arial" w:hAnsi="Arial"/>
          <w:b/>
          <w:bCs/>
          <w:color w:val="1F3864"/>
          <w:sz w:val="28"/>
          <w:szCs w:val="28"/>
        </w:rPr>
        <w:t xml:space="preserve">§2 — Detection Architecture of 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Five-Operation Decomposition — Definition of Terms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The mechanism by which a signal or state change is transmitted from one component to the next within or between systems.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Gating: The control mechanism that determines whether a signal passes, accumulates, or is blocked; the threshold or valve function that separates quiescent from active states.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The sensing mechanism that measures deviation from a setpoint and generates an error signal; the molecular sensor or organ that monitors system state.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The time-integrated process by which repeated or sustained activations produce structural or functional change; the state that builds incrementally toward irreversibility.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Refinement: The adaptive mechanism that updates setpoints, receptor densities, or circuit gain in response to chronic inputs; the system’s capacity for recalibration.</w:t>
            </w:r>
          </w:p>
        </w:tc>
      </w:tr>
    </w:tbl>
    <w:p>
      <w:pPr>
        <w:spacing w:after="80"/>
      </w:pPr>
      <w:r>
        <w:t xml:space="preserve"/>
      </w:r>
    </w:p>
    <w:p>
      <w:pPr>
        <w:spacing w:after="140"/>
        <w:jc w:val="both"/>
      </w:pPr>
      <w:r>
        <w:rPr>
          <w:rFonts w:ascii="Arial" w:cs="Arial" w:eastAsia="Arial" w:hAnsi="Arial"/>
          <w:sz w:val="22"/>
          <w:szCs w:val="22"/>
        </w:rPr>
        <w:t xml:space="preserve">Each system is analyzed below using these five operations as an organizational scaffold. Tier A claims are established consensus; Tier B claims have direct experimental support as noted; Tier C findings are flagged at point of use.</w:t>
      </w:r>
    </w:p>
    <w:p>
      <w:pPr>
        <w:pStyle w:val="Heading2"/>
        <w:spacing w:before="280" w:after="120"/>
      </w:pPr>
      <w:r>
        <w:rPr>
          <w:rFonts w:ascii="Arial" w:cs="Arial" w:eastAsia="Arial" w:hAnsi="Arial"/>
          <w:b/>
          <w:bCs/>
          <w:color w:val="1F3864"/>
          <w:sz w:val="24"/>
          <w:szCs w:val="24"/>
        </w:rPr>
        <w:t xml:space="preserve">§2.1 — Skeletal Muscle</w:t>
      </w:r>
    </w:p>
    <w:p>
      <w:pPr>
        <w:spacing w:after="140"/>
        <w:jc w:val="both"/>
      </w:pPr>
      <w:r>
        <w:rPr>
          <w:rFonts w:ascii="Arial" w:cs="Arial" w:eastAsia="Arial" w:hAnsi="Arial"/>
          <w:b/>
          <w:bCs/>
          <w:sz w:val="22"/>
          <w:szCs w:val="22"/>
        </w:rPr>
        <w:t xml:space="preserve">Propagation.</w:t>
      </w:r>
      <w:r>
        <w:rPr>
          <w:rFonts w:ascii="Arial" w:cs="Arial" w:eastAsia="Arial" w:hAnsi="Arial"/>
          <w:sz w:val="22"/>
          <w:szCs w:val="22"/>
        </w:rPr>
        <w:t xml:space="preserve"> Skeletal muscle propagates both mechanical force and metabolic signals. The contraction cascade initiates at the neuromuscular junction: motor neuron action potential → acetylcholine release → nAChR activation → end-plate potential → T-tubule depolarization → DHPR (dihydropyridine receptor) → RyR1 (ryanodine receptor 1) opening → Ca²⁺ release from the sarcoplasmic reticulum → troponin C → actin-myosin cross-bridge cycling → force. ATP consumption during this cycle raises the AMP/ATP ratio within seconds, activating AMPK. Activated AMPK propagates three parallel signals: GLUT4 vesicle translocation to the plasma membrane (enabling insulin-independent glucose uptake), acetyl-CoA carboxylase phosphorylation (enabling malonyl-CoA suppression → CPT-1 activation → β-oxidation), and CaMKII-mediated MEF2 activation → PGC-1α gene expression → mitochondrial biogenesis [1]. Exercise-induced myokine secretion is an additional propagation layer: FNDC5 is cleaved to release irisin into the circulation; IL-6 is released from contracting fibers in proportion to glycogen depletion; BDNF is expressed as pro-BDNF (a neurotrophin rather than a classical myokine) in type I fibers and released during exercise with subsequent cleavage to mature BDNF in circulation [6].</w:t>
      </w:r>
    </w:p>
    <w:p>
      <w:pPr>
        <w:spacing w:after="140"/>
        <w:jc w:val="both"/>
      </w:pPr>
      <w:r>
        <w:rPr>
          <w:rFonts w:ascii="Arial" w:cs="Arial" w:eastAsia="Arial" w:hAnsi="Arial"/>
          <w:b/>
          <w:bCs/>
          <w:sz w:val="22"/>
          <w:szCs w:val="22"/>
        </w:rPr>
        <w:t xml:space="preserve">Gating.</w:t>
      </w:r>
      <w:r>
        <w:rPr>
          <w:rFonts w:ascii="Arial" w:cs="Arial" w:eastAsia="Arial" w:hAnsi="Arial"/>
          <w:sz w:val="22"/>
          <w:szCs w:val="22"/>
        </w:rPr>
        <w:t xml:space="preserve"> The primary anabolic gate in skeletal muscle is the AMPK–mTOR opposition. mTORC1 (mechanistic target of rapamycin complex 1) is the master anabolic gate: activated by amino acids (via Ragulator/GATOR complex), insulin/IGF-1 (via IRS-1 → PI3K → AKT → TSC2 phosphorylation), and mechanical load (via focal adhesion kinase), it phosphorylates S6K1 and 4EBP1 to drive ribosomal biogenesis and protein synthesis. AMPK opposes mTOR under energy deficit by phosphorylating TSC2 (activating it) and Raptor (inhibiting mTORC1 directly): the cell cannot build protein when energy-depleted. This AMPK–mTOR gate is the molecular basis of the anabolic window after resistance exercise, when acute AMPK activation is followed by mTOR-driven protein synthesis as energy is restored. The second gate is myostatin: a TGF-β family member secreted by muscle fibers that signals via SMAD2/3 to suppress satellite cell proliferation and mTOR-driven hypertrophy. Myostatin increases with aging and in disease cachexia, producing anabolic resistance — the inability to build muscle despite adequate stimulus and substrate [1].</w:t>
      </w:r>
    </w:p>
    <w:p>
      <w:pPr>
        <w:spacing w:after="140"/>
        <w:jc w:val="both"/>
      </w:pPr>
      <w:r>
        <w:rPr>
          <w:rFonts w:ascii="Arial" w:cs="Arial" w:eastAsia="Arial" w:hAnsi="Arial"/>
          <w:b/>
          <w:bCs/>
          <w:sz w:val="22"/>
          <w:szCs w:val="22"/>
        </w:rPr>
        <w:t xml:space="preserve">Detection.</w:t>
      </w:r>
      <w:r>
        <w:rPr>
          <w:rFonts w:ascii="Arial" w:cs="Arial" w:eastAsia="Arial" w:hAnsi="Arial"/>
          <w:sz w:val="22"/>
          <w:szCs w:val="22"/>
        </w:rPr>
        <w:t xml:space="preserve"> Skeletal muscle is both a sensor and an effector. AMPK functions as the primary intracellular metabolic sensor, detecting AMP/ATP ratio. The intramuscular lipid accumulation sensor is the DAG–PKC-θ pathway: excess intramyocellular lipid (IMCL) generates diacylglycerol (DAG), activating PKC-θ, which phosphorylates IRS-1 at Ser307, impairing insulin signal propagation to GLUT4 — this pathway constitutes the primary molecular mechanism of skeletal muscle insulin resistance. Proprioceptive detection operates through two peripheral sensor populations: muscle spindles (intrafusal fibers detecting length and stretch rate; afferent via Ia/II fibers → cerebellum and motor cortex) and Golgi tendon organs (GTO; detecting tension; afferent via Ib fibers → spinal inhibitory interneurons) [12]; detailed proprioceptor circuit architecture is covered in PeripheralNS v0.8. The Ca²⁺/calmodulin-dependent kinase II (CaMKII) additionally functions as a frequency-sensitive integrator of contractile Ca²⁺ transients, translating exercise intensity into gene regulatory signals [1].</w:t>
      </w:r>
    </w:p>
    <w:p>
      <w:pPr>
        <w:spacing w:after="140"/>
        <w:jc w:val="both"/>
      </w:pPr>
      <w:r>
        <w:rPr>
          <w:rFonts w:ascii="Arial" w:cs="Arial" w:eastAsia="Arial" w:hAnsi="Arial"/>
          <w:b/>
          <w:bCs/>
          <w:sz w:val="22"/>
          <w:szCs w:val="22"/>
        </w:rPr>
        <w:t xml:space="preserve">Accumulation.</w:t>
      </w:r>
      <w:r>
        <w:rPr>
          <w:rFonts w:ascii="Arial" w:cs="Arial" w:eastAsia="Arial" w:hAnsi="Arial"/>
          <w:sz w:val="22"/>
          <w:szCs w:val="22"/>
        </w:rPr>
        <w:t xml:space="preserve"> Chronic disuse produces sarcopenia: progressive loss of muscle mass and strength at approximately 1–2% per year after age 50, accelerating after 70 [25]. The mechanism involves reduced satellite cell number and activity, anabolic resistance to amino acid and insulin signaling (Tier A), elevated myostatin (Tier B), and reduced neuromotor unit recruitment. Sarcopenia reduces glucose disposal capacity (since skeletal muscle accounts for ~70% of insulin-stimulated uptake), directly worsening insulin resistance independent of adiposity. Chronic elevated cortisol (HPA axis activation, cachexia) activates the ubiquitin-proteasome system (UPS) in muscle fibers, driving net protein catabolism. Lipid accumulation within muscle fibers (intramyocellular lipid, IMCL) further promotes insulin resistance through the DAG–PKC-θ pathway, creating a self-amplifying accumulation state: inactivity → IMCL ↑ → insulin resistance → further impaired muscle glucose metabolism [1].</w:t>
      </w:r>
    </w:p>
    <w:p>
      <w:pPr>
        <w:spacing w:after="140"/>
        <w:jc w:val="both"/>
      </w:pPr>
      <w:r>
        <w:rPr>
          <w:rFonts w:ascii="Arial" w:cs="Arial" w:eastAsia="Arial" w:hAnsi="Arial"/>
          <w:b/>
          <w:bCs/>
          <w:sz w:val="22"/>
          <w:szCs w:val="22"/>
        </w:rPr>
        <w:t xml:space="preserve">Refinement.</w:t>
      </w:r>
      <w:r>
        <w:rPr>
          <w:rFonts w:ascii="Arial" w:cs="Arial" w:eastAsia="Arial" w:hAnsi="Arial"/>
          <w:sz w:val="22"/>
          <w:szCs w:val="22"/>
        </w:rPr>
        <w:t xml:space="preserve"> Skeletal muscle is a remarkably trainable organ. Exercise training drives durable increases in mitochondrial density (Tier A), GLUT4 expression (Tier A), capillary density, and oxidative enzyme capacity over weeks. Type I slow-twitch fibers (oxidative) increase their mitochondrial volume density with endurance training; type II fast-twitch fibers hypertrophy with resistance training via mTOR-driven protein synthesis. Exercise-induced reduction of myostatin mRNA expression reduces the anabolic suppression threshold, enabling greater hypertrophic response per unit stimulus — a training-specific recalibration. The exercise-induced increase in irisin, BDNF, and osteocalcin secretory capacity provides an additional adaptive benefit that extends refinement beyond the muscle to brain and bone [4, 5, 6].</w:t>
      </w:r>
    </w:p>
    <w:p>
      <w:pPr>
        <w:spacing w:after="80"/>
      </w:pPr>
      <w:r>
        <w:t xml:space="preserve"/>
      </w:r>
    </w:p>
    <w:p>
      <w:pPr>
        <w:pStyle w:val="Heading2"/>
        <w:spacing w:before="280" w:after="120"/>
      </w:pPr>
      <w:r>
        <w:rPr>
          <w:rFonts w:ascii="Arial" w:cs="Arial" w:eastAsia="Arial" w:hAnsi="Arial"/>
          <w:b/>
          <w:bCs/>
          <w:color w:val="1F3864"/>
          <w:sz w:val="24"/>
          <w:szCs w:val="24"/>
        </w:rPr>
        <w:t xml:space="preserve">§2.2 — Bone</w:t>
      </w:r>
    </w:p>
    <w:p>
      <w:pPr>
        <w:spacing w:after="140"/>
        <w:jc w:val="both"/>
      </w:pPr>
      <w:r>
        <w:rPr>
          <w:rFonts w:ascii="Arial" w:cs="Arial" w:eastAsia="Arial" w:hAnsi="Arial"/>
          <w:b/>
          <w:bCs/>
          <w:sz w:val="22"/>
          <w:szCs w:val="22"/>
        </w:rPr>
        <w:t xml:space="preserve">Propagation.</w:t>
      </w:r>
      <w:r>
        <w:rPr>
          <w:rFonts w:ascii="Arial" w:cs="Arial" w:eastAsia="Arial" w:hAnsi="Arial"/>
          <w:sz w:val="22"/>
          <w:szCs w:val="22"/>
        </w:rPr>
        <w:t xml:space="preserve"> Bone propagates mechanical and hormonal signals. The mechanostat (Frost 1987) describes the bone remodeling response to mechanical strain: strains exceeding the minimum effective strain threshold activate osteocytes (the primary mechanosensors embedded in the bone matrix), which suppress sclerostin secretion; reduced sclerostin releases WNT signaling inhibition, activating osteoblast differentiation and bone formation [2]. Below the remodeling threshold, sclerostin expression increases, suppressing bone formation. This mechanostat couples physical loading directly to bone mass accumulation: weight-bearing exercise is the primary stimulus for bone formation at any age. Bone also propagates endocrine signals: osteocalcin (secreted by osteoblasts as a non-collagenous matrix protein; undercarboxylated osteocalcin, ucOC, is the bioactive form) enters circulation and acts on skeletal muscle (GPRC6A receptors), brain (GPR158 → monoamine synthesis + BDNF ↑), and pancreatic β-cells (→ insulin secretion ↑) [3, 8]; FGF23 (secreted by osteocytes) acts on renal tubules to suppress 1α-hydroxylase, reducing calcitriol synthesis [26].</w:t>
      </w:r>
    </w:p>
    <w:p>
      <w:pPr>
        <w:spacing w:after="140"/>
        <w:jc w:val="both"/>
      </w:pPr>
      <w:r>
        <w:rPr>
          <w:rFonts w:ascii="Arial" w:cs="Arial" w:eastAsia="Arial" w:hAnsi="Arial"/>
          <w:b/>
          <w:bCs/>
          <w:sz w:val="22"/>
          <w:szCs w:val="22"/>
        </w:rPr>
        <w:t xml:space="preserve">Gating.</w:t>
      </w:r>
      <w:r>
        <w:rPr>
          <w:rFonts w:ascii="Arial" w:cs="Arial" w:eastAsia="Arial" w:hAnsi="Arial"/>
          <w:sz w:val="22"/>
          <w:szCs w:val="22"/>
        </w:rPr>
        <w:t xml:space="preserve"> The primary resorption gate in bone is the RANKL/OPG system. Osteoblasts and osteocytes secrete RANKL (receptor activator of NF-κB ligand), which binds RANK receptors on osteoclast precursors, driving osteoclast differentiation, fusion, and bone resorption. Osteoprotegerin (OPG), also secreted by osteoblasts, functions as a decoy receptor that sequesters RANKL and prevents osteoclast activation. The RANKL/OPG ratio is the primary gate of net bone resorption: estradiol (E2) drives OPG expression and suppresses RANKL, providing the hormonal basis of bone protection in premenopausal women; E2 loss at menopause shifts the ratio toward RANKL, initiating accelerated bone loss [13]. PTH drives osteoclast activation by suppressing OPG and increasing RANKL on osteoblasts; intermittent PTH (teriparatide) stimulates net bone formation — in contrast to the resorptive effects of continuously elevated PTH — by activating the PKA/CREB pathway and suppressing sclerostin expression in osteocytes [16, 27]. The second gate is the Wnt/LRP5–6/β-catenin anabolic gate: activation (by mechanical loading, pharmacological sclerostin inhibition) drives osteoblast differentiation; inhibition (by sclerostin, DKK1, myostatin) suppresses it [16].</w:t>
      </w:r>
    </w:p>
    <w:p>
      <w:pPr>
        <w:spacing w:after="140"/>
        <w:jc w:val="both"/>
      </w:pPr>
      <w:r>
        <w:rPr>
          <w:rFonts w:ascii="Arial" w:cs="Arial" w:eastAsia="Arial" w:hAnsi="Arial"/>
          <w:b/>
          <w:bCs/>
          <w:sz w:val="22"/>
          <w:szCs w:val="22"/>
        </w:rPr>
        <w:t xml:space="preserve">Detection.</w:t>
      </w:r>
      <w:r>
        <w:rPr>
          <w:rFonts w:ascii="Arial" w:cs="Arial" w:eastAsia="Arial" w:hAnsi="Arial"/>
          <w:sz w:val="22"/>
          <w:szCs w:val="22"/>
        </w:rPr>
        <w:t xml:space="preserve"> Osteocytes are the primary mechanosensors and act as the bone’s distributed sensory network: embedded within the lacunocanalicular network at a density of approximately 25,000 cells/mm³ [21], they detect strain via primary cilia and integrin-matrix connections, transduce mechanical signals through fluid flow-induced shear stress, and communicate via gap junctions to surface osteoblasts and osteoclasts. Systemic detection is achieved through calcium sensing: the calcium-sensing receptor (CaSR) on parathyroid chief cells detects ionized Ca²⁺ in blood; hypocalcemia → PTH secretion → osteoclast activation + renal Ca²⁺ reabsorption + calcitriol synthesis → intestinal Ca²⁺ absorption ↑. Phosphate sensing is through FGF23: elevated serum phosphate (diet or reduced renal excretion) → FGF23 ↑ from osteocytes → renal phosphate excretion ↑ + calcitriol ↓. The bone thus functions as a distributed phosphate and calcium sensor with systemic feedback loops to kidney and gut.</w:t>
      </w:r>
    </w:p>
    <w:p>
      <w:pPr>
        <w:spacing w:after="140"/>
        <w:jc w:val="both"/>
      </w:pPr>
      <w:r>
        <w:rPr>
          <w:rFonts w:ascii="Arial" w:cs="Arial" w:eastAsia="Arial" w:hAnsi="Arial"/>
          <w:b/>
          <w:bCs/>
          <w:sz w:val="22"/>
          <w:szCs w:val="22"/>
        </w:rPr>
        <w:t xml:space="preserve">Accumulation.</w:t>
      </w:r>
      <w:r>
        <w:rPr>
          <w:rFonts w:ascii="Arial" w:cs="Arial" w:eastAsia="Arial" w:hAnsi="Arial"/>
          <w:sz w:val="22"/>
          <w:szCs w:val="22"/>
        </w:rPr>
        <w:t xml:space="preserve"> Bone loss accumulates silently until fracture threshold is crossed. Peak bone mass is achieved in the third decade; after age 30 there is a slow net annual loss of approximately 0.5–1% BMD per year, accelerating to 2–3% per year in the first five years post-menopause due to estrogen withdrawal. Trabecular bone (vertebrae, hip, distal radius) is preferentially lost because its high surface area:volume ratio exposes more surface to osteoclast resorption. Trabecular thinning, perforation, and loss of connectivity reduce bone strength beyond what BMD alone predicts: trabecular connectivity and thickness contribute more to fracture resistance than mineral density, such that architectural deterioration amplifies mechanical failure disproportionately to the measured BMD reduction [16]. Cortical bone is lost more slowly but contributes to hip fracture risk through endosteal thinning. The accumulation trajectory is strongly influenced by calcium and vitamin D intake (required for adequate bone mineralization), sex hormones, and mechanical loading history.</w:t>
      </w:r>
    </w:p>
    <w:p>
      <w:pPr>
        <w:spacing w:after="140"/>
        <w:jc w:val="both"/>
      </w:pPr>
      <w:r>
        <w:rPr>
          <w:rFonts w:ascii="Arial" w:cs="Arial" w:eastAsia="Arial" w:hAnsi="Arial"/>
          <w:b/>
          <w:bCs/>
          <w:sz w:val="22"/>
          <w:szCs w:val="22"/>
        </w:rPr>
        <w:t xml:space="preserve">Refinement.</w:t>
      </w:r>
      <w:r>
        <w:rPr>
          <w:rFonts w:ascii="Arial" w:cs="Arial" w:eastAsia="Arial" w:hAnsi="Arial"/>
          <w:sz w:val="22"/>
          <w:szCs w:val="22"/>
        </w:rPr>
        <w:t xml:space="preserve"> Bone retains substantial adaptive capacity. The mechanostat is directly trainable: weight-bearing exercise increases BMD at loaded sites in premenopausal women and attenuates bone loss in postmenopausal women (Tier A). Bisphosphonates (alendronate, risedronate, zoledronic acid) reduce bone resorption by inhibiting osteoclast farnesyl pyrophosphate synthase, suppressing the mevalonate pathway and preventing osteoclast survival; 3–5 year treatment reduces hip fracture risk by approximately 30–40% (Tier A) [16]. Denosumab (anti-RANKL monoclonal antibody) suppresses RANKL-mediated osteoclast activation; discontinuation risks rebound vertebral fractures and, less commonly, transient hypercalcemia. Romosozumab (anti-sclerostin) is the first approved anabolic bone agent that simultaneously inhibits resorption and stimulates formation, producing net BMD gains of 13–15% at the spine over one year (FRAME trial) [22]. The anabolic window for exercise-bone adaptation is lifelong, though the response magnitude is largest in childhood and adolescence.</w:t>
      </w:r>
    </w:p>
    <w:p>
      <w:pPr>
        <w:spacing w:after="80"/>
      </w:pPr>
      <w:r>
        <w:t xml:space="preserve"/>
      </w:r>
    </w:p>
    <w:p>
      <w:pPr>
        <w:pStyle w:val="Heading1"/>
        <w:spacing w:before="280" w:after="120"/>
      </w:pPr>
      <w:r>
        <w:rPr>
          <w:rFonts w:ascii="Arial" w:cs="Arial" w:eastAsia="Arial" w:hAnsi="Arial"/>
          <w:b/>
          <w:bCs/>
          <w:color w:val="1F3864"/>
          <w:sz w:val="28"/>
          <w:szCs w:val="28"/>
        </w:rPr>
        <w:t xml:space="preserve">§3 — The Musculoskeletal Coupling Network</w:t>
      </w:r>
    </w:p>
    <w:p>
      <w:pPr>
        <w:spacing w:after="140"/>
        <w:jc w:val="both"/>
      </w:pPr>
      <w:r>
        <w:rPr>
          <w:rFonts w:ascii="Arial" w:cs="Arial" w:eastAsia="Arial" w:hAnsi="Arial"/>
          <w:sz w:val="22"/>
          <w:szCs w:val="22"/>
        </w:rPr>
        <w:t xml:space="preserve">Skeletal muscle and bone share four coupling interfaces. Table 1 summarizes the primary mechanisms.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600"/>
        <w:gridCol w:w="1200"/>
        <w:gridCol w:w="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Coupling interface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signal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Muscle effect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Bone effect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Brain effect</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Osteocalcin–myokine axis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Osteocalcin (bone →); irisin, IL-6 (muscle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Osteocalcin → mitochondrial function + exercise capacity; irisin → muscle FNDC5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Irisin → osteocyte sclerostin modulation; IL-6 → osteoclast-osteoblast coupling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Osteocalcin → GPR158 → BDNF + monoamines; irisin → neuroplasticity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Mechanostat – muscle force coupling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strain (muscle-generated); IGF-1, 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Resistance load → mTOR → hypertrophy; GH/IGF-1 → muscle protein synthesis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Strain → osteocyte → sclerostin ↓ → WNT → osteoblast; GH/IGF-1 → periosteal bone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Indirect: via osteocalcin ↑ with exercise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Hormonal co-regulation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Testosterone, estradiol, cortisol, GH/IGF-1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 → mTOR + satellite cell → hypertrophy; E2 → GLUT4 ↑ + muscle IR ↓; cortisol → UPS → catabolism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 → osteoblast activation; E2 → OPG ↑ + RANKL ↓; cortisol → osteoblast suppression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 → DA synthesis; E2 → neuroprotection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Exercise–brain endocrine axis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BDNF, irisin, lactate, osteocalcin (all exercise-induced)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Muscle → pro-BDNF release; lactate production proportional to intensity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Osteocalcin released proportional to exercise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BDNF → TrkB → neurogenesis; lactate → HCAR1 → angiogenesis + BDNF; irisin → αVβ5 → plasticity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w:t>
            </w:r>
          </w:p>
        </w:tc>
      </w:tr>
    </w:tbl>
    <w:p>
      <w:pPr>
        <w:spacing w:after="140"/>
      </w:pPr>
      <w:r>
        <w:rPr>
          <w:rFonts w:ascii="Arial" w:cs="Arial" w:eastAsia="Arial" w:hAnsi="Arial"/>
          <w:i/>
          <w:iCs/>
          <w:sz w:val="20"/>
          <w:szCs w:val="20"/>
        </w:rPr>
        <w:t xml:space="preserve">Table 1. Primary musculoskeletal coupling interfaces.</w:t>
      </w:r>
    </w:p>
    <w:p>
      <w:pPr>
        <w:spacing w:after="80"/>
      </w:pPr>
      <w:r>
        <w:t xml:space="preserve"/>
      </w:r>
    </w:p>
    <w:p>
      <w:pPr>
        <w:pStyle w:val="Heading2"/>
        <w:spacing w:before="280" w:after="120"/>
      </w:pPr>
      <w:r>
        <w:rPr>
          <w:rFonts w:ascii="Arial" w:cs="Arial" w:eastAsia="Arial" w:hAnsi="Arial"/>
          <w:b/>
          <w:bCs/>
          <w:color w:val="1F3864"/>
          <w:sz w:val="24"/>
          <w:szCs w:val="24"/>
        </w:rPr>
        <w:t xml:space="preserve">§3.1 — The Osteocalcin–Myokine Feedback Loop</w:t>
      </w:r>
    </w:p>
    <w:p>
      <w:pPr>
        <w:spacing w:after="140"/>
        <w:jc w:val="both"/>
      </w:pPr>
      <w:r>
        <w:rPr>
          <w:rFonts w:ascii="Arial" w:cs="Arial" w:eastAsia="Arial" w:hAnsi="Arial"/>
          <w:sz w:val="22"/>
          <w:szCs w:val="22"/>
        </w:rPr>
        <w:t xml:space="preserve">The osteocalcin–myokine axis is the primary bidirectional endocrine coupling between muscle and bone. During exercise, muscle contractions apply mechanical load to bone, activating osteoblasts through the mechanostat. Activated osteoblasts secrete osteocalcin; circulating undercarboxylated osteocalcin (ucOC) acts on muscle fibers through GPRC6A receptors to upregulate mitochondrial gene expression and enhance exercise capacity — a closed-loop system in which the muscle’s mechanical output drives a bone-derived hormonal signal that feeds back to improve muscle metabolic performance [3, 4]. This loop means that skeletal muscle fitness and bone endocrine function are co-regulated: the sedentary individual loses both simultaneously, and exercise restores both simultaneously.</w:t>
      </w:r>
    </w:p>
    <w:p>
      <w:pPr>
        <w:spacing w:after="140"/>
        <w:jc w:val="both"/>
      </w:pPr>
      <w:r>
        <w:rPr>
          <w:rFonts w:ascii="Arial" w:cs="Arial" w:eastAsia="Arial" w:hAnsi="Arial"/>
          <w:sz w:val="22"/>
          <w:szCs w:val="22"/>
        </w:rPr>
        <w:t xml:space="preserve">The myokine-to-bone direction operates primarily through irisin and exercise-context IL-6. Irisin (cleaved from FNDC5 during exercise) acts on osteocytes via αV/β5 integrin receptors — the receptor mechanism confirmed by cryo-EM structural studies in 2023 showing that extracellular Hsp90α secreted by muscle activates the integrin for high-affinity irisin binding [5]. Irisin modulates osteocyte sclerostin production, linking exercise intensity directly to WNT pathway activity in bone. IL-6 released from contracting muscle (anti-inflammatory context; distinct from the pro-inflammatory chronic IL-6 of obesity and rheumatoid arthritis) acts on osteoblasts to couple acute energy demand to bone remodeling signals. This bidirectional myokine-hormone exchange is the molecular substrate for the well-established epidemiological finding that sarcopenia and osteoporosis are tightly correlated beyond their shared hormonal determinants — a relationship consistent with bidirectional myokine-hormone coupling [3].</w:t>
      </w:r>
    </w:p>
    <w:p>
      <w:pPr>
        <w:spacing w:after="80"/>
      </w:pPr>
      <w:r>
        <w:t xml:space="preserve"/>
      </w:r>
    </w:p>
    <w:p>
      <w:pPr>
        <w:pStyle w:val="Heading2"/>
        <w:spacing w:before="280" w:after="120"/>
      </w:pPr>
      <w:r>
        <w:rPr>
          <w:rFonts w:ascii="Arial" w:cs="Arial" w:eastAsia="Arial" w:hAnsi="Arial"/>
          <w:b/>
          <w:bCs/>
          <w:color w:val="1F3864"/>
          <w:sz w:val="24"/>
          <w:szCs w:val="24"/>
        </w:rPr>
        <w:t xml:space="preserve">§3.2 — The Exercise–Brain Axis</w:t>
      </w:r>
    </w:p>
    <w:p>
      <w:pPr>
        <w:spacing w:after="140"/>
        <w:jc w:val="both"/>
      </w:pPr>
      <w:r>
        <w:rPr>
          <w:rFonts w:ascii="Arial" w:cs="Arial" w:eastAsia="Arial" w:hAnsi="Arial"/>
          <w:sz w:val="22"/>
          <w:szCs w:val="22"/>
        </w:rPr>
        <w:t xml:space="preserve">The exercise–brain axis operates through four parallel molecular channels. First, BDNF: skeletal muscle expresses pro-BDNF predominantly in type I oxidative fibers; exercise increases muscle and plasma pro-BDNF and, through cleavage, circulating mature BDNF. A 2024 human study confirmed that simultaneous lactate infusion during resistance exercise induced a significantly greater increase in plasma mature BDNF compared to exercise alone, establishing lactate as a direct augmenter of the BDNF response in humans [6]. Circulating BDNF crosses the blood-brain barrier and acts through TrkB receptors on hippocampal neurons to drive neurogenesis, synaptogenesis, and long-term potentiation [14].</w:t>
      </w:r>
    </w:p>
    <w:p>
      <w:pPr>
        <w:spacing w:after="140"/>
        <w:jc w:val="both"/>
      </w:pPr>
      <w:r>
        <w:rPr>
          <w:rFonts w:ascii="Arial" w:cs="Arial" w:eastAsia="Arial" w:hAnsi="Arial"/>
          <w:sz w:val="22"/>
          <w:szCs w:val="22"/>
        </w:rPr>
        <w:t xml:space="preserve">Second, irisin: exercise-induced irisin crosses the blood-brain barrier and binds αV integrin receptors on hippocampal neurons. The receptor mechanism has been established by cryo-EM structural studies [5]: Hsp90α secreted by muscle activates the αVβ5 integrin into a high-affinity open state, enabling irisin binding at physiological nanomolar concentrations; without this prior activation step, irisin cannot engage its receptor effectively. Irisin promotes hippocampal neuroplasticity and resistance to neurodegeneration in animal models; human observational studies consistently show lower circulating irisin in Alzheimer’s disease and depression (Tier B for mechanism; Tier B for human observational association; Tier C for clinical causation).</w:t>
      </w:r>
    </w:p>
    <w:p>
      <w:pPr>
        <w:spacing w:after="140"/>
        <w:jc w:val="both"/>
      </w:pPr>
      <w:r>
        <w:rPr>
          <w:rFonts w:ascii="Arial" w:cs="Arial" w:eastAsia="Arial" w:hAnsi="Arial"/>
          <w:sz w:val="22"/>
          <w:szCs w:val="22"/>
        </w:rPr>
        <w:t xml:space="preserve">Third, lactate: at high exercise intensities, skeletal muscle produces lactate at rates exceeding hepatic clearance, raising blood lactate to 4–10 mM at moderate-to-high intensities (resting ~1 mM). Lactate crosses the blood-brain barrier via monocarboxylate transporters (MCT1/2), where it activates HCAR1 (hydroxycarboxylic acid receptor 1), inducing cerebral angiogenesis. In hippocampal neurons, lactate activates the SIRT1–PGC-1α–FNDC5 pathway, upregulating BDNF gene expression. The acute versus chronic distinction matters: lactate infusion studies show augmentation of circulating BDNF but more variable direct hippocampal effects, suggesting chronic lactate exposure from regular exercise may be more important than acute peaks [7]. This is a Tier B mechanistic claim with Tier C for the causal chain from exercise-intensity to lasting hippocampal BDNF induction in humans.</w:t>
      </w:r>
    </w:p>
    <w:p>
      <w:pPr>
        <w:spacing w:after="140"/>
        <w:jc w:val="both"/>
      </w:pPr>
      <w:r>
        <w:rPr>
          <w:rFonts w:ascii="Arial" w:cs="Arial" w:eastAsia="Arial" w:hAnsi="Arial"/>
          <w:sz w:val="22"/>
          <w:szCs w:val="22"/>
        </w:rPr>
        <w:t xml:space="preserve">Fourth, osteocalcin: circulating osteocalcin crosses the blood-brain barrier and binds GPR158 receptors on hippocampal neurons, where it upregulates the synthesis of monoamine neurotransmitters (dopamine, serotonin, norepinephrine) and BDNF, and promotes autophagy in hippocampal neurons [8]. Age-related decline in osteocalcin levels is associated with cognitive deterioration in observational studies; a 2024 Mendelian randomization study found a causal relationship between blood osteocalcin levels and Alzheimer’s disease risk mediated through energy metabolism [9]. No clinical trial has tested osteocalcin supplementation in humans; the causal relationship at clinical magnitude remains Tier C pending interventional evidence.</w:t>
      </w:r>
    </w:p>
    <w:p>
      <w:pPr>
        <w:spacing w:after="80"/>
      </w:pPr>
      <w:r>
        <w:t xml:space="preserve"/>
      </w:r>
    </w:p>
    <w:p>
      <w:pPr>
        <w:pStyle w:val="Heading2"/>
        <w:spacing w:before="280" w:after="120"/>
      </w:pPr>
      <w:r>
        <w:rPr>
          <w:rFonts w:ascii="Arial" w:cs="Arial" w:eastAsia="Arial" w:hAnsi="Arial"/>
          <w:b/>
          <w:bCs/>
          <w:color w:val="1F3864"/>
          <w:sz w:val="24"/>
          <w:szCs w:val="24"/>
        </w:rPr>
        <w:t xml:space="preserve">§3.3 — The Metabolic Interface</w:t>
      </w:r>
    </w:p>
    <w:p>
      <w:pPr>
        <w:spacing w:after="140"/>
        <w:jc w:val="both"/>
      </w:pPr>
      <w:r>
        <w:rPr>
          <w:rFonts w:ascii="Arial" w:cs="Arial" w:eastAsia="Arial" w:hAnsi="Arial"/>
          <w:sz w:val="22"/>
          <w:szCs w:val="22"/>
        </w:rPr>
        <w:t xml:space="preserve">Skeletal muscle is the body’s primary glucose disposal organ, accounting for approximately 70% of insulin-stimulated whole-body glucose uptake through GLUT4 transporter translocation to the sarcolemma [1]. Exercise activates GLUT4 translocation independently of insulin via AMPK, providing a non-insulin-dependent glucose disposal mechanism that remains functional even in advanced insulin resistance. This makes exercise among the most mechanistically targeted interventions for type 2 diabetes: it bypasses the insulin signaling defect at IRS-1 Ser307 that characterizes skeletal muscle insulin resistance and directly drives GLUT4 membrane insertion [17].</w:t>
      </w:r>
    </w:p>
    <w:p>
      <w:pPr>
        <w:spacing w:after="140"/>
        <w:jc w:val="both"/>
      </w:pPr>
      <w:r>
        <w:rPr>
          <w:rFonts w:ascii="Arial" w:cs="Arial" w:eastAsia="Arial" w:hAnsi="Arial"/>
          <w:sz w:val="22"/>
          <w:szCs w:val="22"/>
        </w:rPr>
        <w:t xml:space="preserve">Bone participates in the metabolic interface through osteocalcin’s effect on pancreatic β-cell insulin secretion. Undercarboxylated osteocalcin acts through GPRC6A receptors on β-cells to enhance insulin secretion and through the same receptors on adipocytes to promote adiponectin secretion (improving hepatic and muscle insulin sensitivity). The exercise–osteocalcin–β-cell feedback loop thus creates a non-pancreatic mechanism by which physical activity enhances insulin secretory capacity. This is Tier B for the mouse mechanistic data [4] with Tier B human epidemiological support; the interventional clinical chain in humans remains Tier C.</w:t>
      </w:r>
    </w:p>
    <w:p>
      <w:pPr>
        <w:spacing w:after="140"/>
        <w:jc w:val="both"/>
      </w:pPr>
      <w:r>
        <w:rPr>
          <w:rFonts w:ascii="Arial" w:cs="Arial" w:eastAsia="Arial" w:hAnsi="Arial"/>
          <w:sz w:val="22"/>
          <w:szCs w:val="22"/>
        </w:rPr>
        <w:t xml:space="preserve">Lactate produced by contracting muscle during high-intensity exercise enters the Cori cycle: exported to the liver, converted back to glucose via gluconeogenesis, and returned to muscle. This lactate shuttling is not merely metabolic waste disposal but a fuel-sharing mechanism: the brain uses lactate as an alternative energy substrate during exercise, and the exercise-induced rise in blood lactate provides a substrate signal that activates HCAR1-mediated cerebral angiogenesis, improving cerebrovascular reserve over months to years of regular training [7].</w:t>
      </w:r>
    </w:p>
    <w:p>
      <w:pPr>
        <w:spacing w:after="80"/>
      </w:pPr>
      <w:r>
        <w:t xml:space="preserve"/>
      </w:r>
    </w:p>
    <w:p>
      <w:pPr>
        <w:pStyle w:val="Heading1"/>
        <w:spacing w:before="280" w:after="120"/>
      </w:pPr>
      <w:r>
        <w:rPr>
          <w:rFonts w:ascii="Arial" w:cs="Arial" w:eastAsia="Arial" w:hAnsi="Arial"/>
          <w:b/>
          <w:bCs/>
          <w:color w:val="1F3864"/>
          <w:sz w:val="28"/>
          <w:szCs w:val="28"/>
        </w:rPr>
        <w:t xml:space="preserve">§4 — Multi-System Failure Cascades</w:t>
      </w:r>
    </w:p>
    <w:p>
      <w:pPr>
        <w:spacing w:after="140"/>
        <w:jc w:val="both"/>
      </w:pPr>
      <w:r>
        <w:rPr>
          <w:rFonts w:ascii="Arial" w:cs="Arial" w:eastAsia="Arial" w:hAnsi="Arial"/>
          <w:sz w:val="22"/>
          <w:szCs w:val="22"/>
        </w:rPr>
        <w:t xml:space="preserve">The following failure patterns emerge from the musculoskeletal coupling architecture. Each is an integrative synthesis: the component mechanisms are supported at the tier indicated, but the cascades as unified clinical patterns represent proposed connections between individually supported mechanisms rather than directly measured unified sequences. Tier designations follow the evidence tiers defined in §1.</w:t>
      </w:r>
    </w:p>
    <w:p>
      <w:pPr>
        <w:pStyle w:val="Heading2"/>
        <w:spacing w:before="280" w:after="120"/>
      </w:pPr>
      <w:r>
        <w:rPr>
          <w:rFonts w:ascii="Arial" w:cs="Arial" w:eastAsia="Arial" w:hAnsi="Arial"/>
          <w:b/>
          <w:bCs/>
          <w:color w:val="1F3864"/>
          <w:sz w:val="24"/>
          <w:szCs w:val="24"/>
        </w:rPr>
        <w:t xml:space="preserve">§4.1 — Sedentary Aging: The Metabolic-Cognitive Cascade</w:t>
      </w:r>
    </w:p>
    <w:p>
      <w:pPr>
        <w:spacing w:after="140"/>
        <w:jc w:val="both"/>
      </w:pPr>
      <w:r>
        <w:rPr>
          <w:rFonts w:ascii="Arial" w:cs="Arial" w:eastAsia="Arial" w:hAnsi="Arial"/>
          <w:sz w:val="22"/>
          <w:szCs w:val="22"/>
        </w:rPr>
        <w:t xml:space="preserve">The sedentary aging cascade is Tier A for the individual mechanistic steps and Tier C as a unified program: the molecular links from AMPK under-stimulation to insulin resistance to sarcopenia to osteocalcin decline are each well-supported, but their combined contribution to a measurable cognitive trajectory in a given individual has not been demonstrated as a directly measured causal sequence. The cascade represents a convergence of individually validated mechanisms toward a common endpoint.</w:t>
      </w:r>
    </w:p>
    <w:p>
      <w:pPr>
        <w:spacing w:after="140"/>
        <w:jc w:val="both"/>
      </w:pPr>
      <w:r>
        <w:rPr>
          <w:rFonts w:ascii="Arial" w:cs="Arial" w:eastAsia="Arial" w:hAnsi="Arial"/>
          <w:sz w:val="22"/>
          <w:szCs w:val="22"/>
        </w:rPr>
        <w:t xml:space="preserve">The cascade initiates at Stage 1 with physical inactivity–induced AMPK under-stimulation. Without contractile activity, AMPK is not chronically activated; PGC-1α transcription declines; mitochondrial density and oxidative capacity fall. GLUT4 expression at the sarcolemma decreases, reducing insulin-stimulated glucose uptake. IMCL accumulates as β-oxidation capacity is lost, activating DAG–PKC-θ → IRS-1 Ser307 phosphorylation → progressive skeletal muscle insulin resistance (Tier A for mechanism; Tier A for epidemiological linkage) [1, 17].</w:t>
      </w:r>
    </w:p>
    <w:p>
      <w:pPr>
        <w:spacing w:after="140"/>
        <w:jc w:val="both"/>
      </w:pPr>
      <w:r>
        <w:rPr>
          <w:rFonts w:ascii="Arial" w:cs="Arial" w:eastAsia="Arial" w:hAnsi="Arial"/>
          <w:sz w:val="22"/>
          <w:szCs w:val="22"/>
        </w:rPr>
        <w:t xml:space="preserve">Stage 2 is the sarcopenia–metabolic spiral. As muscle mass declines at 1–2%/year, total glucose disposal capacity falls proportionally. Reduced muscle mechanical loading of the skeleton drives net bone resorption (mechanostat below threshold): BMD declines, osteocalcin secretion falls with reduced osteoblast activity. Reduced circulating osteocalcin impairs β-cell insulin secretion and reduces muscle mitochondrial gene expression [4], further reducing exercise capacity and ATP production. D2R (dopamine D2 receptor) density in the striatum declines with aging [18], reducing the motivational salience of exercise and creating a behavioral feedback loop: reduced exercise capacity → reduced rewarding feedback from exercise → further inactivity (Tier B for D2R-motivation coupling).</w:t>
      </w:r>
    </w:p>
    <w:p>
      <w:pPr>
        <w:spacing w:after="140"/>
        <w:jc w:val="both"/>
      </w:pPr>
      <w:r>
        <w:rPr>
          <w:rFonts w:ascii="Arial" w:cs="Arial" w:eastAsia="Arial" w:hAnsi="Arial"/>
          <w:sz w:val="22"/>
          <w:szCs w:val="22"/>
        </w:rPr>
        <w:t xml:space="preserve">Stage 3 is the brain consequence. BDNF production by contracting muscle declines with inactivity; hippocampal BDNF expression falls. Osteocalcin–GPR158–BDNF signaling to hippocampal neurons is reduced. Irisin-mediated neuroplasticity is lost. These converging reductions in exercise-dependent neurotrophic signals are associated with accelerated hippocampal volume loss, reduced neurogenesis, and increased depression and cognitive impairment risk (Tier B for individual signal-neuroplasticity links; Tier C for the coordinated cascade as a cognitive aging trajectory) [14]. The following reflects a proposed synthesis: the individually supported signal losses (BDNF, osteocalcin, irisin) have not been measured as a unified cascade in human longitudinal studies, but the convergence is consistent with the well-documented exercise–cognition dose-response relationship: regular aerobic exercise producing measurable BDNF increases is associated with meaningfully lower risk of cognitive decline and dementia in observational cohorts, with meta-analytic support for causal direction from randomized trials [10].</w:t>
      </w:r>
    </w:p>
    <w:p>
      <w:pPr>
        <w:spacing w:after="80"/>
      </w:pPr>
      <w:r>
        <w:t xml:space="preserve"/>
      </w:r>
    </w:p>
    <w:p>
      <w:pPr>
        <w:pStyle w:val="Heading2"/>
        <w:spacing w:before="280" w:after="120"/>
      </w:pPr>
      <w:r>
        <w:rPr>
          <w:rFonts w:ascii="Arial" w:cs="Arial" w:eastAsia="Arial" w:hAnsi="Arial"/>
          <w:b/>
          <w:bCs/>
          <w:color w:val="1F3864"/>
          <w:sz w:val="24"/>
          <w:szCs w:val="24"/>
        </w:rPr>
        <w:t xml:space="preserve">§4.2 — Osteoporosis–Fracture–Mortality Cascade</w:t>
      </w:r>
    </w:p>
    <w:p>
      <w:pPr>
        <w:spacing w:after="140"/>
        <w:jc w:val="both"/>
      </w:pPr>
      <w:r>
        <w:rPr>
          <w:rFonts w:ascii="Arial" w:cs="Arial" w:eastAsia="Arial" w:hAnsi="Arial"/>
          <w:sz w:val="22"/>
          <w:szCs w:val="22"/>
        </w:rPr>
        <w:t xml:space="preserve">The osteoporosis–fracture–mortality cascade is Tier A throughout: each step is epidemiologically and mechanistically established, the interventional evidence is RCT-level, and the outcome data are population-level.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600"/>
        <w:gridCol w:w="35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Intervention window</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1: Trabecular thinning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 ↓ (menopause) → OPG ↓ → RANKL unchecked → osteoclast activation → trabecular perforations + connectivity loss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Anti-resorptive agents (bisphosphonates, denosumab) + weight-bearing exercise; romosozumab (anabolic + anti-resorptive) [16]</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2: Fall risk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Sarcopenia → reduced muscle strength + proprioception ↓ (PeripheralNS coupling) → balance impairment; vestibular aging; polypharmacy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Resistance training + balance training + vitamin D + medication review</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3: Hip fracture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onto greater trochanter → intertrochanteric or femoral neck fracture; trabecular microarchitecture failure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Hip protectors (partial evidence); fracture liaison service</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4: Mortality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Immobilization → disuse atrophy + DVT/PE + aspiration pneumonia; 20–25% 1-year mortality post-hip-fracture [15]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surgical repair (&lt;48hr); rehabilitation; secondary prevention</w:t>
            </w:r>
          </w:p>
        </w:tc>
      </w:tr>
    </w:tbl>
    <w:p>
      <w:pPr>
        <w:spacing w:after="140"/>
      </w:pPr>
      <w:r>
        <w:rPr>
          <w:rFonts w:ascii="Arial" w:cs="Arial" w:eastAsia="Arial" w:hAnsi="Arial"/>
          <w:i/>
          <w:iCs/>
          <w:sz w:val="20"/>
          <w:szCs w:val="20"/>
        </w:rPr>
        <w:t xml:space="preserve">Table 2. Osteoporosis–fracture–mortality cascade with intervention windows.</w:t>
      </w:r>
    </w:p>
    <w:p>
      <w:pPr>
        <w:spacing w:after="80"/>
      </w:pPr>
      <w:r>
        <w:t xml:space="preserve"/>
      </w:r>
    </w:p>
    <w:p>
      <w:pPr>
        <w:spacing w:after="140"/>
        <w:jc w:val="both"/>
      </w:pPr>
      <w:r>
        <w:rPr>
          <w:rFonts w:ascii="Arial" w:cs="Arial" w:eastAsia="Arial" w:hAnsi="Arial"/>
          <w:sz w:val="22"/>
          <w:szCs w:val="22"/>
        </w:rPr>
        <w:t xml:space="preserve">The osteoporosis–fracture–mortality cascade is notable for the irreversibility of Stage 3: hip fracture initiates immobilization which accelerates sarcopenia (disuse atrophy) and osteoporosis simultaneously, creating a self-amplifying terminal trajectory. The 20–25% 1-year mortality rate from hip fracture — comparable to myocardial infarction — is driven primarily by complications of immobility (pneumonia, pulmonary embolism) rather than the fracture itself, underscoring the importance of surgical repair speed and early rehabilitation [15]. The coupling to sarcopenia means that bone and muscle failure are not sequential but simultaneous: the same patient who fractures a hip typically has advanced sarcopenia, which both contributed to the fall and will worsen dramatically during the post-fracture recovery period.</w:t>
      </w:r>
    </w:p>
    <w:p>
      <w:pPr>
        <w:spacing w:after="80"/>
      </w:pPr>
      <w:r>
        <w:t xml:space="preserve"/>
      </w:r>
    </w:p>
    <w:p>
      <w:pPr>
        <w:pStyle w:val="Heading2"/>
        <w:spacing w:before="280" w:after="120"/>
      </w:pPr>
      <w:r>
        <w:rPr>
          <w:rFonts w:ascii="Arial" w:cs="Arial" w:eastAsia="Arial" w:hAnsi="Arial"/>
          <w:b/>
          <w:bCs/>
          <w:color w:val="1F3864"/>
          <w:sz w:val="24"/>
          <w:szCs w:val="24"/>
        </w:rPr>
        <w:t xml:space="preserve">§4.3 — GLP-1 Receptor Agonist Therapy and Lean Mass Preservation</w:t>
      </w:r>
    </w:p>
    <w:p>
      <w:pPr>
        <w:spacing w:after="140"/>
        <w:jc w:val="both"/>
      </w:pPr>
      <w:r>
        <w:rPr>
          <w:rFonts w:ascii="Arial" w:cs="Arial" w:eastAsia="Arial" w:hAnsi="Arial"/>
          <w:sz w:val="22"/>
          <w:szCs w:val="22"/>
        </w:rPr>
        <w:t xml:space="preserve">The emergence of highly effective GLP-1 receptor agonists (semaglutide, tirzepatide) and dual GLP-1/GIP agonists for obesity treatment has introduced a new clinical challenge at the musculoskeletal interface: pharmacologic weight loss produces lean mass loss of 25–40% of total weight lost, with individual variation. A 2024 network meta-analysis of 22 randomized controlled trials (2,258 participants) confirmed that semaglutide and tirzepatide at their highest approved doses produce the greatest absolute fat and total weight loss but are among the least effective in preserving lean mass [19]. In the STEP-1 semaglutide trial, lean mass was reduced by approximately 6.9 kg against a total weight reduction of 15.3 kg [23]; in SURMOUNT-1 tirzepatide, lean mass reduction comprised approximately 26% of total weight lost at the highest dose [24].</w:t>
      </w:r>
    </w:p>
    <w:p>
      <w:pPr>
        <w:spacing w:after="140"/>
        <w:jc w:val="both"/>
      </w:pPr>
      <w:r>
        <w:rPr>
          <w:rFonts w:ascii="Arial" w:cs="Arial" w:eastAsia="Arial" w:hAnsi="Arial"/>
          <w:sz w:val="22"/>
          <w:szCs w:val="22"/>
        </w:rPr>
        <w:t xml:space="preserve">The clinical concern is twofold. First, absolute lean mass reduction at the scale seen with these agents in individuals already at risk for sarcopenia (older adults, those with pre-existing low muscle mass) may accelerate the sedentary aging cascade described in §4.1. Second, lean mass reduction reduces the body’s primary glucose disposal capacity, potentially offsetting the metabolic benefits of fat mass reduction. Whether these changes are adaptive (commensurate with the expected lean mass reduction at the observed degree of weight loss) or maladaptive (disproportionate muscle loss beyond predicted allometric scaling) is currently debated: muscle volume z-scores suggest changes are largely proportional to weight loss, but the absolute reductions are clinically meaningful in vulnerable populations [11].</w:t>
      </w:r>
    </w:p>
    <w:p>
      <w:pPr>
        <w:spacing w:after="140"/>
        <w:jc w:val="both"/>
      </w:pPr>
      <w:r>
        <w:rPr>
          <w:rFonts w:ascii="Arial" w:cs="Arial" w:eastAsia="Arial" w:hAnsi="Arial"/>
          <w:sz w:val="22"/>
          <w:szCs w:val="22"/>
        </w:rPr>
        <w:t xml:space="preserve">Mitigation strategies are emerging at Tier B–C. Resistance training combined with adequate protein intake (1.2–1.6 g/kg/day) largely attenuates lean mass loss during GLP-1 therapy in case series with DXA body composition data; structured exercise 4–7 days per week with 3–5 sessions of resistance training preserved or increased lean soft tissue mass in three patients losing 13–33% of total body weight [20]. The BELIEVE Phase 2b trial (presented as late-breaking data at the 85th ADA Scientific Sessions, June 2025; not yet peer-reviewed) demonstrated that bimagrumab (anti-activin type II receptor antibody) combined with semaglutide enhanced fat loss while preserving and increasing lean mass relative to semaglutide alone, representing the first pharmacological muscle-preservation strategy validated alongside a GLP-1 agent. These findings are Tier C as a unified clinical management program: individual mitigation components are supported, but standardized protocols for lean mass preservation during GLP-1 therapy do not yet exist at RCT scale. This cascade will require monitoring as GLP-1/GIP therapies become first-line obesity treatment in populations with pre-existing sarcopenia risk.</w:t>
      </w:r>
    </w:p>
    <w:p>
      <w:pPr>
        <w:spacing w:after="80"/>
      </w:pPr>
      <w:r>
        <w:t xml:space="preserve"/>
      </w:r>
    </w:p>
    <w:p>
      <w:pPr>
        <w:pStyle w:val="Heading1"/>
        <w:spacing w:before="280" w:after="120"/>
      </w:pPr>
      <w:r>
        <w:rPr>
          <w:rFonts w:ascii="Arial" w:cs="Arial" w:eastAsia="Arial" w:hAnsi="Arial"/>
          <w:b/>
          <w:bCs/>
          <w:color w:val="1F3864"/>
          <w:sz w:val="28"/>
          <w:szCs w:val="28"/>
        </w:rPr>
        <w:t xml:space="preserve">§5 — The Integrated Musculoskeletal System</w:t>
      </w:r>
    </w:p>
    <w:p>
      <w:pPr>
        <w:spacing w:after="140"/>
        <w:jc w:val="both"/>
      </w:pPr>
      <w:r>
        <w:rPr>
          <w:rFonts w:ascii="Arial" w:cs="Arial" w:eastAsia="Arial" w:hAnsi="Arial"/>
          <w:sz w:val="22"/>
          <w:szCs w:val="22"/>
        </w:rPr>
        <w:t xml:space="preserve">The musculoskeletal system functions as an exercise-transducing endocrine architecture with four shared coupling interfaces:</w:t>
      </w:r>
    </w:p>
    <w:p>
      <w:pPr>
        <w:pStyle w:val="ListParagraph"/>
        <w:numPr>
          <w:ilvl w:val="0"/>
          <w:numId w:val="2"/>
        </w:numPr>
        <w:spacing w:after="120"/>
      </w:pPr>
      <w:r>
        <w:rPr>
          <w:rFonts w:ascii="Arial" w:cs="Arial" w:eastAsia="Arial" w:hAnsi="Arial"/>
          <w:sz w:val="22"/>
          <w:szCs w:val="22"/>
        </w:rPr>
        <w:t xml:space="preserve">Osteocalcin–myokine feedback loop: exercise → muscle contraction → mechanical loading of bone → osteocalcin ↑ → muscle mitochondrial function ↑ + brain memory circuits + β-cell insulin secretion; irisin acts in reverse (muscle → bone via αVβ5 integrin) to modulate sclerostin and WNT signaling</w:t>
      </w:r>
    </w:p>
    <w:p>
      <w:pPr>
        <w:pStyle w:val="ListParagraph"/>
        <w:numPr>
          <w:ilvl w:val="0"/>
          <w:numId w:val="2"/>
        </w:numPr>
        <w:spacing w:after="120"/>
      </w:pPr>
      <w:r>
        <w:rPr>
          <w:rFonts w:ascii="Arial" w:cs="Arial" w:eastAsia="Arial" w:hAnsi="Arial"/>
          <w:sz w:val="22"/>
          <w:szCs w:val="22"/>
        </w:rPr>
        <w:t xml:space="preserve">Mechanostat–muscle force coupling: weight-bearing exercise simultaneously drives muscle hypertrophy (mTOR) and bone formation (WNT/sclerostin suppression); GH/IGF-1 and sex hormones regulate both systems in parallel through shared anabolic receptors</w:t>
      </w:r>
    </w:p>
    <w:p>
      <w:pPr>
        <w:pStyle w:val="ListParagraph"/>
        <w:numPr>
          <w:ilvl w:val="0"/>
          <w:numId w:val="2"/>
        </w:numPr>
        <w:spacing w:after="120"/>
      </w:pPr>
      <w:r>
        <w:rPr>
          <w:rFonts w:ascii="Arial" w:cs="Arial" w:eastAsia="Arial" w:hAnsi="Arial"/>
          <w:sz w:val="22"/>
          <w:szCs w:val="22"/>
        </w:rPr>
        <w:t xml:space="preserve">Exercise–brain endocrine axis: four parallel channels (BDNF, irisin, lactate, osteocalcin) converge on hippocampal neuroplasticity and monoamine synthesis; no single pharmacological agent currently activates all four simultaneously; regular exercise is among the most mechanistically complete antidepressant and cognitive aging interventions currently known</w:t>
      </w:r>
    </w:p>
    <w:p>
      <w:pPr>
        <w:pStyle w:val="ListParagraph"/>
        <w:numPr>
          <w:ilvl w:val="0"/>
          <w:numId w:val="2"/>
        </w:numPr>
        <w:spacing w:after="120"/>
      </w:pPr>
      <w:r>
        <w:rPr>
          <w:rFonts w:ascii="Arial" w:cs="Arial" w:eastAsia="Arial" w:hAnsi="Arial"/>
          <w:sz w:val="22"/>
          <w:szCs w:val="22"/>
        </w:rPr>
        <w:t xml:space="preserve">Metabolic interface: skeletal muscle accounts for ~70% of insulin-stimulated glucose uptake; AMPK-driven GLUT4 translocation bypasses insulin signaling defects; osteocalcin enhances β-cell secretion; lactate–Cori cycle coupling fuels brain during high-intensity exercise and drives cerebral angiogenesis over time</w:t>
      </w:r>
    </w:p>
    <w:p>
      <w:pPr>
        <w:spacing w:after="80"/>
      </w:pPr>
      <w:r>
        <w:t xml:space="preserve"/>
      </w:r>
    </w:p>
    <w:p>
      <w:pPr>
        <w:spacing w:after="140"/>
        <w:jc w:val="both"/>
      </w:pPr>
      <w:r>
        <w:rPr>
          <w:rFonts w:ascii="Arial" w:cs="Arial" w:eastAsia="Arial" w:hAnsi="Arial"/>
          <w:sz w:val="22"/>
          <w:szCs w:val="22"/>
        </w:rPr>
        <w:t xml:space="preserve">When one node fails, the coupling architecture amplifies rather than corrects: sarcopenia reduces bone loading → osteocalcin declines → muscle mitochondrial function worsens → further sarcopenia. Bone loss reduces osteocalcin–β-cell coupling → insulin secretion impaired → metabolic syndrome worsens. Inactivity reduces BDNF, irisin, and osteocalcin simultaneously → hippocampal neurogenesis falls → depression risk ↑ → motivation for exercise ↓ (D2R decline) → further inactivity. The self-amplifying nature of the sedentary aging cascade is the mechanistic reason that exercise interventions must be initiated early: once sarcopenia and osteocalcin decline are established, the motivational substrate for exercise recovery is compromised. Interventions that engage the coupling architecture simultaneously — resistance training (muscle + bone + osteocalcin), aerobic training (BDNF + irisin + lactate + AMPK), adequate protein and calcium (mTOR + bone mineralization) — reverse all nodes concurrently.</w:t>
      </w:r>
    </w:p>
    <w:p>
      <w:pPr>
        <w:spacing w:after="80"/>
      </w:pPr>
      <w:r>
        <w:t xml:space="preserve"/>
      </w:r>
    </w:p>
    <w:p>
      <w:pPr>
        <w:pStyle w:val="Heading1"/>
        <w:spacing w:before="280" w:after="120"/>
      </w:pPr>
      <w:r>
        <w:rPr>
          <w:rFonts w:ascii="Arial" w:cs="Arial" w:eastAsia="Arial" w:hAnsi="Arial"/>
          <w:b/>
          <w:bCs/>
          <w:color w:val="1F3864"/>
          <w:sz w:val="28"/>
          <w:szCs w:val="28"/>
        </w:rPr>
        <w:t xml:space="preserve">§6 — Scope, Limitations, and Companion References</w:t>
      </w:r>
    </w:p>
    <w:p>
      <w:pPr>
        <w:spacing w:after="140"/>
        <w:jc w:val="both"/>
      </w:pPr>
      <w:r>
        <w:rPr>
          <w:rFonts w:ascii="Arial" w:cs="Arial" w:eastAsia="Arial" w:hAnsi="Arial"/>
          <w:sz w:val="22"/>
          <w:szCs w:val="22"/>
        </w:rPr>
        <w:t xml:space="preserve">This paper proposes a coupled endocrine framework for the musculoskeletal system organized around four shared coupling interfaces. Three limitations apply.</w:t>
      </w:r>
    </w:p>
    <w:p>
      <w:pPr>
        <w:spacing w:after="140"/>
        <w:jc w:val="both"/>
      </w:pPr>
      <w:r>
        <w:rPr>
          <w:rFonts w:ascii="Arial" w:cs="Arial" w:eastAsia="Arial" w:hAnsi="Arial"/>
          <w:sz w:val="22"/>
          <w:szCs w:val="22"/>
        </w:rPr>
        <w:t xml:space="preserve">First, evidence confidence varies substantially across the paper. The AMPK–PGC-1α axis, RANKL/OPG system, mechanostat, and their clinical consequences (sarcopenia, osteoporosis, fracture risk) are Tier A — among the most thoroughly characterized mechanisms in physiology. The irisin receptor mechanism (now Tier B following 2023 cryo-EM structural confirmation), BDNF–muscle connection (Tier B with 2024 human data), and osteocalcin–bone–brain axis (Tier B mechanistic; Tier C for human clinical magnitude) are supported but not yet at the level of interventional human trial confirmation. The sedentary aging–cognitive decline cascade and GLP-1 lean mass mitigation strategies are Tier C integrative syntheses. Readers should apply those tiers when evaluating clinical implications.</w:t>
      </w:r>
    </w:p>
    <w:p>
      <w:pPr>
        <w:spacing w:after="140"/>
        <w:jc w:val="both"/>
      </w:pPr>
      <w:r>
        <w:rPr>
          <w:rFonts w:ascii="Arial" w:cs="Arial" w:eastAsia="Arial" w:hAnsi="Arial"/>
          <w:sz w:val="22"/>
          <w:szCs w:val="22"/>
        </w:rPr>
        <w:t xml:space="preserve">Second, several important areas are outside the scope of this paper: the neuromuscular junction detailed architecture (covered in PeripheralNS v0.8 §2.5), bone marrow hematopoiesis and the immune-bone interface (covered in OrganSystem_Immune), cardiac muscle physiology (covered in CardiovascularRenal v1.3), and the detailed pharmacology of anabolic agents beyond the agents mentioned as mechanism validators.</w:t>
      </w:r>
    </w:p>
    <w:p>
      <w:pPr>
        <w:spacing w:after="140"/>
        <w:jc w:val="both"/>
      </w:pPr>
      <w:r>
        <w:rPr>
          <w:rFonts w:ascii="Arial" w:cs="Arial" w:eastAsia="Arial" w:hAnsi="Arial"/>
          <w:sz w:val="22"/>
          <w:szCs w:val="22"/>
        </w:rPr>
        <w:t xml:space="preserve">Third, the failure cascades in §4 are integrative syntheses. Each component mechanism is supported at the tier indicated; the cascades as unified clinical patterns are proposed rather than directly measured. They are intended to identify the shared mechanistic architecture underlying musculoskeletal and metabolic disease, not to substitute for clinical guidelines on their management.</w:t>
      </w:r>
    </w:p>
    <w:p>
      <w:pPr>
        <w:spacing w:after="140"/>
        <w:jc w:val="both"/>
      </w:pPr>
      <w:r>
        <w:rPr>
          <w:rFonts w:ascii="Arial" w:cs="Arial" w:eastAsia="Arial" w:hAnsi="Arial"/>
          <w:sz w:val="22"/>
          <w:szCs w:val="22"/>
        </w:rPr>
        <w:t xml:space="preserve">Integration target: This paper is designed to merge into the Brain-Body Unified Reference as its musculoskeletal architecture component once the full system map series is complete. At that point, §2 (system detection architectures) merges with the Organ System Maps into BrainBody §2; §3 (coupling network) merges into BrainBody §3; §4 (failure cascades) feeds into the disease paper series (Aging_Unified_v0_3, Depression_MDD_v0_2, T2D_MetabolicSyndrome_v0_2). The simulation appendix table migrates with the merge.</w:t>
      </w:r>
    </w:p>
    <w:p>
      <w:pPr>
        <w:spacing w:after="80"/>
      </w:pPr>
      <w:r>
        <w:t xml:space="preserve"/>
      </w:r>
    </w:p>
    <w:p>
      <w:pPr>
        <w:pStyle w:val="Heading1"/>
        <w:spacing w:before="280" w:after="120"/>
      </w:pPr>
      <w:r>
        <w:rPr>
          <w:rFonts w:ascii="Arial" w:cs="Arial" w:eastAsia="Arial" w:hAnsi="Arial"/>
          <w:b/>
          <w:bCs/>
          <w:color w:val="1F3864"/>
          <w:sz w:val="28"/>
          <w:szCs w:val="28"/>
        </w:rPr>
        <w:t xml:space="preserve">Appendix — Simulation Role Classification</w:t>
      </w:r>
    </w:p>
    <w:p>
      <w:pPr>
        <w:spacing w:after="140"/>
        <w:jc w:val="both"/>
      </w:pPr>
      <w:r>
        <w:rPr>
          <w:rFonts w:ascii="Arial" w:cs="Arial" w:eastAsia="Arial" w:hAnsi="Arial"/>
          <w:sz w:val="22"/>
          <w:szCs w:val="22"/>
        </w:rPr>
        <w:t xml:space="preserve">Each coupling mechanism is classified below according to its recommended role in a body-brain simulation. Core Rule: Tier A consensus; encode as baseline system behavior. Supported Modifier: Tier B; directly supported but may rest on inference — encode as conditional, can be toggled. Hypothesis Layer: Tier C —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00"/>
        <w:gridCol w:w="1300"/>
        <w:gridCol w:w="366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Simulation role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AMPK → GLUT4 translocation + PGC-1α (exercise)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Skeletal muscle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 exercise-metabolic transducer; GLUT4 = primary glucose disposal gate [1]</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mTOR vs AMPK (anabolic/catabolic gate)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Skeletal muscle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Protein synthesis gate; encode as energy-availability switch [1]</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RANKL/OPG ratio (bone resorption gate)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bone mass regulator; E2 controls OPG [13]</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Mechanostat: weight bearing → osteoblast activation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 sclerostin ↓ → WNT → bone formation [2]</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E2 → OPG ↑ + RANKL ↓ (bone protection)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Bone/Endocrine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sex hormone – bone mass coupling [13]</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Osteocalcin → β-cell insulin secretion + muscle mitochondria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Bone–Muscle–Metabolic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Rule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for β-cell (replicated); B for muscle mitochondria [3, 4]</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Irisin → αVβ5 integrin (adipose browning + neuroplasticity)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Muscle–Brain–Adipose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Receptor cryo-EM confirmed 2023; encode as exercise-intensity modifier [5]</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BDNF (muscle-expressed; lactate-augmented)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Muscle–Brain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data 2024; lactate → mature BDNF augmentation confirmed [6]</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Lactate → HCAR1 → cerebral angiogenesis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Muscle–Brain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HCAR1 mechanism B; encode as high-intensity exercise modifier [7]</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Osteocalcin → GPR158 → hippocampal BDNF + monoamines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Mouse causal + human MR study [8, 9]; human intervention Tier C [9]</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Myostatin ↑ aging → anabolic resistance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Skeletal muscle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Encode as aging-modifier of mTOR response [1]</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D2R decline → exercise motivation ↓ (aging behavior loop)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Brain–Muscle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Modifier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Encode as age-dependent modifier of exercise_dose input [14]</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Sedentary aging → cognitive decline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Musculoskeletal–Brain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Hypothesis Layer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step B; coordinated cascade C; encode as modifiable trajectory [10, 14]</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Lactate → direct hippocampal BDNF expression (causal chain)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Muscle–Brain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Hypothesis Layer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Correlation B; acute causal chain C; pending human mechanistic study [7]</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Osteocalcin → human cognitive outcomes (interventional)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Hypothesis Layer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human trial; MR data 2024; mouse data strong [9]</w:t>
            </w:r>
          </w:p>
        </w:tc>
      </w:tr>
      <w:tr>
        <w:tc>
          <w:tcPr>
            <w:tcW w:type="dxa" w:w="23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GLP-1 lean mass loss → long-term sarcopenia risk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Metabolic–Muscle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Hypothesis Layer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lean of total weight lost (Tier A observation); clinical trajectory C [19]</w:t>
            </w:r>
          </w:p>
        </w:tc>
      </w:tr>
    </w:tbl>
    <w:p>
      <w:pPr>
        <w:spacing w:after="140"/>
      </w:pPr>
      <w:r>
        <w:rPr>
          <w:rFonts w:ascii="Arial" w:cs="Arial" w:eastAsia="Arial" w:hAnsi="Arial"/>
          <w:i/>
          <w:iCs/>
          <w:sz w:val="20"/>
          <w:szCs w:val="20"/>
        </w:rPr>
        <w:t xml:space="preserve">Appendix Table. Simulation role classification of musculoskeletal coupling mechanisms.</w:t>
      </w:r>
    </w:p>
    <w:p>
      <w:pPr>
        <w:spacing w:after="80"/>
      </w:pPr>
      <w:r>
        <w:t xml:space="preserve"/>
      </w:r>
    </w:p>
    <w:p>
      <w:pPr>
        <w:pStyle w:val="Heading1"/>
        <w:spacing w:before="280" w:after="120"/>
      </w:pPr>
      <w:r>
        <w:rPr>
          <w:rFonts w:ascii="Arial" w:cs="Arial" w:eastAsia="Arial" w:hAnsi="Arial"/>
          <w:b/>
          <w:bCs/>
          <w:color w:val="1F3864"/>
          <w:sz w:val="28"/>
          <w:szCs w:val="28"/>
        </w:rPr>
        <w:t xml:space="preserve">References</w:t>
      </w:r>
    </w:p>
    <w:p>
      <w:pPr>
        <w:spacing w:after="140"/>
        <w:jc w:val="both"/>
      </w:pPr>
      <w:r>
        <w:rPr>
          <w:rFonts w:ascii="Arial" w:cs="Arial" w:eastAsia="Arial" w:hAnsi="Arial"/>
          <w:sz w:val="22"/>
          <w:szCs w:val="22"/>
        </w:rPr>
        <w:t xml:space="preserve">[1] Egan B &amp; Zierath JR. Exercise metabolism and the molecular regulation of skeletal muscle adaptation. Cell Metab 17 (2013) 162–184.</w:t>
      </w:r>
    </w:p>
    <w:p>
      <w:pPr>
        <w:spacing w:after="140"/>
        <w:jc w:val="both"/>
      </w:pPr>
      <w:r>
        <w:rPr>
          <w:rFonts w:ascii="Arial" w:cs="Arial" w:eastAsia="Arial" w:hAnsi="Arial"/>
          <w:sz w:val="22"/>
          <w:szCs w:val="22"/>
        </w:rPr>
        <w:t xml:space="preserve">[2] Frost HM. Bone “mass” and the “mechanostat”: a proposal. Anat Rec 219 (1987) 1–9.</w:t>
      </w:r>
    </w:p>
    <w:p>
      <w:pPr>
        <w:spacing w:after="140"/>
        <w:jc w:val="both"/>
      </w:pPr>
      <w:r>
        <w:rPr>
          <w:rFonts w:ascii="Arial" w:cs="Arial" w:eastAsia="Arial" w:hAnsi="Arial"/>
          <w:sz w:val="22"/>
          <w:szCs w:val="22"/>
        </w:rPr>
        <w:t xml:space="preserve">[3] Karsenty G &amp; Mera P. Molecular bases of the crosstalk between bone and muscle. Bone 115 (2018) 43–49.</w:t>
      </w:r>
    </w:p>
    <w:p>
      <w:pPr>
        <w:spacing w:after="140"/>
        <w:jc w:val="both"/>
      </w:pPr>
      <w:r>
        <w:rPr>
          <w:rFonts w:ascii="Arial" w:cs="Arial" w:eastAsia="Arial" w:hAnsi="Arial"/>
          <w:sz w:val="22"/>
          <w:szCs w:val="22"/>
        </w:rPr>
        <w:t xml:space="preserve">[4] Mera P et al. Osteocalcin signaling in myofibers is necessary and sufficient for optimum adaptation to exercise. Cell Metab 23 (2016) 1078–1092.</w:t>
      </w:r>
    </w:p>
    <w:p>
      <w:pPr>
        <w:spacing w:after="140"/>
        <w:jc w:val="both"/>
      </w:pPr>
      <w:r>
        <w:rPr>
          <w:rFonts w:ascii="Arial" w:cs="Arial" w:eastAsia="Arial" w:hAnsi="Arial"/>
          <w:sz w:val="22"/>
          <w:szCs w:val="22"/>
        </w:rPr>
        <w:t xml:space="preserve">[5] Kim H et al. Irisin acts through its integrin receptor in a two-step process involving extracellular Hsp90α. Mol Cell 83 (2023) 2150–2163.</w:t>
      </w:r>
    </w:p>
    <w:p>
      <w:pPr>
        <w:spacing w:after="140"/>
        <w:jc w:val="both"/>
      </w:pPr>
      <w:r>
        <w:rPr>
          <w:rFonts w:ascii="Arial" w:cs="Arial" w:eastAsia="Arial" w:hAnsi="Arial"/>
          <w:sz w:val="22"/>
          <w:szCs w:val="22"/>
        </w:rPr>
        <w:t xml:space="preserve">[6] Edman S et al. Pro-brain-derived neurotrophic factor (BDNF), but not mature BDNF, is expressed in human skeletal muscle: implications for exercise-induced neuroplasticity. Function 5 (2024) zqae005.</w:t>
      </w:r>
    </w:p>
    <w:p>
      <w:pPr>
        <w:spacing w:after="140"/>
        <w:jc w:val="both"/>
      </w:pPr>
      <w:r>
        <w:rPr>
          <w:rFonts w:ascii="Arial" w:cs="Arial" w:eastAsia="Arial" w:hAnsi="Arial"/>
          <w:sz w:val="22"/>
          <w:szCs w:val="22"/>
        </w:rPr>
        <w:t xml:space="preserve">[7] Müller P et al. Lactate and BDNF: key mediators of exercise induced neuroplasticity? J Clin Med 9 (2020) 1136.</w:t>
      </w:r>
    </w:p>
    <w:p>
      <w:pPr>
        <w:spacing w:after="140"/>
        <w:jc w:val="both"/>
      </w:pPr>
      <w:r>
        <w:rPr>
          <w:rFonts w:ascii="Arial" w:cs="Arial" w:eastAsia="Arial" w:hAnsi="Arial"/>
          <w:sz w:val="22"/>
          <w:szCs w:val="22"/>
        </w:rPr>
        <w:t xml:space="preserve">[8] Khrimian L et al. Gpr158 mediates osteocalcin’s regulation of cognition. J Exp Med 214 (2017) 2859–2873.</w:t>
      </w:r>
    </w:p>
    <w:p>
      <w:pPr>
        <w:spacing w:after="140"/>
        <w:jc w:val="both"/>
      </w:pPr>
      <w:r>
        <w:rPr>
          <w:rFonts w:ascii="Arial" w:cs="Arial" w:eastAsia="Arial" w:hAnsi="Arial"/>
          <w:sz w:val="22"/>
          <w:szCs w:val="22"/>
        </w:rPr>
        <w:t xml:space="preserve">[9] Guo X et al. Causal effect of blood osteocalcin on the risk of Alzheimer’s disease and the mediating role of energy metabolism. Transl Psychiatry 14 (2024) 205.</w:t>
      </w:r>
    </w:p>
    <w:p>
      <w:pPr>
        <w:spacing w:after="140"/>
        <w:jc w:val="both"/>
      </w:pPr>
      <w:r>
        <w:rPr>
          <w:rFonts w:ascii="Arial" w:cs="Arial" w:eastAsia="Arial" w:hAnsi="Arial"/>
          <w:sz w:val="22"/>
          <w:szCs w:val="22"/>
        </w:rPr>
        <w:t xml:space="preserve">[10] Fiuza-Luces C et al. Exercise is the real polypill. Physiology 28 (2013) 330–358.</w:t>
      </w:r>
    </w:p>
    <w:p>
      <w:pPr>
        <w:spacing w:after="140"/>
        <w:jc w:val="both"/>
      </w:pPr>
      <w:r>
        <w:rPr>
          <w:rFonts w:ascii="Arial" w:cs="Arial" w:eastAsia="Arial" w:hAnsi="Arial"/>
          <w:sz w:val="22"/>
          <w:szCs w:val="22"/>
        </w:rPr>
        <w:t xml:space="preserve">[11] Neeland IJ et al. Muscle mass and glucagon-like peptide-1 receptor agonists: adaptive or maladaptive response to weight loss? Circulation 150 (2024) 263–278.</w:t>
      </w:r>
    </w:p>
    <w:p>
      <w:pPr>
        <w:spacing w:after="140"/>
        <w:jc w:val="both"/>
      </w:pPr>
      <w:r>
        <w:rPr>
          <w:rFonts w:ascii="Arial" w:cs="Arial" w:eastAsia="Arial" w:hAnsi="Arial"/>
          <w:sz w:val="22"/>
          <w:szCs w:val="22"/>
        </w:rPr>
        <w:t xml:space="preserve">[12] Proske U &amp; Gandevia SC. The proprioceptive senses: their roles in signaling body shape, body position and movement, and muscle force. Physiol Rev 92 (2012) 1651–1697.</w:t>
      </w:r>
    </w:p>
    <w:p>
      <w:pPr>
        <w:spacing w:after="140"/>
        <w:jc w:val="both"/>
      </w:pPr>
      <w:r>
        <w:rPr>
          <w:rFonts w:ascii="Arial" w:cs="Arial" w:eastAsia="Arial" w:hAnsi="Arial"/>
          <w:sz w:val="22"/>
          <w:szCs w:val="22"/>
        </w:rPr>
        <w:t xml:space="preserve">[13] Lacey DL et al. Osteoprotegerin ligand is a cytokine that regulates osteoclast differentiation and activation. Cell 93 (1998) 165–176.</w:t>
      </w:r>
    </w:p>
    <w:p>
      <w:pPr>
        <w:spacing w:after="140"/>
        <w:jc w:val="both"/>
      </w:pPr>
      <w:r>
        <w:rPr>
          <w:rFonts w:ascii="Arial" w:cs="Arial" w:eastAsia="Arial" w:hAnsi="Arial"/>
          <w:sz w:val="22"/>
          <w:szCs w:val="22"/>
        </w:rPr>
        <w:t xml:space="preserve">[14] Cotman CW et al. Exercise builds brain health: key roles of growth factor cascades and inflammation. Trends Neurosci 30 (2007) 464–472.</w:t>
      </w:r>
    </w:p>
    <w:p>
      <w:pPr>
        <w:spacing w:after="140"/>
        <w:jc w:val="both"/>
      </w:pPr>
      <w:r>
        <w:rPr>
          <w:rFonts w:ascii="Arial" w:cs="Arial" w:eastAsia="Arial" w:hAnsi="Arial"/>
          <w:sz w:val="22"/>
          <w:szCs w:val="22"/>
        </w:rPr>
        <w:t xml:space="preserve">[15] Abrahamsen B et al. Excess mortality following hip fracture: a systematic epidemiological review. Osteoporos Int 20 (2009) 1633–1650.</w:t>
      </w:r>
    </w:p>
    <w:p>
      <w:pPr>
        <w:spacing w:after="140"/>
        <w:jc w:val="both"/>
      </w:pPr>
      <w:r>
        <w:rPr>
          <w:rFonts w:ascii="Arial" w:cs="Arial" w:eastAsia="Arial" w:hAnsi="Arial"/>
          <w:sz w:val="22"/>
          <w:szCs w:val="22"/>
        </w:rPr>
        <w:t xml:space="preserve">[16] Reid IR &amp; Billington EO. Drug therapy for osteoporosis in older adults. Lancet 399 (2022) 1080–1092.</w:t>
      </w:r>
    </w:p>
    <w:p>
      <w:pPr>
        <w:spacing w:after="140"/>
        <w:jc w:val="both"/>
      </w:pPr>
      <w:r>
        <w:rPr>
          <w:rFonts w:ascii="Arial" w:cs="Arial" w:eastAsia="Arial" w:hAnsi="Arial"/>
          <w:sz w:val="22"/>
          <w:szCs w:val="22"/>
        </w:rPr>
        <w:t xml:space="preserve">[17] Colberg SR et al. Physical activity/exercise and diabetes: a position statement of the American Diabetes Association. Diabetes Care 39 (2016) 2065–2079.</w:t>
      </w:r>
    </w:p>
    <w:p>
      <w:pPr>
        <w:spacing w:after="140"/>
        <w:jc w:val="both"/>
      </w:pPr>
      <w:r>
        <w:rPr>
          <w:rFonts w:ascii="Arial" w:cs="Arial" w:eastAsia="Arial" w:hAnsi="Arial"/>
          <w:sz w:val="22"/>
          <w:szCs w:val="22"/>
        </w:rPr>
        <w:t xml:space="preserve">[18] Volkow ND et al. Association between age and striatal dopamine D2 receptors: a PET study with [11C]raclopride. J Neurosci 18 (1998) 1032–1038.</w:t>
      </w:r>
    </w:p>
    <w:p>
      <w:pPr>
        <w:spacing w:after="140"/>
        <w:jc w:val="both"/>
      </w:pPr>
      <w:r>
        <w:rPr>
          <w:rFonts w:ascii="Arial" w:cs="Arial" w:eastAsia="Arial" w:hAnsi="Arial"/>
          <w:sz w:val="22"/>
          <w:szCs w:val="22"/>
        </w:rPr>
        <w:t xml:space="preserve">[19] Perez-Caballero AI et al. Effect of glucagon-like peptide-1 receptor agonists and co-agonists on body composition: systematic review and network meta-analysis. Metabolism 162 (2025) 156072.</w:t>
      </w:r>
    </w:p>
    <w:p>
      <w:pPr>
        <w:spacing w:after="140"/>
        <w:jc w:val="both"/>
      </w:pPr>
      <w:r>
        <w:rPr>
          <w:rFonts w:ascii="Arial" w:cs="Arial" w:eastAsia="Arial" w:hAnsi="Arial"/>
          <w:sz w:val="22"/>
          <w:szCs w:val="22"/>
        </w:rPr>
        <w:t xml:space="preserve">[20] Tinsley GM &amp; Nadolsky K. Preservation of lean soft tissue during weight loss induced by GLP-1 and GLP-1/GIP receptor agonists: a case series. SAGE Open Med Cases (2025) 2050313X251388724.</w:t>
      </w:r>
    </w:p>
    <w:p>
      <w:pPr>
        <w:spacing w:after="140"/>
        <w:jc w:val="both"/>
      </w:pPr>
      <w:r>
        <w:rPr>
          <w:rFonts w:ascii="Arial" w:cs="Arial" w:eastAsia="Arial" w:hAnsi="Arial"/>
          <w:sz w:val="22"/>
          <w:szCs w:val="22"/>
        </w:rPr>
        <w:t xml:space="preserve">[21] Buenzli PR &amp; Sims NA. Quantifying the osteocyte network in the human skeleton. Bone 75 (2015) 144–150.</w:t>
      </w:r>
    </w:p>
    <w:p>
      <w:pPr>
        <w:spacing w:after="140"/>
        <w:jc w:val="both"/>
      </w:pPr>
      <w:r>
        <w:rPr>
          <w:rFonts w:ascii="Arial" w:cs="Arial" w:eastAsia="Arial" w:hAnsi="Arial"/>
          <w:sz w:val="22"/>
          <w:szCs w:val="22"/>
        </w:rPr>
        <w:t xml:space="preserve">[22] Cosman DF et al. Romosozumab treatment in postmenopausal women with osteoporosis. N Engl J Med 375 (2016) 1532–1543.</w:t>
      </w:r>
    </w:p>
    <w:p>
      <w:pPr>
        <w:spacing w:after="140"/>
        <w:jc w:val="both"/>
      </w:pPr>
      <w:r>
        <w:rPr>
          <w:rFonts w:ascii="Arial" w:cs="Arial" w:eastAsia="Arial" w:hAnsi="Arial"/>
          <w:sz w:val="22"/>
          <w:szCs w:val="22"/>
        </w:rPr>
        <w:t xml:space="preserve">[23] Wilding JPH et al. Once-weekly semaglutide in adults with overweight or obesity (STEP 1). N Engl J Med 384 (2021) 989–1002.</w:t>
      </w:r>
    </w:p>
    <w:p>
      <w:pPr>
        <w:spacing w:after="140"/>
        <w:jc w:val="both"/>
      </w:pPr>
      <w:r>
        <w:rPr>
          <w:rFonts w:ascii="Arial" w:cs="Arial" w:eastAsia="Arial" w:hAnsi="Arial"/>
          <w:sz w:val="22"/>
          <w:szCs w:val="22"/>
        </w:rPr>
        <w:t xml:space="preserve">[24] Jastreboff AM et al. Tirzepatide once weekly for the treatment of obesity (SURMOUNT-1). N Engl J Med 387 (2022) 205–216.</w:t>
      </w:r>
    </w:p>
    <w:p>
      <w:pPr>
        <w:spacing w:after="140"/>
        <w:jc w:val="both"/>
      </w:pPr>
      <w:r>
        <w:rPr>
          <w:rFonts w:ascii="Arial" w:cs="Arial" w:eastAsia="Arial" w:hAnsi="Arial"/>
          <w:sz w:val="22"/>
          <w:szCs w:val="22"/>
        </w:rPr>
        <w:t xml:space="preserve">[25] Cruz-Jentoft AJ et al. Sarcopenia: revised European consensus on definition and diagnosis. Age Ageing 48 (2019) 16–31.</w:t>
      </w:r>
    </w:p>
    <w:p>
      <w:pPr>
        <w:spacing w:after="140"/>
        <w:jc w:val="both"/>
      </w:pPr>
      <w:r>
        <w:rPr>
          <w:rFonts w:ascii="Arial" w:cs="Arial" w:eastAsia="Arial" w:hAnsi="Arial"/>
          <w:sz w:val="22"/>
          <w:szCs w:val="22"/>
        </w:rPr>
        <w:t xml:space="preserve">[26] Shimada T et al. Targeted ablation of Fgf23 demonstrates an essential physiological role of FGF-23 in phosphate and vitamin D metabolism. J Clin Invest 113 (2004) 561–568.</w:t>
      </w:r>
    </w:p>
    <w:p>
      <w:pPr>
        <w:spacing w:after="140"/>
        <w:jc w:val="both"/>
      </w:pPr>
      <w:r>
        <w:rPr>
          <w:rFonts w:ascii="Arial" w:cs="Arial" w:eastAsia="Arial" w:hAnsi="Arial"/>
          <w:sz w:val="22"/>
          <w:szCs w:val="22"/>
        </w:rPr>
        <w:t xml:space="preserve">[27] Neer RM et al. Effect of parathyroid hormone (1-34) on fractures and bone mineral density in postmenopausal women with osteoporosis. N Engl J Med 344 (2001) 1434–1441.</w:t>
      </w:r>
    </w:p>
    <w:p>
      <w:pPr>
        <w:spacing w:after="80"/>
      </w:pPr>
      <w:r>
        <w:t xml:space="preserve"/>
      </w:r>
    </w:p>
    <w:p>
      <w:pPr>
        <w:spacing w:after="140"/>
        <w:jc w:val="both"/>
      </w:pPr>
      <w:r>
        <w:rPr>
          <w:rFonts w:ascii="Arial" w:cs="Arial" w:eastAsia="Arial" w:hAnsi="Arial"/>
          <w:sz w:val="22"/>
          <w:szCs w:val="22"/>
        </w:rPr>
        <w:t xml:space="preserve">All papers in this series are unpublished drafts. Not yet peer reviewed. Internal reference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2026-03-16T02:01:06.764Z</dcterms:created>
  <dcterms:modified xsi:type="dcterms:W3CDTF">2026-03-16T02:01:06.765Z</dcterms:modified>
</cp:coreProperties>
</file>

<file path=docProps/custom.xml><?xml version="1.0" encoding="utf-8"?>
<Properties xmlns="http://schemas.openxmlformats.org/officeDocument/2006/custom-properties" xmlns:vt="http://schemas.openxmlformats.org/officeDocument/2006/docPropsVTypes"/>
</file>