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The Hepatic, Metabolic, and Gastrointestinal Systems as an Integrated Nutrient-Processing and Inflammatory Interface</w:t>
      </w:r>
    </w:p>
    <w:p>
      <w:pPr>
        <w:spacing w:before="0" w:after="100"/>
        <w:jc w:val="center"/>
      </w:pPr>
      <w:r>
        <w:rPr>
          <w:i/>
          <w:iCs/>
        </w:rPr>
        <w:t xml:space="preserve">Portal Gut-Liver Axis │ Incretin System │ Dysbiosis-LPS Inflammatory Chain │ NAD⁺-Aging Bridge</w:t>
      </w:r>
    </w:p>
    <w:p>
      <w:pPr>
        <w:spacing w:before="0" w:after="240"/>
        <w:jc w:val="center"/>
      </w:pPr>
      <w:r>
        <w:rPr>
          <w:b/>
          <w:bCs/>
        </w:rPr>
        <w:t xml:space="preserve">M. Finnegan</w:t>
      </w:r>
      <w:r>
        <w:t xml:space="preserve">  ·  ORCID: 0009-0009-4921-7722  ·  v1.1 — March 2026  ·  </w:t>
      </w:r>
      <w:r>
        <w:rPr>
          <w:i/>
          <w:iCs/>
        </w:rPr>
        <w:t xml:space="preserve">Unpublished draft, not yet peer reviewed</w:t>
      </w:r>
    </w:p>
    <w:p>
      <w:pPr>
        <w:pBdr>
          <w:left w:val="single" w:color="2E75B6" w:sz="4" w:space="8"/>
        </w:pBdr>
        <w:spacing w:before="120" w:after="200"/>
        <w:ind w:left="720" w:right="720"/>
      </w:pPr>
      <w:r>
        <w:rPr>
          <w:b/>
          <w:bCs/>
        </w:rPr>
        <w:t xml:space="preserve">Article Scope and Companion References: </w:t>
      </w:r>
      <w:r>
        <w:t xml:space="preserve">This paper is an integrative review of the hepatic, metabolic, and gastrointestinal systems analyzed as a coupled nutrient-processing and inflammatory interface. The three systems are treated together because their principal coupling axes — the portal circulation, the incretin system, the dysbiosis-LPS inflammatory chain, and the NAD⁺-aging bridge — are shared, and their failure modes are bidirectional and mutually amplifying. The five-operation decomposition (Propagation, Gating, Detection, Accumulation, Refinement) is used as an analytical scaffold for locating control logic and identifying coupling points; it does not represent a theoretical claim beyond the established biology described. Brain-interface effects of metabolic and gut signals are covered in the companion Brain-Body Unified Reference (BrainBody v1.3). Evidence confidence tiers are specified at the end of §1.</w:t>
      </w:r>
    </w:p>
    <w:p>
      <w:pPr>
        <w:pStyle w:val="Heading1"/>
      </w:pPr>
      <w:r>
        <w:rPr>
          <w:b/>
          <w:bCs/>
        </w:rPr>
        <w:t xml:space="preserve">Abstract</w:t>
      </w:r>
    </w:p>
    <w:p>
      <w:pPr>
        <w:spacing w:after="160"/>
      </w:pPr>
      <w:r>
        <w:t xml:space="preserve">The hepatic, metabolic, and gastrointestinal systems are mechanistically coupled through four shared interfaces: the portal circulation, which delivers all gut-derived substrates and inflammatory signals to the liver before systemic distribution; the incretin system, through which gut enteroendocrine L and K cells communicate nutrient arrival to the pancreatic islets via GLP-1 and GIP, accounting for 50–70% of postprandial insulin release; the dysbiosis-LPS inflammatory chain, through which microbiome disruption drives portal endotoxin translocation, hepatic Kupffer cell activation, and systemic insulin resistance; and the NAD⁺-aging bridge, through which metabolic disease and exercise reciprocally regulate mitochondrial quality via the CD38/NAMPT/SIRT1 axis. These interfaces produce bidirectional failure modes — hepatic steatosis amplifying insulin resistance, gut dysbiosis worsening NASH, and systemic metabolic inflammation accelerating both — that are not adequately modeled by treating each organ system in isolation.</w:t>
      </w:r>
    </w:p>
    <w:p>
      <w:pPr>
        <w:spacing w:after="160"/>
      </w:pPr>
      <w:r>
        <w:t xml:space="preserve">This paper applies a five-operation analytical decomposition (Propagation, Gating, Detection, Accumulation, Refinement) to each system and analyzes four failure cascades: the T2D dual-threshold progression (k_IR × k_β product), the NAFLD/NASH/cirrhosis/HCC sequence, the dysbiosis-to-systemic inflammation cascade, and the NAD⁺ depletion-aging bridge. Bariatric surgery is examined as a natural experiment that isolates GLP-1, portal glucose flux, and microbiome mechanisms from weight loss. The strongest couplings — portal gut-liver axis, incretin signaling, and the portal LPS-to-NASH-to-insulin resistance chain — are Tier A or well-supported Tier B. The dysbiosis-kynurenine-neuroinflammation chain and the multi-organ NAD⁺ depletion cascade are Tier C integrative syntheses, explicitly flagged as such throughout. Evidence tiers (A: replicated, mechanistically confirmed; B: mechanistically supported; C: integrative synthesis) are assigned at point of use.</w:t>
      </w:r>
    </w:p>
    <w:p>
      <w:pPr>
        <w:spacing w:after="80"/>
      </w:pPr>
      <w:r>
        <w:t xml:space="preserve"/>
      </w:r>
    </w:p>
    <w:p>
      <w:pPr>
        <w:spacing w:after="80"/>
      </w:pPr>
      <w:r>
        <w:t xml:space="preserve"/>
      </w:r>
    </w:p>
    <w:p>
      <w:pPr>
        <w:pStyle w:val="Heading1"/>
      </w:pPr>
      <w:r>
        <w:rPr>
          <w:b/>
          <w:bCs/>
        </w:rPr>
        <w:t xml:space="preserve">§1 — The Hepatic, Metabolic, and Gastrointestinal Systems as a Coupled Architecture</w:t>
      </w:r>
    </w:p>
    <w:p>
      <w:pPr>
        <w:spacing w:after="160"/>
      </w:pPr>
      <w:r>
        <w:t xml:space="preserve">The liver, pancreatic islets, adipose tissue, skeletal muscle, and gastrointestinal tract are conventionally described as separate organ systems serving distinct functions. This separation is appropriate for anatomical description but understates the degree to which these systems operate as a single integrated metabolic unit. Every gram of absorbed carbohydrate, fat, and protein passes through the portal circulation before reaching systemic distribution, giving the liver first-pass authority over all gut-derived substrates. The pancreatic islets monitor portal glucose and amino acid concentrations in real time to calibrate insulin and glucagon secretion. The gut enteroendocrine cells detect luminal nutrients within seconds and signal the islets, brain, and vagal afferents through GLP-1, GIP, CCK, and PYY before those nutrients are fully absorbed. The gut microbiome — a 3.8 × 10¹³ bacterial ecosystem — produces short-chain fatty acids (SCFAs), bile acid metabolites, and tryptophan derivatives that function as endocrine signals reaching the liver, immune system, and brain [4].</w:t>
      </w:r>
    </w:p>
    <w:p>
      <w:pPr>
        <w:spacing w:after="160"/>
      </w:pPr>
      <w:r>
        <w:t xml:space="preserve">This architecture has a predictable failure pattern. Caloric excess drives ectopic lipid deposition in the liver and skeletal muscle, suppressing insulin receptor signaling via the DAG-PKC-IRS-1 phosphorylation cascade. The pancreatic β cells compensate by hypersecretion, maintaining euglycemia at the cost of chronic overwork. When β-cell mass declines under sustained glucotoxicity and lipotoxicity, the compensatory capacity is exhausted and T2D initiates. In parallel, hepatic steatosis drives Kupffer cell activation via portal LPS and DAG-mediated lipotoxicity, progressing through NASH to fibrosis. Gut dysbiosis reduces butyrate production, compromises intestinal barrier integrity, increases portal LPS translocation, and amplifies hepatic inflammation. These cascades interact: insulin resistance accelerates hepatic lipid accumulation; NASH reduces hepatic insulin sensitivity; dysbiosis amplifies both. The system has multiple positive-feedback loops that resist single-target intervention — which is why multi-mechanism approaches (GLP-1 agonists, bariatric surgery, lifestyle) show benefit across multiple coupling points that single-target strategies do not address simultaneously.</w:t>
      </w:r>
    </w:p>
    <w:p>
      <w:pPr>
        <w:spacing w:after="160"/>
      </w:pPr>
      <w:r>
        <w:t xml:space="preserve">The five-operation decomposition used throughout this paper is an analytical scaffold for locating control logic and identifying coupling points. The coupling analysis in §3 identifies the shared interfaces; the failure cascade analysis in §4 shows how those interfaces amplify rather than correct failure when one system is compromised.</w:t>
      </w:r>
    </w:p>
    <w:p>
      <w:pPr>
        <w:spacing w:after="160"/>
      </w:pPr>
      <w:r>
        <w:t xml:space="preserve">Sources for this review were drawn from primary peer-reviewed literature, prioritizing mechanistic studies with human tissue or clinical data, landmark randomized controlled trials, and post-2023 literature in areas where the field has materially advanced (particularly MASH pharmacotherapy). Evidence tiers were assigned operationally: Tier A requires human mechanistic confirmation or replicated RCT-level evidence; Tier B requires direct experimental support in human tissue or well-validated animal models with human correlates; Tier C designates integrative synthesis where individual mechanistic steps are supported but the cascade as a unified clinical pattern has not been directly demonstrated. Tier assignments are made at point of use throughout the text and are consolidated in the evidence tier box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00"/>
            </w:pPr>
            <w:r>
              <w:rPr>
                <w:b/>
                <w:bCs/>
              </w:rPr>
              <w:t xml:space="preserve">Evidence Tiers — Scope and Confidence of Claims</w:t>
            </w:r>
          </w:p>
          <w:p>
            <w:pPr>
              <w:spacing w:after="120"/>
            </w:pPr>
            <w: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120"/>
            </w:pPr>
            <w:r>
              <w:rPr>
                <w:b/>
                <w:bCs/>
              </w:rPr>
              <w:t xml:space="preserve">Tier A — Established consensus (well-replicated, textbook-level): </w:t>
            </w:r>
            <w:r>
              <w:t xml:space="preserve">Hepatic first-pass metabolism of portal nutrients; insulin → IR → IRS-1 Tyr → PI3K → Akt → glycogen synthesis + FOXO1 suppression; glucagon → cAMP → PKA → glycogenolysis + gluconeogenesis; two-phase insulin secretion (KATP closure + incretin amplification); GLP-1 incretin effect (50–70% of oral glucose insulin response); LES as sphincter gate; butyrate as primary colonocyte fuel; microbiome spore-forming bacteria required for &gt;90% EC cell serotonin synthesis; SCFA → GPR41/43 on EEC cells; k_IR × k_β dual threshold for T2D (clinical evidence for β-cell compensation followed by failure); NAFLD → NASH → fibrosis cascade (TGF-β → stellate cell → collagen I/III).</w:t>
            </w:r>
          </w:p>
          <w:p>
            <w:pPr>
              <w:spacing w:after="120"/>
            </w:pPr>
            <w:r>
              <w:rPr>
                <w:b/>
                <w:bCs/>
              </w:rPr>
              <w:t xml:space="preserve">Tier A (clinical trial outcomes — added from post-2023 literature): </w:t>
            </w:r>
            <w:r>
              <w:t xml:space="preserve">Resmetirom reduces NASH histology and fibrosis in F2–F3 noncirrhotic MASH (MAESTRO-NASH phase 3 RCT, 966 patients [16]); semaglutide 2.4 mg weekly reduces NASH histology and fibrosis in F2–F3 noncirrhotic MASH (ESSENCE phase 3 RCT, 800-patient interim [19]).</w:t>
            </w:r>
          </w:p>
          <w:p>
            <w:pPr>
              <w:spacing w:after="120"/>
            </w:pPr>
            <w:r>
              <w:rPr>
                <w:b/>
                <w:bCs/>
              </w:rPr>
              <w:t xml:space="preserve">Tier B — Mechanisms with direct experimental support: </w:t>
            </w:r>
            <w:r>
              <w:t xml:space="preserve">DAG → PKC-ε/θ → IRS-1 Ser307 as the primary molecular mechanism of ectopic lipid-induced insulin resistance (human liver and muscle biopsy data [2]); portal LPS → Kupffer TLR4 → NASH (mouse + human correlate); bariatric surgery T2D remission via GLP-1 surge + caloric restriction-driven hepatic glucose load reduction + microbiome reset (mechanisms partially established [17]); FGF21 as starvation hepatokine signaling to brain (rodent dominant; human data growing); NAD⁺ → SIRT1 → PGC-1α repair coupling (rodent and human observational; intervention trials mixed).</w:t>
            </w:r>
          </w:p>
          <w:p>
            <w:pPr>
              <w:spacing w:after="0"/>
            </w:pPr>
            <w:r>
              <w:rPr>
                <w:b/>
                <w:bCs/>
              </w:rPr>
              <w:t xml:space="preserve">Tier C — Integrative syntheses or emerging findings: </w:t>
            </w:r>
            <w:r>
              <w:t xml:space="preserve">Kynurenine pathway → CNS 5-HT depletion + NMDA excitotoxicity as unified dysbiosis-depression mechanism (each step B; cascade C); NAD⁺ depletion → multi-organ accelerated aging as unified cascade (each metabolic link B; cross-organ cascade C); gut microbiome → specific SCFA species → brain reward circuit modulation (preclinical predominant); psychobiotics as therapeutic intervention (human trials mixed).</w:t>
            </w:r>
          </w:p>
        </w:tc>
      </w:tr>
    </w:tbl>
    <w:p>
      <w:pPr>
        <w:spacing w:after="80"/>
      </w:pPr>
      <w:r>
        <w:t xml:space="preserve"/>
      </w:r>
    </w:p>
    <w:p>
      <w:pPr>
        <w:pStyle w:val="Heading1"/>
      </w:pPr>
      <w:r>
        <w:rPr>
          <w:b/>
          <w:bCs/>
        </w:rPr>
        <w:t xml:space="preserve">§2 — Detection Architecture of 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00"/>
            </w:pPr>
            <w:r>
              <w:rPr>
                <w:b/>
                <w:bCs/>
              </w:rPr>
              <w:t xml:space="preserve">Five-Operation Decomposition — Definition of Terms</w:t>
            </w:r>
          </w:p>
          <w:p>
            <w:pPr>
              <w:spacing w:after="80"/>
            </w:pPr>
            <w:r>
              <w:rPr>
                <w:b/>
                <w:bCs/>
              </w:rPr>
              <w:t xml:space="preserve">Propagation: </w:t>
            </w:r>
            <w:r>
              <w:t xml:space="preserve">The mechanism by which a signal or state change is transmitted from one component to the next within or between systems.</w:t>
            </w:r>
          </w:p>
          <w:p>
            <w:pPr>
              <w:spacing w:after="80"/>
            </w:pPr>
            <w:r>
              <w:rPr>
                <w:b/>
                <w:bCs/>
              </w:rPr>
              <w:t xml:space="preserve">Gating: </w:t>
            </w:r>
            <w:r>
              <w:t xml:space="preserve">The control mechanism that determines whether a signal passes, accumulates, or is blocked; the threshold or valve function that separates quiescent from active states.</w:t>
            </w:r>
          </w:p>
          <w:p>
            <w:pPr>
              <w:spacing w:after="80"/>
            </w:pPr>
            <w:r>
              <w:rPr>
                <w:b/>
                <w:bCs/>
              </w:rPr>
              <w:t xml:space="preserve">Detection: </w:t>
            </w:r>
            <w:r>
              <w:t xml:space="preserve">The sensing mechanism that measures deviation from a setpoint and generates an error signal; the molecular sensor or organ that monitors system state.</w:t>
            </w:r>
          </w:p>
          <w:p>
            <w:pPr>
              <w:spacing w:after="80"/>
            </w:pPr>
            <w:r>
              <w:rPr>
                <w:b/>
                <w:bCs/>
              </w:rPr>
              <w:t xml:space="preserve">Accumulation: </w:t>
            </w:r>
            <w:r>
              <w:t xml:space="preserve">The time-integrated process by which repeated or sustained activations produce structural or functional change; the state that builds incrementally toward irreversibility.</w:t>
            </w:r>
          </w:p>
          <w:p>
            <w:pPr>
              <w:spacing w:after="0"/>
            </w:pPr>
            <w:r>
              <w:rPr>
                <w:b/>
                <w:bCs/>
              </w:rPr>
              <w:t xml:space="preserve">Refinement: </w:t>
            </w:r>
            <w:r>
              <w:t xml:space="preserve">The adaptive mechanism that updates setpoints, receptor densities, or circuit gain in response to chronic inputs; the system’s capacity for recalibration.</w:t>
            </w:r>
          </w:p>
        </w:tc>
      </w:tr>
    </w:tbl>
    <w:p>
      <w:pPr>
        <w:spacing w:after="80"/>
      </w:pPr>
      <w:r>
        <w:t xml:space="preserve"/>
      </w:r>
    </w:p>
    <w:p>
      <w:pPr>
        <w:spacing w:after="160"/>
      </w:pPr>
      <w:r>
        <w:t xml:space="preserve">Each system is analyzed below using these five operations as an organizational scaffold. Tier A claims are established consensus; Tier B claims have direct experimental support as noted; Tier C findings are flagged at point of use.</w:t>
      </w:r>
    </w:p>
    <w:p>
      <w:pPr>
        <w:pStyle w:val="Heading2"/>
      </w:pPr>
      <w:r>
        <w:rPr>
          <w:b/>
          <w:bCs/>
        </w:rPr>
        <w:t xml:space="preserve">§2.1 — The Hepatic and Metabolic System</w:t>
      </w:r>
    </w:p>
    <w:p>
      <w:pPr>
        <w:spacing w:after="160"/>
      </w:pPr>
      <w:r>
        <w:rPr>
          <w:b/>
          <w:bCs/>
        </w:rPr>
        <w:t xml:space="preserve">Propagation. </w:t>
      </w:r>
      <w:r>
        <w:t xml:space="preserve">The liver receives approximately 1,200 mL/min of portal blood and 400 mL/min of hepatic arterial blood, giving it continuous exposure to all absorbed gut-derived substrates at concentrations far above systemic levels. In the fed state, portal glucose stimulates pancreatic insulin secretion [1]; insulin then activates hepatocyte glycogen synthesis (IR → IRS-1 Tyr → PI3K → Akt → GSK-3 inhibition → glycogen synthase activation) and de novo lipogenesis (DNL: insulin → SREBP-1c → FAS, ACC → fatty acid synthesis → TG assembly → VLDL export). In the fasted state, glucagon → cAMP → PKA → CREB activates PEPCK and G6Pase, driving gluconeogenesis from lactate, amino acids, and glycerol [1]. Cortisol amplifies gluconeogenesis via direct PEPCK transcription, and the adrenal medulla drives glycogenolysis via β1-AR during acute stress [1]. Pancreatic β-cell insulin secretion operates in two phases: Phase 1 (triggering) is driven by glucose-induced KATP closure → membrane depolarization → Ca²⁺ spike → rapid insulin granule exocytosis within 3–5 minutes; Phase 2 (amplifying) is driven by metabolic amplification (pyruvate anaplerosis) and incretin co-stimulation, accounting for 50–70% of total insulin release following an oral glucose load [3].</w:t>
      </w:r>
    </w:p>
    <w:p>
      <w:pPr>
        <w:spacing w:after="160"/>
      </w:pPr>
      <w:r>
        <w:rPr>
          <w:b/>
          <w:bCs/>
        </w:rPr>
        <w:t xml:space="preserve">Gating. </w:t>
      </w:r>
      <w:r>
        <w:t xml:space="preserve">The hepatic-metabolic system is gated by two independent thresholds that operate in series. The first, k_IR, represents insulin receptor signaling efficiency: the net ability of insulin to suppress hepatic glucose output and stimulate peripheral glucose uptake. The molecular gate is IRS-1 tyrosine phosphorylation and its sensitivity to inhibitory serine phosphorylation. Ectopic lipid accumulation — specifically diacylglycerol (DAG) in the liver and intramyocellular lipid (IMCL) in skeletal muscle — activates PKC-ε (hepatic) and PKC-θ (muscle), which phosphorylate IRS-1 at Ser307, blocking the insulin-signaling cascade (Tier B) [2]. This DAG → PKC → IRS-1 Ser pathway is the primary mechanistic link between caloric excess and insulin resistance; it is distinct from ceramide-mediated IR and is the predominant mechanism in non-obese NAFLD. The second threshold, k_β, represents functional β-cell reserve: the product of β-cell mass and per-cell secretory capacity. T2D initiates when k_IR × k_β falls below the level required to maintain glucose homeostasis. Both are heuristic composite constructs summarizing mechanistically related determinants rather than single clinical metrics; k_IR maps operationally to HOMA-IR or euglycemic clamp-derived Rd, and k_β maps to first-phase insulin response and HbA1c trajectory [1].</w:t>
      </w:r>
    </w:p>
    <w:p>
      <w:pPr>
        <w:spacing w:after="160"/>
      </w:pPr>
      <w:r>
        <w:rPr>
          <w:b/>
          <w:bCs/>
        </w:rPr>
        <w:t xml:space="preserve">Detection. </w:t>
      </w:r>
      <w:r>
        <w:t xml:space="preserve">The hepatic-metabolic system has three primary sensing architectures. Portal glucose sensing: hepatic portal vein glucose receptors and hepatic branch vagal afferents detect portal glucose concentrations and signal to the hypothalamus via NTS, modulating meal termination independently of systemic glucose [35]. Pancreatic glucose sensing: β-cell glucokinase (hexokinase IV) acts as the primary glucose sensor, with a Km of approximately 8 mM that matches the physiological glucose range, converting it to a graded transducer of glycemia [1]. Adipose tissue sensing: adipocytes function as lipid storage sensors whose capacity limit is signaled systemically via leptin (satiety signal, proportional to fat mass) and adiponectin (insulin-sensitizing signal, inversely proportional to visceral fat) [8]. FGF21, a hepatokine released during prolonged fasting and carbohydrate excess, signals to the brain via FGFR1/β-klotho receptors in the hypothalamus and VTA, modulating macronutrient preference and energy expenditure (Tier B) [9].</w:t>
      </w:r>
    </w:p>
    <w:p>
      <w:pPr>
        <w:spacing w:after="160"/>
      </w:pPr>
      <w:r>
        <w:rPr>
          <w:b/>
          <w:bCs/>
        </w:rPr>
        <w:t xml:space="preserve">Accumulation. </w:t>
      </w:r>
      <w:r>
        <w:t xml:space="preserve">Insulin resistance is a slowly accumulating state driven by ectopic lipid deposition. Caloric excess → visceral adipose expansion → adipocyte lipolysis → portal NEFA flux → hepatic DAG → PKC-ε → IRS-1 Ser307 → hepatic IR accumulates over years. Fructose specifically accelerates DNL because it bypasses PFK regulation, entering the glycolytic pathway at the triose-phosphate level without rate limitation; chronic fructose consumption drives hepatic fat accumulation disproportionate to total caloric load [10]. β-cell mass declines under sustained glucotoxicity and lipotoxicity: chronic hyperglycemia generates mitochondrial reactive oxygen species (mtROS), activating JNK and the unfolded protein response (UPR, particularly IRE1α), driving β-cell apoptosis; IAPP (islet amyloid polypeptide) misfolds under hypersecretion conditions and forms cytotoxic oligomers [1]. β-cell loss is largely irreversible; regenerative capacity in adult human islets is minimal. The NAD⁺ pool declines with metabolic disease via two mechanisms: CD38 upregulation (driven by NF-κB → inflammaging) consumes NAD⁺; PARP1 activation from chronic oxidative DNA damage consumes NAD⁺. SIRT1 and SIRT3 activity — which require NAD⁺ as a cofactor — decline, reducing PGC-1α-driven mitochondrial quality maintenance (Tier B) [6].</w:t>
      </w:r>
    </w:p>
    <w:p>
      <w:pPr>
        <w:spacing w:after="160"/>
      </w:pPr>
      <w:r>
        <w:rPr>
          <w:b/>
          <w:bCs/>
        </w:rPr>
        <w:t xml:space="preserve">Refinement. </w:t>
      </w:r>
      <w:r>
        <w:t xml:space="preserve">The hepatic-metabolic system retains substantial refinement capacity before irreversible structural change. Aerobic exercise activates AMPK → NAMPT → NAD⁺ synthesis → SIRT1 → PGC-1α → mitochondrial biogenesis in skeletal muscle and liver, directly reversing the ectopic lipid accumulation driving k_IR decline. Caloric restriction reduces portal NEFA flux and hepatic DAG within days. Metformin activates AMPK → inhibits hepatic glucose output and reduces mitochondrial complex I-driven superoxide. GLP-1 receptor agonists (liraglutide, semaglutide, tirzepatide) produce substantial hepatic fat reduction and body weight loss (semaglutide 2.4 mg: approximately 15% in STEP-1 [33]; tirzepatide: 20–22% in SURMOUNT-1 [34]), protecting k_β by reducing glucolipotoxicity. In patients with MASH, semaglutide 2.4 mg weekly achieved NASH resolution without fibrosis worsening in 62.9% versus 34.3% on placebo at 72 weeks (ESSENCE phase 3 trial), leading to FDA approval for MASH with stage F2–F3 fibrosis in August 2025 [19]. Resmetirom (THR-β agonist, FDA-approved March 2024) selectively activates hepatic thyroid hormone receptor β, reducing DNL and increasing mitochondrial β-oxidation — the first approved pharmacotherapy for NASH with stage F2–F3 fibrosis (noncirrhotic MASH), based on the MAESTRO-NASH trial demonstrating NASH resolution in 26–30% and fibrosis improvement in 24–26% of treated patients versus 10% and 14% for placebo respectively [16].</w:t>
      </w:r>
    </w:p>
    <w:p>
      <w:pPr>
        <w:spacing w:after="80"/>
      </w:pPr>
      <w:r>
        <w:t xml:space="preserve"/>
      </w:r>
    </w:p>
    <w:p>
      <w:pPr>
        <w:pStyle w:val="Heading2"/>
      </w:pPr>
      <w:r>
        <w:rPr>
          <w:b/>
          <w:bCs/>
        </w:rPr>
        <w:t xml:space="preserve">§2.2 — The Gastrointestinal System</w:t>
      </w:r>
    </w:p>
    <w:p>
      <w:pPr>
        <w:spacing w:after="160"/>
      </w:pPr>
      <w:r>
        <w:rPr>
          <w:b/>
          <w:bCs/>
        </w:rPr>
        <w:t xml:space="preserve">Propagation. </w:t>
      </w:r>
      <w:r>
        <w:t xml:space="preserve">The GI system processes approximately 2–3 kg of food daily through a series of mechanically and chemically coordinated stages. Gastric parietal cells secrete HCl via H⁺/K⁺-ATPase (proton pump), achieving intragastric pH of 1–2, activating pepsinogen to pepsin for protein digestion and sterilizing ingested material. Gastric emptying is regulated by the duodenal brake: lipid and acid in the duodenum → CCK and secretin release → pyloric contraction + gastric inhibition, slowing emptying to match absorptive capacity [31]. The small intestine absorbs macronutrients via segment-specific transporters: SGLT1 (glucose/galactose), GLUT5 (fructose), peptide transporters PepT1 (di/tripeptides), and fatty acid-binding proteins. The colon hosts the microbiome (predominantly Firmicutes and Bacteroidetes) and ferments unabsorbed fibers into SCFAs: butyrate (colonocyte fuel + HDAC inhibitor), propionate (hepatic gluconeogenesis substrate + GPR41), and acetate (systemic circulation + GPR43) [4].</w:t>
      </w:r>
    </w:p>
    <w:p>
      <w:pPr>
        <w:spacing w:after="160"/>
      </w:pPr>
      <w:r>
        <w:rPr>
          <w:b/>
          <w:bCs/>
        </w:rPr>
        <w:t xml:space="preserve">Gating. </w:t>
      </w:r>
      <w:r>
        <w:t xml:space="preserve">Two independent sphincter thresholds govern barrier function. The lower esophageal sphincter (LES) maintains a resting pressure of 10–30 mmHg against gastric pressure, preventing reflux of acid and pepsin. LES tone is maintained by tonic myogenic activity modulated by cholinergic (ACh → M3 → LES contraction) and inhibitory (VIP/NO → relaxation) innervation [24]. Transient LES relaxations (TLESRs) — triggered by gastric distension via vagal afferent → NTS → DMV → VIP/NO release → LES relaxation without swallow — account for approximately 80% of reflux events. The intestinal barrier is gated by tight junction protein expression (claudin-1, claudin-4, occludin, ZO-1) and mucus layer integrity (MUC2). Butyrate, the primary colonocyte fuel, sustains tight junction expression via HDAC inhibition (histone acetylation → claudin/occludin transcription). When butyrate production falls — through microbiome diversity collapse, antibiotic exposure, or low-fiber diet — tight junction maintenance fails and intestinal permeability rises [4].</w:t>
      </w:r>
    </w:p>
    <w:p>
      <w:pPr>
        <w:spacing w:after="160"/>
      </w:pPr>
      <w:r>
        <w:rPr>
          <w:b/>
          <w:bCs/>
        </w:rPr>
        <w:t xml:space="preserve">Detection. </w:t>
      </w:r>
      <w:r>
        <w:t xml:space="preserve">The GI system employs three distinct nutrient-detection architectures in series. Cephalic phase: sight, smell, and taste → vagal efferent → cephalic-phase insulin secretion (CPIS: approximately 1–5% of postprandial insulin release); gastric acid priming and salivary amylase begin before food arrives [3]. Gastric phase: gastric distension → stretch receptors → vagal afferents → NTS → gastric acid + pepsin secretion amplification; G cells secrete gastrin (stimulates parietal cells); X/A cells secrete ghrelin (hunger signal, peaks pre-meal, suppressed post-meal by nutrients) [8]. Intestinal phase: duodenal I cells secrete CCK in response to lipid and protein; L cells in the ileum secrete GLP-1 and PYY in response to nutrients; K cells in the duodenum secrete GIP. Neuropod cells — a subset of enteroendocrine cells forming direct synaptic contacts with ENS neurons — provide rapid (millisecond-scale) chemosensory transduction, far faster than hormonal diffusion [5]. A critical architecture note: peripheral GI serotonin (5-HT from enterochromaffin cells, produced via TPH1) is a completely separate pool from central 5-HT, does not cross the blood-brain barrier, and modulates ENS motility via 5-HT3/5-HT4 on ENS neurons rather than contributing to central serotonergic tone [22].</w:t>
      </w:r>
    </w:p>
    <w:p>
      <w:pPr>
        <w:spacing w:after="160"/>
      </w:pPr>
      <w:r>
        <w:rPr>
          <w:b/>
          <w:bCs/>
        </w:rPr>
        <w:t xml:space="preserve">Accumulation. </w:t>
      </w:r>
      <w:r>
        <w:t xml:space="preserve">Microbiome diversity collapses under antibiotic exposure, low-fiber diet, chronic psychological stress (cortisol → microbiome composition shift [27]), and high-fat/high-sugar dietary patterns. The collapse reduces butyrate-producing species (Faecalibacterium prausnitzii, Roseburia spp., Eubacterium rectale) and shifts the Firmicutes/Bacteroidetes ratio. Butyrate deficiency reduces tight junction expression and colonocyte energy supply simultaneously. LPS-producing gram-negative bacteria proliferate in the dysbiotic state, increasing portal LPS translocation. At the esophageal gate, chronic GERD-induced acid/pepsin exposure drives mucosal TRPV1 sensitization → substance P release → vagal sensitization → lower threshold for non-acid reflux events to cause symptoms → refractory NERD. Barrett’s esophagus (intestinal metaplasia of the esophageal mucosa) accumulates irreversibly in approximately 10% of chronic GERD patients and represents the primary adenocarcinoma risk state [20].</w:t>
      </w:r>
    </w:p>
    <w:p>
      <w:pPr>
        <w:spacing w:after="160"/>
      </w:pPr>
      <w:r>
        <w:rPr>
          <w:b/>
          <w:bCs/>
        </w:rPr>
        <w:t xml:space="preserve">Refinement. </w:t>
      </w:r>
      <w:r>
        <w:t xml:space="preserve">Microbiome restoration occurs over days to weeks following dietary fiber increase (prebiotic effect: Inulin, FOS, pectin → selectively feed butyrate producers), probiotic supplementation, and fecal microbiota transplantation (FMT) in severe cases. Proton pump inhibitors (PPIs) reduce gastric acid output by irreversibly blocking H⁺/K⁺-ATPase, providing the most effective single-agent reflux suppression; they do not reduce pepsin activity and therefore provide incomplete protection in LPR. The GLP-1 receptor agonist class modifies GI physiology beyond islet effects: GLP-1 slows gastric emptying (reducing postprandial glucose excursions), reduces appetite via hypothalamic GLP-1R and NTS GLP-1R, and promotes satiety via vagal afferents. These GI mechanisms are separable from the pancreatic incretin effect and explain why GLP-1 agonists reduce food intake in T2D patients even with compromised β-cell mass [3].</w:t>
      </w:r>
    </w:p>
    <w:p>
      <w:pPr>
        <w:spacing w:after="80"/>
      </w:pPr>
      <w:r>
        <w:t xml:space="preserve"/>
      </w:r>
    </w:p>
    <w:p>
      <w:pPr>
        <w:pStyle w:val="Heading1"/>
      </w:pPr>
      <w:r>
        <w:rPr>
          <w:b/>
          <w:bCs/>
        </w:rPr>
        <w:t xml:space="preserve">§3 — The Metabolic-Gut Coupling Network</w:t>
      </w:r>
    </w:p>
    <w:p>
      <w:pPr>
        <w:spacing w:after="160"/>
      </w:pPr>
      <w:r>
        <w:t xml:space="preserve">The hepatic, metabolic, and GI systems share four coupling interfaces. Table 1 summarizes the primary mechanisms.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Coupling interface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Primary signal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Hepatic/metabolic effect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GI effect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Portal circulation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Glucose, NEFA, SCFAs, LPS, bile acids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First-pass nutrient processing; LPS → Kupffer TLR4 → NASH; SCFAs → hepatic gluconeogenesis substrate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Enterohepatic bile acid circulation; gut-liver axis for microbiome metabolites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Incretin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GLP-1, GIP (gut-derived)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β-cell insulin amplification (50–70% of oral response); GLP-1R on β cells; GIP on β cells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GLP-1/PYY → vagal satiety; gastric emptying slowing; neuropod cell rapid transduction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Dysbiosis-LPS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Portal LPS, SCFAs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Kupffer TLR4 → TNF-α/IL-6 → NASH + systemic IR; DAG lipotoxicity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Barrier failure → LPS translocation; butyrate deficiency → tight junction loss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NAD⁺-aging 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NAD⁺ (AMPK → NAMPT → SIRT1)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Exercise → NAD⁺ → PGC-1α → mitochondrial quality → k_IR maintained; CD38 → NAD⁺ ↓ → IR + 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Butyrate → HDAC inhibition → epithelial renewal; microbiome supports NAMPT substrate availability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r>
    </w:tbl>
    <w:p>
      <w:pPr>
        <w:spacing w:after="80"/>
      </w:pPr>
      <w:r>
        <w:t xml:space="preserve"/>
      </w:r>
    </w:p>
    <w:p>
      <w:pPr>
        <w:spacing w:after="200"/>
        <w:jc w:val="center"/>
      </w:pPr>
      <w:r>
        <w:rPr>
          <w:i/>
          <w:iCs/>
        </w:rPr>
        <w:t xml:space="preserve">Table 1. Primary metabolic-gut coupling interfaces.</w:t>
      </w:r>
    </w:p>
    <w:p>
      <w:pPr>
        <w:pStyle w:val="Heading2"/>
      </w:pPr>
      <w:r>
        <w:rPr>
          <w:b/>
          <w:bCs/>
        </w:rPr>
        <w:t xml:space="preserve">§3.1 — The Portal Gut-Liver Axis</w:t>
      </w:r>
    </w:p>
    <w:p>
      <w:pPr>
        <w:spacing w:after="160"/>
      </w:pPr>
      <w:r>
        <w:t xml:space="preserve">The portal circulation delivers all absorbed intestinal content — nutrients, microbial metabolites, and inflammatory signals — to the liver before systemic distribution. In normal physiology this gives the liver authority over substrate allocation: hepatic glycogen synthesis buffers postprandial glucose surges; hepatic fatty acid oxidation or re-esterification determines VLDL export; hepatic first-pass metabolism of bile acids, drugs, and microbial metabolites protects the systemic circulation from direct gut-derived exposure. Bile acids secreted by the liver undergo extensive enterohepatic recycling: approximately 95% are reabsorbed in the terminal ileum via the apical sodium-dependent bile acid transporter (ASBT), return via portal blood, and are re-secreted — only 5% escape to the colon where they shape microbiome composition and activate FXR/TGR5 signaling on colonocytes and enteroendocrine cells [11].</w:t>
      </w:r>
    </w:p>
    <w:p>
      <w:pPr>
        <w:spacing w:after="160"/>
      </w:pPr>
      <w:r>
        <w:t xml:space="preserve">In the dysbiotic state, portal LPS concentration rises from approximately 1–10 pg/mL (normal) toward 10–100 pg/mL (metabolic endotoxemia) [12]. Hepatic Kupffer cells — the liver-resident macrophages comprising approximately 70–80% of all tissue macrophages in the body [15] — express high-density TLR4 and respond to LPS with TNF-α, IL-6, and IL-1β secretion. TNF-α directly promotes IRS-1 Ser307 phosphorylation in hepatocytes, linking gut dysbiosis to hepatic insulin resistance through an inflammatory, not lipid-excess, mechanism [23]. The combination of lipid-driven (DAG → PKC-ε) and inflammation-driven (TNF-α → JNK → IRS-1 Ser) IR explains why metabolic disease with gut dysbiosis is more resistant to treatment than either pathway alone.</w:t>
      </w:r>
    </w:p>
    <w:p>
      <w:pPr>
        <w:pStyle w:val="Heading2"/>
      </w:pPr>
      <w:r>
        <w:rPr>
          <w:b/>
          <w:bCs/>
        </w:rPr>
        <w:t xml:space="preserve">§3.2 — The Incretin System</w:t>
      </w:r>
    </w:p>
    <w:p>
      <w:pPr>
        <w:spacing w:after="160"/>
      </w:pPr>
      <w:r>
        <w:t xml:space="preserve">The incretin effect — the amplification of insulin secretion by gut-derived hormones following oral nutrient ingestion — accounts for 50–70% of total postprandial insulin release and is substantially reduced in T2D (to approximately 20–30% of normal levels), representing one of the earliest and most clinically consequential features of islet dysfunction [3]. GLP-1 is secreted from ileal and colonic L cells in response to luminal nutrients (particularly lipids and proteins), acts via GLP-1R on pancreatic β cells to amplify Ca²⁺-driven exocytosis, and simultaneously suppresses glucagon from α cells, slows gastric emptying, and signals satiety via vagal afferents to the NTS and hypothalamus. GIP is secreted from duodenal K cells and amplifies insulin secretion through a distinct GIPR-cAMP pathway; unlike GLP-1, GIP also acts on adipocytes to promote lipid storage. The dual agonist tirzepatide (GLP-1R + GIPR) exploits the additive islet effect of both receptors, achieving greater glucose lowering and weight reduction than semaglutide 1 mg in direct comparison (SURPASS-2) [30].</w:t>
      </w:r>
    </w:p>
    <w:p>
      <w:pPr>
        <w:spacing w:after="160"/>
      </w:pPr>
      <w:r>
        <w:t xml:space="preserve">The incretin defect in T2D is primarily a defect in GLP-1 responsiveness (reduced β-cell GLP-1R expression and downstream signaling) rather than reduced GLP-1 secretion per se — a distinction with therapeutic implications, as pharmacological GLP-1R agonists at supraphysiological concentrations can partially overcome receptor desensitization [3]. Microbiome composition directly regulates GLP-1 secretion: SCFAs → GPR41 on L cells → GLP-1 release; bile acid metabolites → TGR5 on L cells → GLP-1 release; dysbiosis reduces both SCFA and bile acid metabolite availability, attenuating GLP-1 output and contributing to the incretin defect through a gut-microbiome-islet axis (Tier B) [32].</w:t>
      </w:r>
    </w:p>
    <w:p>
      <w:pPr>
        <w:pStyle w:val="Heading2"/>
      </w:pPr>
      <w:r>
        <w:rPr>
          <w:b/>
          <w:bCs/>
        </w:rPr>
        <w:t xml:space="preserve">§3.3 — The Dysbiosis-LPS Inflammatory Chain</w:t>
      </w:r>
    </w:p>
    <w:p>
      <w:pPr>
        <w:spacing w:after="160"/>
      </w:pPr>
      <w:r>
        <w:t xml:space="preserve">Gut dysbiosis initiates a multi-system inflammatory cascade through two parallel channels [12]. The LPS channel: gram-negative bacterial overgrowth → portal LPS translocation (metabolic endotoxemia) → hepatic Kupffer TLR4 → NASH cascade (described in §4.2); systemic LPS → macrophage TLR4 → TNF-α/IL-6 → insulin resistance amplification; blood-brain barrier TLR4 → microglial activation → neuroinflammation [25]. The kynurenine channel (Tier C as a unified cascade): dysbiosis → IDO1 upregulation (via TLR4-driven inflammation) → tryptophan shunted from 5-HT synthesis to kynurenine → two downstream consequences: (1) central 5-HT precursor availability reduces (peripheral 5-HT from EC cells is a separate pool and does not cross the BBB; the relevant depletion is hepatic and systemic tryptophan availability for central TPH2); (2) quinolinic acid (a kynurenine pathway metabolite) is an NMDA receptor agonist and excitotoxin (Tier B for each pathway; cascade C as unified mechanism) [13].</w:t>
      </w:r>
    </w:p>
    <w:p>
      <w:pPr>
        <w:spacing w:after="160"/>
      </w:pPr>
      <w:r>
        <w:t xml:space="preserve">The effects of sustained dysbiosis extend beyond the gastrointestinal tract to encompass systemic inflammatory and neuromodulatory consequences. This proposed mechanism is consistent with the epidemiological associations between dysbiosis, depression, insulin resistance, and cognitive impairment, and offers a mechanistic account of their co-occurrence. Therapeutic restoration of microbiome diversity — through high-fiber diet, prebiotics, and in severe cases FMT — reduces portal LPS and kynurenine production, reduces systemic inflammatory markers, and improves insulin sensitivity, though the clinical magnitude of each individual effect varies and the combined cascade remains a proposed synthesis at Tier C.</w:t>
      </w:r>
    </w:p>
    <w:p>
      <w:pPr>
        <w:pStyle w:val="Heading2"/>
      </w:pPr>
      <w:r>
        <w:rPr>
          <w:b/>
          <w:bCs/>
        </w:rPr>
        <w:t xml:space="preserve">§3.4 — The NAD⁺-Aging Bridge</w:t>
      </w:r>
    </w:p>
    <w:p>
      <w:pPr>
        <w:spacing w:after="160"/>
      </w:pPr>
      <w:r>
        <w:t xml:space="preserve">The NAD⁺-aging bridge is a proposed Tier B/C coupling between metabolic disease and biological aging rate. NAD⁺ is the rate-limiting cofactor for SIRT1, SIRT3, and PARP1 — three enzymes central to metabolic regulation, mitochondrial quality maintenance, and DNA repair respectively. NAD⁺ availability determines whether cells can sustain mitochondrial quality under metabolic load. Exercise → AMPK → NAMPT upregulation → NAD⁺ synthesis → SIRT1 activation → PGC-1α deacetylation → mitochondrial biogenesis: this is the primary molecular chain linking physical activity to metabolic health and aging rate (Tier A for each enzymatic step; the clinical magnitude of NAD⁺ augmentation as an aging intervention is Tier B) [6].</w:t>
      </w:r>
    </w:p>
    <w:p>
      <w:pPr>
        <w:spacing w:after="160"/>
      </w:pPr>
      <w:r>
        <w:t xml:space="preserve">The inverse cascade operates in metabolic disease: chronic caloric excess → NF-κB → CD38 overexpression on macrophages and hepatocytes → NAD⁺ consumption → SIRT1 activity ↓ → PGC-1α activity ↓ → mitochondrial quality ↓. Simultaneously, chronic hyperglycemia generates oxidative DNA damage → PARP1 activation → additional NAD⁺ drain. The result is a metabolic disease-driven NAD⁺ depletion that accelerates the same aging phenotype (sarcopenia, cognitive decline, mitochondrial dysfunction) that aging itself produces — a mechanistic bridge between metabolic disease and accelerated biological aging [6]. NMN (nicotinamide mononucleotide) and NR (nicotinamide riboside) are NAD⁺ precursors that raise NAD⁺ levels in human trials; clinical endpoint evidence remains limited (Tier B mechanism; Tier C clinical cascade) [6].</w:t>
      </w:r>
    </w:p>
    <w:p>
      <w:pPr>
        <w:spacing w:after="80"/>
      </w:pPr>
      <w:r>
        <w:t xml:space="preserve"/>
      </w:r>
    </w:p>
    <w:p>
      <w:pPr>
        <w:pStyle w:val="Heading1"/>
      </w:pPr>
      <w:r>
        <w:rPr>
          <w:b/>
          <w:bCs/>
        </w:rPr>
        <w:t xml:space="preserve">§4 — Multi-System Failure Cascades</w:t>
      </w:r>
    </w:p>
    <w:p>
      <w:pPr>
        <w:spacing w:after="160"/>
      </w:pPr>
      <w:r>
        <w:t xml:space="preserve">The following failure patterns emerge from the metabolic-gut coupling architecture. Each is an integrative synthesis: the component mechanisms are supported at the tier indicated, but the cascades as unified clinical patterns represent proposed connections between individually supported mechanisms rather than directly measured unified sequences. Tier designations follow the evidence tiers defined in §1.</w:t>
      </w:r>
    </w:p>
    <w:p>
      <w:pPr>
        <w:pStyle w:val="Heading2"/>
      </w:pPr>
      <w:r>
        <w:rPr>
          <w:b/>
          <w:bCs/>
        </w:rPr>
        <w:t xml:space="preserve">§4.1 — T2D Dual-Threshold Cascade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600"/>
        <w:gridCol w:w="2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Stage</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Key 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 Peripheral IR initiation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Caloric excess → visceral fat → portal NEFA → hepatic DAG → PKC-ε → IRS-1 Ser307 → k_IR_hepatic ↓; IMCL → PKC-θ → k_IR_muscle ↓; adipose M1 macrophages → TNF-α → systemic IR amplification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Shulman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 β-cell compensation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IR → chronic hyperglycemia → β-cell hypersecretion; k_β increases compensatorily; k_IR × k_β above threshold; patient euglycemic but hyperinsulinemic; first-phase insulin preserved early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DeFronzo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 k_β decline onset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Glucotoxicity + lipotoxicity → mtROS → JNK + UPR (IRE1α) → β-cell apoptosis; IAPP misfolding → cytotoxic oligomers; first-phase insulin lost; HbA1c rising; diabetes threshold: k_IR × k_β &lt; k_c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DeFronzo [1]; Shulman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4. End-organ complications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Chronic hyperglycemia → AGE + ROS → (1) retinopathy (pericyte loss); (2) nephropathy (GBM thickening → proteinuria); (3) neuropathy (axonal ATP depletion); (4) macrovascular (eNOS uncoupling + dyslipidemia → CVD)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DeFronzo [1]</w:t>
            </w:r>
          </w:p>
        </w:tc>
      </w:tr>
    </w:tbl>
    <w:p>
      <w:pPr>
        <w:spacing w:after="80"/>
      </w:pPr>
      <w:r>
        <w:t xml:space="preserve"/>
      </w:r>
    </w:p>
    <w:p>
      <w:pPr>
        <w:spacing w:after="160"/>
      </w:pPr>
      <w:r>
        <w:t xml:space="preserve">Intervention windows: Stage 1–2 (lifestyle: exercise + caloric restriction; metformin → AMPK → HGO ↓; GLP-1 agonists → β-cell protection + weight loss); Stage 2–3 (bariatric surgery → rapid T2D remission via GLP-1 surge + intraglomerular pressure reduction + microbiome reset — see §4.4); Stage 4 (damage control: SGLT2 inhibitors → renal protection [28]; anti-VEGF for retinopathy [29]).</w:t>
      </w:r>
    </w:p>
    <w:p>
      <w:pPr>
        <w:pStyle w:val="Heading2"/>
      </w:pPr>
      <w:r>
        <w:rPr>
          <w:b/>
          <w:bCs/>
        </w:rPr>
        <w:t xml:space="preserve">§4.2 — NAFLD → NASH → Fibrosis → HCC</w:t>
      </w:r>
    </w:p>
    <w:p>
      <w:pPr>
        <w:spacing w:after="160"/>
      </w:pPr>
      <w:r>
        <w:t xml:space="preserve">The NAFLD-to-NASH cascade (now also termed MASLD/MASH — metabolic dysfunction-associated steatotic liver disease and steatohepatitis — in current nomenclature) proceeds through four mechanistically distinct stages: (1) hepatic steatosis — caloric excess + fructose + alcohol → DNL ↑ + NEFA influx ↑ → hepatic TG accumulation (&gt;5% hepatocyte fat by volume); IR reduces VLDL export, trapping TG in hepatocytes; fructose accelerates steatosis by bypassing PFK regulation and entering as triose-phosphates with unlimited flux into DNL [10]; (2) NASH — steatosis plus a second hit: portal LPS → Kupffer TLR4 → TNF-α/IL-6 → hepatocyte apoptosis + JNK1 → IRS-1 Ser → further IR; DAG → PKC-ε → direct hepatocyte lipotoxicity; (3) fibrosis — hepatocyte apoptosis → DAMPs → hepatic stellate cell activation → TGF-β → collagen I/III deposition (F1–F4); stages F3–F4 are largely irreversible and produce portal hypertension; (4) HCC — cirrhosis → oxidative DNA damage + chromosomal instability → HCC in approximately 80% of cases; NASH-HCC can arise without cirrhosis in 10–20% via direct oncogenic lipotoxicity (Tier B) [14].</w:t>
      </w:r>
    </w:p>
    <w:p>
      <w:pPr>
        <w:spacing w:after="160"/>
      </w:pPr>
      <w:r>
        <w:t xml:space="preserve">Resmetirom (Rezdiffra), a THR-β selective agonist, received FDA approval in March 2024 as the first approved pharmacotherapy for NASH with stage F2–F3 fibrosis based on the MAESTRO-NASH trial — demonstrating NASH resolution and fibrosis improvement versus placebo. THR-β activation in hepatocytes increases mitochondrial β-oxidation and reduces DNL without THR-α-mediated cardiac and bone side effects. This approval represents a significant shift in NASH management from lifestyle-only to pharmacological intervention. The approved indication covers noncirrhotic MASH with moderate to advanced fibrosis (stages F2 to F3), used alongside diet and exercise [16].</w:t>
      </w:r>
    </w:p>
    <w:p>
      <w:pPr>
        <w:spacing w:after="160"/>
      </w:pPr>
      <w:r>
        <w:t xml:space="preserve">Semaglutide 2.4 mg weekly (Wegovy) received FDA approval for MASH with stage F2–F3 fibrosis in August 2025, becoming the second approved pharmacotherapy and the first GLP-1 receptor agonist approved for this indication. The ESSENCE phase 3 trial demonstrated NASH resolution without fibrosis worsening in 62.9% of semaglutide-treated patients versus 34.3% on placebo, and fibrosis improvement without steatohepatitis worsening in 36.8% versus 22.4% at 72 weeks (P&lt;0.001 for both) [19]. Direct cross-trial comparison of absolute response rates should be interpreted with caution given differences in trial design, follow-up duration (72 weeks for ESSENCE versus 52 weeks for MAESTRO-NASH), and patient population; the higher absolute NASH resolution rate with semaglutide likely reflects contributions from both its direct hepatic and anti-inflammatory effects and its substantial weight reduction, in addition to the distinct THR-β mechanism of resmetirom.</w:t>
      </w:r>
    </w:p>
    <w:p>
      <w:pPr>
        <w:pStyle w:val="Heading2"/>
      </w:pPr>
      <w:r>
        <w:rPr>
          <w:b/>
          <w:bCs/>
        </w:rPr>
        <w:t xml:space="preserve">§4.3 — Dysbiosis → Systemic Inflammatory Cascade</w:t>
      </w:r>
    </w:p>
    <w:p>
      <w:pPr>
        <w:spacing w:after="160"/>
      </w:pPr>
      <w:r>
        <w:t xml:space="preserve">Gut microbiome diversity collapse initiates a multi-system inflammatory cascade: (1) SCFA deficiency — butyrate-producing species (Faecalibacterium prausnitzii, Roseburia spp.) decline → butyrate ↓ → colonocyte ATP deficit + HDAC inhibition loss → tight junction expression ↓ + MUC2 ↓ → intestinal permeability ↑ (each step Tier B; tight junction expression confirmed human biopsy) [12]; (2) portal LPS translocation — metabolic endotoxemia (LPS 10–100 pg/mL) → hepatic Kupffer TLR4 → TNF-α/IL-6/IL-1β → NASH cascade (Tier A for TLR4 signaling; Tier B for portal LPS quantification [12]); (3) kynurenine pathway shift — IDO1 (tryptophan 2,3-dioxygenase) upregulation driven by TLR4-induced NF-κB → tryptophan → kynurenine pathway → quinolinic acid (NMDA agonist + excitotoxin) ↑; tryptophan 5-HT synthesis substrate ↓ in CNS (peripheral EC cell 5-HT is a separate pool and does not contribute to central serotonergic tone) [13].</w:t>
      </w:r>
    </w:p>
    <w:p>
      <w:pPr>
        <w:spacing w:after="160"/>
      </w:pPr>
      <w:r>
        <w:t xml:space="preserve">The cascade is a proposed synthesis at Tier C — each component is individually supported, but the unified dysbiosis → LPS → neuroinflammation → depression pathway has not been demonstrated as a causal chain in humans. The evidence is most consistent for the hepatic end (LPS → NASH: Tier B) and least consistent for the neurological end (kynurenine → depression: Tier B/C depending on the specific claim). Intervention at Stage 1 (fiber → butyrate producers) and Stage 2 (reducing LPS translocation via gut barrier restoration) interrupts the cascade before systemic amplification.</w:t>
      </w:r>
    </w:p>
    <w:p>
      <w:pPr>
        <w:pStyle w:val="Heading2"/>
      </w:pPr>
      <w:r>
        <w:rPr>
          <w:b/>
          <w:bCs/>
        </w:rPr>
        <w:t xml:space="preserve">§4.4 — Bariatric Surgery as a Natural Experiment</w:t>
      </w:r>
    </w:p>
    <w:p>
      <w:pPr>
        <w:spacing w:after="160"/>
      </w:pPr>
      <w:r>
        <w:t xml:space="preserve">Bariatric surgery produces T2D remission in a substantial proportion of patients (approximately 50–80% in early observational series and 40–60% in randomized trials) [17, 21], often within days of surgery before significant weight loss has occurred — demonstrating that the metabolic benefit is not simply caloric restriction. Long-term follow-up from the Swedish Obese Subjects (SOS) study confirmed durable reductions in cardiovascular mortality and diabetes incidence over 20 years [7]. The mechanisms are at least three independent and additive pathways (Tier B) [17]:</w:t>
      </w:r>
    </w:p>
    <w:p>
      <w:pPr>
        <w:pStyle w:val="ListParagraph"/>
        <w:numPr>
          <w:ilvl w:val="0"/>
          <w:numId w:val="2"/>
        </w:numPr>
        <w:spacing w:after="100"/>
      </w:pPr>
      <w:r>
        <w:rPr>
          <w:b/>
          <w:bCs/>
        </w:rPr>
        <w:t xml:space="preserve">GLP-1 surge: </w:t>
      </w:r>
      <w:r>
        <w:t xml:space="preserve">Roux-en-Y gastric bypass (RYGB) delivers undigested nutrients directly to the ileum, bypassing the stomach and proximal jejunum. Rapid ileal nutrient arrival → massive L-cell GLP-1 secretion → supraphysiological GLP-1 levels post-operatively → β-cell stimulation → insulin secretion recovery. This mechanism does not fully explain sleeve gastrectomy benefit, which does not have the same rerouting anatomy.</w:t>
      </w:r>
    </w:p>
    <w:p>
      <w:pPr>
        <w:pStyle w:val="ListParagraph"/>
        <w:numPr>
          <w:ilvl w:val="0"/>
          <w:numId w:val="2"/>
        </w:numPr>
        <w:spacing w:after="100"/>
      </w:pPr>
      <w:r>
        <w:rPr>
          <w:b/>
          <w:bCs/>
        </w:rPr>
        <w:t xml:space="preserve">Intraglomerular pressure reduction: </w:t>
      </w:r>
      <w:r>
        <w:t xml:space="preserve">Reduced caloric intake → reduced portal glucose flux → reduced intraglomerular filtration pressure via tubuloglomerular feedback (TGF) restoration — the same hemodynamic renoprotective mechanism as SGLT2 inhibition [28]; reduced hepatic glucose load → reduced DNL → hepatic fat loss within days.</w:t>
      </w:r>
    </w:p>
    <w:p>
      <w:pPr>
        <w:pStyle w:val="ListParagraph"/>
        <w:numPr>
          <w:ilvl w:val="0"/>
          <w:numId w:val="2"/>
        </w:numPr>
        <w:spacing w:after="100"/>
      </w:pPr>
      <w:r>
        <w:rPr>
          <w:b/>
          <w:bCs/>
        </w:rPr>
        <w:t xml:space="preserve">Microbiome reset: </w:t>
      </w:r>
      <w:r>
        <w:t xml:space="preserve">RYGB produces rapid and sustained microbiome composition changes: Gammaproteobacteria and Fusobacteria increase; Firmicutes/Bacteroidetes ratio shifts; bile acid pool composition changes due to altered enterohepatic circulation [18]. Germ-free mouse studies have shown that microbiome transfer from post-RYGB donors produces metabolic improvement in recipients — suggesting the microbiome shift is mechanistically active, not a passive consequence of weight loss (Tier B: animal model data; human correlate [18]).</w:t>
      </w:r>
    </w:p>
    <w:p>
      <w:pPr>
        <w:spacing w:after="160"/>
      </w:pPr>
      <w:r>
        <w:t xml:space="preserve">Bariatric surgery therefore serves as a natural experiment that isolates GLP-1, portal flux, and microbiome mechanisms from chronic caloric restriction — and provides evidence that all three are independently contributing to the metabolic benefit. GLP-1 receptor agonists pharmacologically replicate the GLP-1 arm of this mechanism at lower magnitude, which explains their partial but not complete replication of bariatric outcomes.</w:t>
      </w:r>
    </w:p>
    <w:p>
      <w:pPr>
        <w:pStyle w:val="Heading2"/>
      </w:pPr>
      <w:r>
        <w:rPr>
          <w:b/>
          <w:bCs/>
        </w:rPr>
        <w:t xml:space="preserve">§4.5 — NAD⁺ Depletion and Accelerated Metabolic Aging</w:t>
      </w:r>
    </w:p>
    <w:p>
      <w:pPr>
        <w:spacing w:after="160"/>
      </w:pPr>
      <w:r>
        <w:t xml:space="preserve">The NAD⁺ depletion cascade (Tier B for individual mechanistic links; Tier C as a unified cross-organ program) links metabolic disease to accelerated biological aging through mitochondrial quality maintenance. The sequence: metabolic disease + chronic inflammation → NF-κB → CD38 overexpression → NAD⁺ consumption; oxidative DNA damage from chronic hyperglycemia → PARP1 activation → additional NAD⁺ drain; both pathways converge on NAD⁺ ↓ → SIRT1 activity ↓ → PGC-1α deacetylation ↓ → mitochondrial biogenesis ↓ [6].</w:t>
      </w:r>
    </w:p>
    <w:p>
      <w:pPr>
        <w:spacing w:after="160"/>
      </w:pPr>
      <w:r>
        <w:t xml:space="preserve">The downstream consequences span multiple systems: reduced β-cell mitochondrial quality → k_β ↓ (T2D worsens with metabolic aging via a mitochondrial mechanism independent of continued caloric excess); reduced skeletal muscle mitochondria → sarcopenia + further insulin resistance; reduced hepatic mitochondria → incomplete β-oxidation → IMCL accumulation → NASH risk ↑; reduced neuronal mitochondria → increased neurodegeneration risk. The cascade as a unified cross-organ pattern is Tier C — each individual link is Tier B, but the coordinated multi-organ deterioration as a program has not been directly demonstrated in a prospective human study. The exercise-NAD⁺ axis (AMPK → NAMPT → NAD⁺ → SIRT1 → PGC-1α) represents the primary modifiable input and is Tier A for the enzymatic chain and Tier B for the clinical aging-rate outcome [6].</w:t>
      </w:r>
    </w:p>
    <w:p>
      <w:pPr>
        <w:spacing w:after="80"/>
      </w:pPr>
      <w:r>
        <w:t xml:space="preserve"/>
      </w:r>
    </w:p>
    <w:p>
      <w:pPr>
        <w:pStyle w:val="Heading1"/>
      </w:pPr>
      <w:r>
        <w:rPr>
          <w:b/>
          <w:bCs/>
        </w:rPr>
        <w:t xml:space="preserve">§5 — The Integrated Metabolic-Gut System</w:t>
      </w:r>
    </w:p>
    <w:p>
      <w:pPr>
        <w:spacing w:after="160"/>
      </w:pPr>
      <w:r>
        <w:t xml:space="preserve">The hepatic, metabolic, and gastrointestinal systems form an integrated nutrient-processing and inflammatory network with four shared coupling interfaces:</w:t>
      </w:r>
    </w:p>
    <w:p>
      <w:pPr>
        <w:pStyle w:val="ListParagraph"/>
        <w:numPr>
          <w:ilvl w:val="0"/>
          <w:numId w:val="2"/>
        </w:numPr>
        <w:spacing w:after="100"/>
      </w:pPr>
      <w:r>
        <w:rPr>
          <w:b/>
          <w:bCs/>
        </w:rPr>
        <w:t xml:space="preserve">Portal gut-liver axis: </w:t>
      </w:r>
      <w:r>
        <w:t xml:space="preserve">all absorbed nutrients, microbial metabolites, and inflammatory signals pass through the liver first; bile acid enterohepatic recycling shapes microbiome composition; portal LPS is the primary inflammatory bridge from gut to systemic disease</w:t>
      </w:r>
    </w:p>
    <w:p>
      <w:pPr>
        <w:pStyle w:val="ListParagraph"/>
        <w:numPr>
          <w:ilvl w:val="0"/>
          <w:numId w:val="2"/>
        </w:numPr>
        <w:spacing w:after="100"/>
      </w:pPr>
      <w:r>
        <w:rPr>
          <w:b/>
          <w:bCs/>
        </w:rPr>
        <w:t xml:space="preserve">Incretin system: </w:t>
      </w:r>
      <w:r>
        <w:t xml:space="preserve">gut enteroendocrine cells signal nutrient arrival to the islets before absorption is complete; GLP-1 and GIP account for 50–70% of total postprandial insulin; GLP-1 simultaneously modulates gastric emptying and hypothalamic satiety; microbiome composition regulates GLP-1 secretion via SCFA and bile acid metabolites</w:t>
      </w:r>
    </w:p>
    <w:p>
      <w:pPr>
        <w:pStyle w:val="ListParagraph"/>
        <w:numPr>
          <w:ilvl w:val="0"/>
          <w:numId w:val="2"/>
        </w:numPr>
        <w:spacing w:after="100"/>
      </w:pPr>
      <w:r>
        <w:rPr>
          <w:b/>
          <w:bCs/>
        </w:rPr>
        <w:t xml:space="preserve">Dysbiosis-LPS chain: </w:t>
      </w:r>
      <w:r>
        <w:t xml:space="preserve">microbiome diversity loss → butyrate deficiency → barrier failure → portal LPS → hepatic inflammation → NASH + systemic IR; kynurenine pathway shift → neuromodulatory consequences</w:t>
      </w:r>
    </w:p>
    <w:p>
      <w:pPr>
        <w:pStyle w:val="ListParagraph"/>
        <w:numPr>
          <w:ilvl w:val="0"/>
          <w:numId w:val="2"/>
        </w:numPr>
        <w:spacing w:after="100"/>
      </w:pPr>
      <w:r>
        <w:rPr>
          <w:b/>
          <w:bCs/>
        </w:rPr>
        <w:t xml:space="preserve">NAD⁺-aging bridge: </w:t>
      </w:r>
      <w:r>
        <w:t xml:space="preserve">exercise → AMPK → NAD⁺ → SIRT1 → mitochondrial quality; metabolic disease → CD38 + PARP1 → NAD⁺ drain → mitochondrial quality ↓; the balance determines aging rate across liver, muscle, pancreas, and brain</w:t>
      </w:r>
    </w:p>
    <w:p>
      <w:pPr>
        <w:spacing w:after="160"/>
      </w:pPr>
      <w:r>
        <w:t xml:space="preserve">When one node fails, the coupling architecture amplifies rather than corrects the failure: hepatic steatosis → DAG-driven IR → compensatory hyperinsulinemia → more DNL → more steatosis; dysbiosis → LPS → IR amplification → β-cell stress → reduced insulin → higher glucose → more glucotoxic β-cell damage. Interventions that engage the coupling architecture directly — exercise (AMPK, mitochondria, microbiome), GLP-1 agonism (incretin, gastric emptying, satiety), dietary fiber (microbiome, butyrate, barrier), and SGLT2 inhibition (portal glucose flux, k_IR) — show benefit across multiple coupling points, consistent with the multi-mechanism architecture described in this paper.</w:t>
      </w:r>
    </w:p>
    <w:p>
      <w:pPr>
        <w:spacing w:after="80"/>
      </w:pPr>
      <w:r>
        <w:t xml:space="preserve"/>
      </w:r>
    </w:p>
    <w:p>
      <w:pPr>
        <w:pStyle w:val="Heading1"/>
      </w:pPr>
      <w:r>
        <w:rPr>
          <w:b/>
          <w:bCs/>
        </w:rPr>
        <w:t xml:space="preserve">§6 — Scope, Limitations, and Companion References</w:t>
      </w:r>
    </w:p>
    <w:p>
      <w:pPr>
        <w:spacing w:after="160"/>
      </w:pPr>
      <w:r>
        <w:t xml:space="preserve">This paper proposes a coupled regulatory framework for the hepatic, metabolic, and gastrointestinal systems organized around four shared coupling interfaces. Three limitations apply.</w:t>
      </w:r>
    </w:p>
    <w:p>
      <w:pPr>
        <w:spacing w:after="160"/>
      </w:pPr>
      <w:r>
        <w:t xml:space="preserve">First, evidence confidence varies substantially across the paper. The T2D dual-threshold cascade (k_IR × k_β) and the NAFLD-NASH-fibrosis cascade are among the best-established in metabolic medicine (Tier A). The DAG → PKC → IRS-1 Ser molecular mechanism of insulin resistance is Tier B — confirmed in human liver and muscle biopsies but with ongoing debate about the relative contributions of ceramide, mitochondrial dysfunction, and inflammatory pathways. The kynurenine pathway as a mechanism linking dysbiosis to depression is Tier B/C — the pathway exists, the associations are reproducible, but the causal claim in humans is not established. The NAD⁺-aging cascade as a unified multi-organ program is Tier C. Readers should apply those tiers when evaluating clinical implications.</w:t>
      </w:r>
    </w:p>
    <w:p>
      <w:pPr>
        <w:spacing w:after="160"/>
      </w:pPr>
      <w:r>
        <w:t xml:space="preserve">Second, three important areas are outside the scope of this paper: the pancreatic endocrine system (covered in EndocrineSystem v1.1, §2.4), the detailed ENS architecture (covered in PeripheralNS v0.8, §2.3), and the immune cell population within the gut wall (covered in the Immunological system paper). The gut contains approximately 70% of the body’s immune cells; their interaction with the microbiome and barrier is an independent coupling layer not fully addressed here.</w:t>
      </w:r>
    </w:p>
    <w:p>
      <w:pPr>
        <w:spacing w:after="160"/>
      </w:pPr>
      <w:r>
        <w:t xml:space="preserve">Third, the failure cascades in §4 are integrative syntheses. Each component mechanism is supported at the tier indicated; the cascades as unified clinical patterns are proposed rather than directly measured. They are intended to identify the shared mechanistic architecture underlying metabolic disease, not to substitute for clinical guidelines on its management.</w:t>
      </w:r>
    </w:p>
    <w:p>
      <w:pPr>
        <w:pStyle w:val="Heading3"/>
      </w:pPr>
      <w:r>
        <w:rPr>
          <w:b/>
          <w:bCs/>
        </w:rPr>
        <w:t xml:space="preserve">Integration target</w:t>
      </w:r>
    </w:p>
    <w:p>
      <w:pPr>
        <w:spacing w:after="160"/>
      </w:pPr>
      <w:r>
        <w:t xml:space="preserve">This paper is designed to merge into the Brain-Body Unified Reference as its metabolic-gut architecture component once the full system map series is complete. At that point, §2 (system detection architectures) merges with the Organ System Maps into BrainBody §2; §3 (coupling network) merges into BrainBody §3; §4 (failure cascades) feeds into the disease paper series. The simulation appendix table migrates with the merge.</w:t>
      </w:r>
    </w:p>
    <w:p>
      <w:pPr>
        <w:spacing w:after="80"/>
      </w:pPr>
      <w:r>
        <w:t xml:space="preserve"/>
      </w:r>
    </w:p>
    <w:p>
      <w:pPr>
        <w:pStyle w:val="Heading1"/>
      </w:pPr>
      <w:r>
        <w:rPr>
          <w:b/>
          <w:bCs/>
        </w:rPr>
        <w:t xml:space="preserve">Appendix — Simulation Role Classification</w:t>
      </w:r>
    </w:p>
    <w:p>
      <w:pPr>
        <w:spacing w:after="160"/>
      </w:pPr>
      <w:r>
        <w:t xml:space="preserve">Each coupling mechanism is classified below according to its recommended role in a body-brain simulation. Core Rule: Tier A consensus; encode as baseline system behavior. Supported Modifier: Tier B; directly supported but may rest on inference or single-modality data — encode as conditional, can be toggled. Hypothesis Layer: Tier C or inference chain —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0"/>
        <w:gridCol w:w="1600"/>
        <w:gridCol w:w="3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System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Simulation 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Hepatic first-pass portal nutrient processing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Hepatic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Portal glucose → glycogen; portal NEFA → β-oxidation or VLDL;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Insulin → IR → IRS-1 Tyr → PI3K → Akt cascade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insulin signaling; k_IR parameter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Glucagon → cAMP → PKA → glycogenolysis + gluconeogenesis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Counter-regulatory; cortisol amplifies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Two-phase β-cell insulin secretion + incretin amplification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Phase 1 (KATP); Phase 2 (incretin: 50–70% of oral response)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GLP-1 → β-cell GLP-1R → cAMP → insulin amplification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Incretin axis; GIP additive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LES sphincter gate (TLESR mechanism)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reflux gate; vagal TLESR mechanism [24]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Microbiome SCFA production (butyrate/propionate/acetate)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Butyrate = colonocyte fuel + HDAC inhibitor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k_IR × k_β dual threshold for T2D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Both are heuristic composites; T2D threshold crossing well established [1,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DAG → PKC-ε/θ → IRS-1 Ser307 insulin resistance mechanism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liver/muscle biopsy data [2]; ceramide + inflammatory pathways additive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Portal LPS → Kupffer TLR4 → TNF-α → NASH +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GI/Hepatic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Mouse + human correlate; metabolic endotoxemia quantified [12]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GLP-1 → vagal afferent → NTS satiety signaling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vagal imaging + blockade studies; encode as satiety gate modifier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NAD⁺ → SIRT1 → PGC-1α mitochondrial quality axis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Rodent dominant; human observational strong [6]. Encode as exercise-linked modifier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FGF21 → brain FGFR1/β-klotho → macronutrient preference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Hepatic/Brain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Rodent dominant; human FGF21 observational [9]. Encode as conditional hepatokine signal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Dysbiosis → LPS → neuroinflammation → depression cascade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GI/Systemic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step B; cascade as unified clinical driver is proposed synthesis. Encode components separately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Kynurenine → CNS 5-HT depletion + NMDA excitotoxicity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GI/Brain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Pathway established; clinical mood consequence in humans Tier C [13]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NAD⁺ depletion → coordinated multi-organ accelerated 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Metabolic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organ link B; coordinated cascade C [6]. Encode components separately</w:t>
            </w:r>
          </w:p>
        </w:tc>
      </w:tr>
    </w:tbl>
    <w:p>
      <w:pPr>
        <w:spacing w:after="80"/>
      </w:pPr>
      <w:r>
        <w:t xml:space="preserve"/>
      </w:r>
    </w:p>
    <w:p>
      <w:pPr>
        <w:spacing w:after="240"/>
        <w:jc w:val="center"/>
      </w:pPr>
      <w:r>
        <w:rPr>
          <w:i/>
          <w:iCs/>
        </w:rPr>
        <w:t xml:space="preserve">Appendix Table. Simulation role classification of metabolic-gut coupling mechanisms.</w:t>
      </w:r>
    </w:p>
    <w:p>
      <w:pPr>
        <w:pStyle w:val="Heading1"/>
      </w:pPr>
      <w:r>
        <w:rPr>
          <w:b/>
          <w:bCs/>
        </w:rPr>
        <w:t xml:space="preserve">References</w:t>
      </w:r>
    </w:p>
    <w:p>
      <w:pPr>
        <w:spacing w:after="100"/>
      </w:pPr>
      <w:r>
        <w:t xml:space="preserve">[1] DeFronzo RA et al. Pathogenesis of type 2 diabetes mellitus. Med Clin North Am 88 (2004) 787–835.</w:t>
      </w:r>
    </w:p>
    <w:p>
      <w:pPr>
        <w:spacing w:after="100"/>
      </w:pPr>
      <w:r>
        <w:t xml:space="preserve">[2] Shulman GI. Ectopic fat in insulin resistance, dyslipidemia, and cardiometabolic disease. N Engl J Med 371 (2014) 1131–1141.</w:t>
      </w:r>
    </w:p>
    <w:p>
      <w:pPr>
        <w:spacing w:after="100"/>
      </w:pPr>
      <w:r>
        <w:t xml:space="preserve">[3] Drucker DJ &amp; Nauck MA. The incretin system: glucagon-like peptide-1 receptor agonists and dipeptidyl peptidase-4 inhibitors in type 2 diabetes. Lancet 368 (2006) 1696–1705.</w:t>
      </w:r>
    </w:p>
    <w:p>
      <w:pPr>
        <w:spacing w:after="100"/>
      </w:pPr>
      <w:r>
        <w:t xml:space="preserve">[4] Sonnenburg JL &amp; Bäckhed F. Diet-microbiota interactions as moderators of human metabolism. Nature 535 (2016) 56–64.</w:t>
      </w:r>
    </w:p>
    <w:p>
      <w:pPr>
        <w:spacing w:after="100"/>
      </w:pPr>
      <w:r>
        <w:t xml:space="preserve">[5] Bohórquez DV et al. Neuroepithelial circuit formed by innervation of sensory enteroendocrine cells. J Clin Invest 125 (2015) 782–786.</w:t>
      </w:r>
    </w:p>
    <w:p>
      <w:pPr>
        <w:spacing w:after="100"/>
      </w:pPr>
      <w:r>
        <w:t xml:space="preserve">[6] Imai SI &amp; Guarente L. NAD⁺ and sirtuins in aging and disease. Trends Cell Biol 24 (2014) 464–471.</w:t>
      </w:r>
    </w:p>
    <w:p>
      <w:pPr>
        <w:spacing w:after="100"/>
      </w:pPr>
      <w:r>
        <w:t xml:space="preserve">[7] Sjöström L et al. Bariatric surgery and long-term cardiovascular events. JAMA 307 (2012) 56–65.</w:t>
      </w:r>
    </w:p>
    <w:p>
      <w:pPr>
        <w:spacing w:after="100"/>
      </w:pPr>
      <w:r>
        <w:t xml:space="preserve">[8] Friedman JM. Leptin and the endocrine control of energy balance. Nat Metab 1 (2019) 754–764.</w:t>
      </w:r>
    </w:p>
    <w:p>
      <w:pPr>
        <w:spacing w:after="100"/>
      </w:pPr>
      <w:r>
        <w:t xml:space="preserve">[9] Flippo KH &amp; Potthoff MJ. Metabolic messengers: FGF21. Nat Metab 3 (2021) 309–317.</w:t>
      </w:r>
    </w:p>
    <w:p>
      <w:pPr>
        <w:spacing w:after="100"/>
      </w:pPr>
      <w:r>
        <w:t xml:space="preserve">[10] Tappy L &amp; Lê KA. Metabolic effects of fructose and the worldwide increase in obesity. Physiol Rev 90 (2010) 23–46.</w:t>
      </w:r>
    </w:p>
    <w:p>
      <w:pPr>
        <w:spacing w:after="100"/>
      </w:pPr>
      <w:r>
        <w:t xml:space="preserve">[11] Chiang JYL. Bile acid metabolism and signaling in liver disease and therapy. Liver Res 1 (2017) 3–13.</w:t>
      </w:r>
    </w:p>
    <w:p>
      <w:pPr>
        <w:spacing w:after="100"/>
      </w:pPr>
      <w:r>
        <w:t xml:space="preserve">[12] Cani PD et al. Metabolic endotoxemia initiates obesity and insulin resistance. Diabetes 56 (2007) 1761–1772.</w:t>
      </w:r>
    </w:p>
    <w:p>
      <w:pPr>
        <w:spacing w:after="100"/>
      </w:pPr>
      <w:r>
        <w:t xml:space="preserve">[13] Schwarcz R et al. Kynurenines in the mammalian brain: when physiology meets pathology. Nat Rev Neurosci 13 (2012) 465–477.</w:t>
      </w:r>
    </w:p>
    <w:p>
      <w:pPr>
        <w:spacing w:after="100"/>
      </w:pPr>
      <w:r>
        <w:t xml:space="preserve">[14] Llovet JM et al. Hepatocellular carcinoma. Nat Rev Dis Primers 7 (2021) 6.</w:t>
      </w:r>
    </w:p>
    <w:p>
      <w:pPr>
        <w:spacing w:after="100"/>
      </w:pPr>
      <w:r>
        <w:t xml:space="preserve">[15] Ginhoux F &amp; Guilliams M. Tissue-resident macrophage ontogeny and homeostasis. Immunity 44 (2016) 439–449.</w:t>
      </w:r>
    </w:p>
    <w:p>
      <w:pPr>
        <w:spacing w:after="100"/>
      </w:pPr>
      <w:r>
        <w:t xml:space="preserve">[16] Harrison SA et al. A phase 3, randomized, controlled trial of resmetirom in NASH with liver fibrosis (MAESTRO-NASH). N Engl J Med 390 (2024) 497–509.</w:t>
      </w:r>
    </w:p>
    <w:p>
      <w:pPr>
        <w:spacing w:after="100"/>
      </w:pPr>
      <w:r>
        <w:t xml:space="preserve">[17] Pories WJ et al. Who would have thought it? An operation proves to be the most effective therapy for adult-onset diabetes mellitus. Ann Surg 222 (1995) 339–350.</w:t>
      </w:r>
    </w:p>
    <w:p>
      <w:pPr>
        <w:spacing w:after="100"/>
      </w:pPr>
      <w:r>
        <w:t xml:space="preserve">[18] Tremaroli V et al. Roux-en-Y gastric bypass and vertical banded gastroplasty induce long-term changes on the human gut microbiome contributing to fat mass regulation. Cell Metab 22 (2015) 228–238.</w:t>
      </w:r>
    </w:p>
    <w:p>
      <w:pPr>
        <w:spacing w:after="100"/>
      </w:pPr>
      <w:r>
        <w:t xml:space="preserve">[19] Sanyal AJ et al. Phase 3 trial of semaglutide in metabolic dysfunction-associated steatohepatitis (ESSENCE). N Engl J Med 392 (2025) 2089–2099.</w:t>
      </w:r>
    </w:p>
    <w:p>
      <w:pPr>
        <w:spacing w:after="100"/>
      </w:pPr>
      <w:r>
        <w:t xml:space="preserve">[20] Shaheen NJ &amp; Richter JE. Barrett’s oesophagus. Lancet 373 (2009) 850–861.</w:t>
      </w:r>
    </w:p>
    <w:p>
      <w:pPr>
        <w:spacing w:after="100"/>
      </w:pPr>
      <w:r>
        <w:t xml:space="preserve">[21] Buchwald H et al. Bariatric surgery: a systematic review and meta-analysis. JAMA 292 (2004) 1724–1737.</w:t>
      </w:r>
    </w:p>
    <w:p>
      <w:pPr>
        <w:spacing w:after="100"/>
      </w:pPr>
      <w:r>
        <w:t xml:space="preserve">[22] Gershon MD &amp; Tack J. The serotonin signaling system: from basic understanding to drug development for functional GI disorders. Gastroenterology 130 (2006) 1466–1479.</w:t>
      </w:r>
    </w:p>
    <w:p>
      <w:pPr>
        <w:spacing w:after="100"/>
      </w:pPr>
      <w:r>
        <w:t xml:space="preserve">[23] Hotamisligil GS. Inflammation, metaflammation and immunological metabolic disorders. Nature 542 (2017) 177–185.</w:t>
      </w:r>
    </w:p>
    <w:p>
      <w:pPr>
        <w:spacing w:after="100"/>
      </w:pPr>
      <w:r>
        <w:t xml:space="preserve">[24] Boeckxstaens GE. The lower oesophageal sphincter. Neurogastroenterol Motil 17 Suppl 1 (2005) 13–21.</w:t>
      </w:r>
    </w:p>
    <w:p>
      <w:pPr>
        <w:spacing w:after="100"/>
      </w:pPr>
      <w:r>
        <w:t xml:space="preserve">[25] Qin L et al. Systemic LPS causes chronic neuroinflammation and progressive neurodegeneration. Glia 55 (2007) 453–462.</w:t>
      </w:r>
    </w:p>
    <w:p>
      <w:pPr>
        <w:spacing w:after="100"/>
      </w:pPr>
      <w:r>
        <w:t xml:space="preserve">[26] Donovan CM &amp; Watts AG. Peripheral and central glucose sensing in hypoglycemic detection. Obesity 22 Suppl 2 (2014) S3–S8.</w:t>
      </w:r>
    </w:p>
    <w:p>
      <w:pPr>
        <w:spacing w:after="100"/>
      </w:pPr>
      <w:r>
        <w:t xml:space="preserve">[27] Bailey MT et al. Exposure to a social stressor alters the structure of the intestinal microbiota. Brain Behav Immun 25 (2011) 397–407.</w:t>
      </w:r>
    </w:p>
    <w:p>
      <w:pPr>
        <w:spacing w:after="100"/>
      </w:pPr>
      <w:r>
        <w:t xml:space="preserve">[28] Perkovic V et al. Canagliflozin and renal outcomes in type 2 diabetes and nephropathy (CREDENCE). N Engl J Med 380 (2019) 2295–2306.</w:t>
      </w:r>
    </w:p>
    <w:p>
      <w:pPr>
        <w:spacing w:after="100"/>
      </w:pPr>
      <w:r>
        <w:t xml:space="preserve">[29] Nguyen QD et al. Ranibizumab for diabetic macular edema. Ophthalmology 119 (2012) 789–801.</w:t>
      </w:r>
    </w:p>
    <w:p>
      <w:pPr>
        <w:spacing w:after="100"/>
      </w:pPr>
      <w:r>
        <w:t xml:space="preserve">[30] Frias JP et al. Tirzepatide versus semaglutide once weekly in patients with type 2 diabetes (SURPASS-2). N Engl J Med 385 (2021) 503–515.</w:t>
      </w:r>
    </w:p>
    <w:p>
      <w:pPr>
        <w:spacing w:after="100"/>
      </w:pPr>
      <w:r>
        <w:t xml:space="preserve">[31] Degen L et al. Effect of CCK and ghrelin on gut motility in healthy humans. Gut 56 (2007) 1424–1429.</w:t>
      </w:r>
    </w:p>
    <w:p>
      <w:pPr>
        <w:spacing w:after="100"/>
      </w:pPr>
      <w:r>
        <w:t xml:space="preserve">[32] Thomas C et al. TGR5-mediated bile acid sensing controls glucose homeostasis. Cell Metab 10 (2009) 167–177.</w:t>
      </w:r>
    </w:p>
    <w:p>
      <w:pPr>
        <w:spacing w:after="100"/>
      </w:pPr>
      <w:r>
        <w:t xml:space="preserve">[33] Wilding JPH et al. Once-weekly semaglutide in adults with overweight or obesity (STEP 1). N Engl J Med 384 (2021) 989–1002.</w:t>
      </w:r>
    </w:p>
    <w:p>
      <w:pPr>
        <w:spacing w:after="100"/>
      </w:pPr>
      <w:r>
        <w:t xml:space="preserve">[34] Jastreboff AM et al. Tirzepatide once weekly for the treatment of obesity (SURMOUNT-1). N Engl J Med 387 (2022) 205–216.</w:t>
      </w:r>
    </w:p>
    <w:p>
      <w:pPr>
        <w:spacing w:after="100"/>
      </w:pPr>
      <w:r>
        <w:t xml:space="preserve">[35] Tordoff MG &amp; Friedman MI. Hepatic portal glucose infusions decrease food intake and increase food preference. Am J Physiol 251 (1986) R192–R196.</w:t>
      </w:r>
    </w:p>
    <w:p>
      <w:pPr>
        <w:spacing w:after="80"/>
      </w:pPr>
      <w:r>
        <w:t xml:space="preserve"/>
      </w:r>
    </w:p>
    <w:p>
      <w:pPr>
        <w:jc w:val="center"/>
      </w:pPr>
      <w:r>
        <w:rPr>
          <w:i/>
          <w:iCs/>
        </w:rPr>
        <w:t xml:space="preserve">All papers in this series are unpublished drafts. Not yet peer reviewed. Internal reference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The Hepatic, Metabolic, and Gastrointestinal Systems — v1.1 — March 2026 — M. Finnegan ORCID 0009-0009-4921-7722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2026-03-15T20:54:52.046Z</dcterms:created>
  <dcterms:modified xsi:type="dcterms:W3CDTF">2026-03-15T20:54:52.046Z</dcterms:modified>
</cp:coreProperties>
</file>

<file path=docProps/custom.xml><?xml version="1.0" encoding="utf-8"?>
<Properties xmlns="http://schemas.openxmlformats.org/officeDocument/2006/custom-properties" xmlns:vt="http://schemas.openxmlformats.org/officeDocument/2006/docPropsVTypes"/>
</file>