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The Endocrine System as a Distributed Detection Architecture</w:t>
      </w:r>
    </w:p>
    <w:p>
      <w:pPr>
        <w:spacing w:after="100"/>
        <w:jc w:val="center"/>
      </w:pPr>
      <w:r>
        <w:rPr>
          <w:rFonts w:ascii="Arial" w:cs="Arial" w:eastAsia="Arial" w:hAnsi="Arial"/>
          <w:i/>
          <w:iCs/>
          <w:sz w:val="24"/>
          <w:szCs w:val="24"/>
        </w:rPr>
        <w:t xml:space="preserve">Axes, Cross-Axis Interactions, and the Integrated Hormonal Operating System</w:t>
      </w:r>
    </w:p>
    <w:p>
      <w:pPr>
        <w:spacing w:after="60"/>
        <w:jc w:val="center"/>
      </w:pPr>
      <w:r>
        <w:rPr>
          <w:rFonts w:ascii="Arial" w:cs="Arial" w:eastAsia="Arial" w:hAnsi="Arial"/>
          <w:b/>
          <w:bCs/>
          <w:sz w:val="22"/>
          <w:szCs w:val="22"/>
        </w:rPr>
        <w:t xml:space="preserve">M. Finnegan</w:t>
      </w:r>
    </w:p>
    <w:p>
      <w:pPr>
        <w:spacing w:after="240"/>
        <w:jc w:val="center"/>
      </w:pPr>
      <w:r>
        <w:rPr>
          <w:rFonts w:ascii="Arial" w:cs="Arial" w:eastAsia="Arial" w:hAnsi="Arial"/>
          <w:color w:val="888888"/>
          <w:sz w:val="18"/>
          <w:szCs w:val="18"/>
        </w:rPr>
        <w:t xml:space="preserve">v1.1 — March 2026 — Unpublished draft, not yet peer reviewed</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i/>
                <w:iCs/>
                <w:sz w:val="20"/>
                <w:szCs w:val="20"/>
              </w:rPr>
              <w:t xml:space="preserve">Article Scope and Companion References: This paper is an integrative review proposing a functional framework for the endocrine system organized around five coupled feedback axes and their cross-axis interactions. Brain-interface effects of each hormone are covered in a companion reference (The Brain-Body System: A Unified Reference for Medicine, BrainBody v1.3) and cited here rather than duplicated. The five-operation decomposition (Propagation, Gating, Detection, Accumulation, Refinement) is used as an organizing device to locate control logic within each axis — it is an analytical scaffold, not a theoretical claim. Evidence confidence tiers are specified at the end of §1.</w:t>
            </w:r>
          </w:p>
        </w:tc>
      </w:tr>
    </w:tbl>
    <w:p>
      <w:pPr>
        <w:spacing w:after="80"/>
      </w:pPr>
      <w:r>
        <w:t xml:space="preserve"/>
      </w:r>
    </w:p>
    <w:p>
      <w:pPr>
        <w:pStyle w:val="Heading1"/>
      </w:pPr>
      <w:r>
        <w:t xml:space="preserve">Abstract</w:t>
      </w:r>
    </w:p>
    <w:p>
      <w:pPr>
        <w:spacing w:after="120"/>
      </w:pPr>
      <w:r>
        <w:t xml:space="preserve">Endocrine physiology is routinely organized by anatomical source — thyroid, adrenal, gonad, pancreas. This scheme identifies effector organs but does not describe the control topology. Describing the endocrine system as a set of independent glands obscures the feedback architecture within each axis and the cross-axis coupling that determines the actual hormonal operating state.</w:t>
      </w:r>
    </w:p>
    <w:p>
      <w:pPr>
        <w:spacing w:after="120"/>
      </w:pPr>
      <w:r>
        <w:t xml:space="preserve">This paper proposes a five-axis functional framework: HPA, HPG, HPT, metabolic (pancreatic islets), and circadian (SCN-pineal). Each axis is analyzed as a negative feedback detection system using five operations — propagation, gating, detection, accumulation, and refinement — used here as an analytical scaffold rather than a theoretical claim. The five axes share relay infrastructure and receptor populations, and regulate each other's sensitivity through direct molecular mechanisms.</w:t>
      </w:r>
    </w:p>
    <w:p>
      <w:pPr>
        <w:spacing w:after="120"/>
      </w:pPr>
      <w:r>
        <w:t xml:space="preserve">The paper's primary contribution is the cross-axis interaction map and the identification of multi-axis failure cascades that emerge from coupling. Clinical presentations that appear single-axis — functional hypogonadism under chronic stress, euthyroid sick syndrome, metabolic-cognitive decline — are shown to reflect propagation through the interaction network rather than isolated axis failure. Evidence confidence is tiered throughout; cross-axis mechanisms with only rodent support and integrative cascade hypotheses are distinguished from established consensus.</w:t>
      </w:r>
    </w:p>
    <w:p>
      <w:pPr>
        <w:spacing w:after="80"/>
      </w:pPr>
      <w:r>
        <w:t xml:space="preserve"/>
      </w:r>
    </w:p>
    <w:p>
      <w:pPr>
        <w:pStyle w:val="Heading1"/>
      </w:pPr>
      <w:r>
        <w:t xml:space="preserve">§1 — The Endocrine System as Coupled Feedback Axes</w:t>
      </w:r>
    </w:p>
    <w:p>
      <w:pPr>
        <w:spacing w:after="120"/>
      </w:pPr>
      <w:r>
        <w:t xml:space="preserve">The endocrine system is commonly described in terms of its anatomical components: the thyroid gland produces thyroid hormone; the adrenal gland produces cortisol; the gonads produce sex steroids. This description accurately identifies the effector organs but does not capture the control topology.</w:t>
      </w:r>
    </w:p>
    <w:p>
      <w:pPr>
        <w:spacing w:after="120"/>
      </w:pPr>
      <w:r>
        <w:t xml:space="preserve">Three classical axes share a common organization: a hypothalamic releasing hormone drives pituitary secretion, which drives peripheral gland output, which feeds back to suppress the hypothalamic and pituitary nodes. The effector gland is the output stage of the axis, not the system itself [1, 2]. Two additional axes — the metabolic axis (pancreatic islets) and the circadian axis (SCN-pineal) — implement the same functional organization (sensor, error signal, effector, feedback) through different anatomical substrates that bypass the pituitary entirely.</w:t>
      </w:r>
    </w:p>
    <w:p>
      <w:pPr>
        <w:spacing w:after="120"/>
      </w:pPr>
      <w:r>
        <w:t xml:space="preserve">The five axes covered here:</w:t>
      </w:r>
    </w:p>
    <w:p>
      <w:pPr>
        <w:pStyle w:val="ListParagraph"/>
        <w:numPr>
          <w:ilvl w:val="0"/>
          <w:numId w:val="2"/>
        </w:numPr>
        <w:spacing w:after="80"/>
      </w:pPr>
      <w:r>
        <w:t xml:space="preserve">HPA: CRH (PVN) → ACTH (corticotrophs) → cortisol (adrenal ZF) → GR feedback at hippocampus, PVN, and pituitary</w:t>
      </w:r>
    </w:p>
    <w:p>
      <w:pPr>
        <w:pStyle w:val="ListParagraph"/>
        <w:numPr>
          <w:ilvl w:val="0"/>
          <w:numId w:val="2"/>
        </w:numPr>
        <w:spacing w:after="80"/>
      </w:pPr>
      <w:r>
        <w:t xml:space="preserve">HPG: GnRH (ARC/AVPV) → LH/FSH (gonadotrophs) → sex steroids (gonad) → ER/AR feedback at hypothalamus and pituitary</w:t>
      </w:r>
    </w:p>
    <w:p>
      <w:pPr>
        <w:pStyle w:val="ListParagraph"/>
        <w:numPr>
          <w:ilvl w:val="0"/>
          <w:numId w:val="2"/>
        </w:numPr>
        <w:spacing w:after="80"/>
      </w:pPr>
      <w:r>
        <w:t xml:space="preserve">HPT: TRH (PVN) → TSH (thyrotrophs) → T4/T3 (thyroid follicular cells) → TR feedback at hypothalamus and pituitary</w:t>
      </w:r>
    </w:p>
    <w:p>
      <w:pPr>
        <w:pStyle w:val="ListParagraph"/>
        <w:numPr>
          <w:ilvl w:val="0"/>
          <w:numId w:val="2"/>
        </w:numPr>
        <w:spacing w:after="80"/>
      </w:pPr>
      <w:r>
        <w:t xml:space="preserve">Metabolic: Portal glucose → insulin/glucagon (pancreatic islets) → peripheral glucose uptake → blood glucose feedback to islets directly</w:t>
      </w:r>
    </w:p>
    <w:p>
      <w:pPr>
        <w:pStyle w:val="ListParagraph"/>
        <w:numPr>
          <w:ilvl w:val="0"/>
          <w:numId w:val="2"/>
        </w:numPr>
        <w:spacing w:after="80"/>
      </w:pPr>
      <w:r>
        <w:t xml:space="preserve">Circadian: Environmental light-dark → ipRGCs → SCN → sympathetic NE → melatonin (pineal) → MT1 feedback at SCN</w:t>
      </w:r>
    </w:p>
    <w:p>
      <w:pPr>
        <w:spacing w:after="80"/>
      </w:pPr>
      <w:r>
        <w:t xml:space="preserve"/>
      </w:r>
    </w:p>
    <w:p>
      <w:pPr>
        <w:spacing w:after="120"/>
      </w:pPr>
      <w:r>
        <w:t xml:space="preserve">These five axes share relay infrastructure (hypothalamus, pituitary, hippocampus) and compete for the same receptor populations at multiple sites. Perturbation of any single axis can propagate to others through these shared nodes [3,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rPr>
          <w:tblHeader/>
        </w:trPr>
        <w:tc>
          <w:tcPr>
            <w:tcW w:type="dxa" w:w="93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200"/>
            </w:tcMar>
          </w:tcPr>
          <w:p>
            <w:r>
              <w:rPr>
                <w:b/>
                <w:bCs/>
                <w:color w:val="FFFFFF"/>
                <w:sz w:val="22"/>
                <w:szCs w:val="22"/>
              </w:rPr>
              <w:t xml:space="preserve">Evidence Tiers — Scope and Confidence of Claims</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Note: These tiers reflect the confidence with which claims are used within this review. They are not a formal evidence-grading system (e.g., GRADE) and should not be read as one. Reviewers may reasonably disagree on individual assignments.</w:t>
            </w:r>
          </w:p>
          <w:p>
            <w:pPr>
              <w:spacing w:after="40"/>
            </w:pPr>
            <w:r>
              <w:rPr>
                <w:sz w:val="20"/>
                <w:szCs w:val="20"/>
              </w:rPr>
              <w:t xml:space="preserve"/>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Tier A — Established consensus (well-replicated, textbook-level):</w:t>
            </w:r>
          </w:p>
          <w:p>
            <w:pPr>
              <w:spacing w:after="40"/>
            </w:pPr>
            <w:r>
              <w:rPr>
                <w:sz w:val="20"/>
                <w:szCs w:val="20"/>
              </w:rPr>
              <w:t xml:space="preserve">HPA negative feedback via hippocampal GR; cortisol inhibition of D1 deiodinase producing rT3; SHBG as HPG-HPT bridge; beta cell two-phase insulin secretion with incretin amplification accounting for 50-70% of oral glucose response; melatonin as photoperiod signal via SCN.</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Tier B — Cross-axis mechanisms with direct experimental support:</w:t>
            </w:r>
          </w:p>
          <w:p>
            <w:pPr>
              <w:spacing w:after="40"/>
            </w:pPr>
            <w:r>
              <w:rPr>
                <w:sz w:val="20"/>
                <w:szCs w:val="20"/>
              </w:rPr>
              <w:t xml:space="preserve">Glucocorticoid suppression of Kiss1 in ARC KNDy neurons (mouse, [47]) — Tier A in mechanistic principle, Tier B in human translation; estradiol modulation of hippocampal GR sensitivity (rodent and human); brain-local estradiol synthesis via aromatase; estrous cycle effects on hippocampal spine density (mouse in vivo, [14]); human MTL volume changes across menstrual cycle (7T MRI, [13]); TPH2-E2 relationship in raphe (non-human primate, [48]); ZI TRα1 modulation of glucocorticoid output (mouse, [23]); alpha-to-beta islet paracrine loop (mouse and human islets, [30]); brain insulin resistance in T2D and Alzheimer's disease ([33]); CSF melatonin reduction in preclinical AD ([38, 39]).</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Tier C — Emerging findings or integrative hypotheses (preprint, single study, or extrapolated from animal models):</w:t>
            </w:r>
          </w:p>
          <w:p>
            <w:pPr>
              <w:spacing w:after="40"/>
            </w:pPr>
            <w:r>
              <w:rPr>
                <w:sz w:val="20"/>
                <w:szCs w:val="20"/>
              </w:rPr>
              <w:t xml:space="preserve">Pineal volume heritability and melatonin output (2025 preprint GWAS, [35]); MT1-Slo1 BK channel mechanism for SCN hyperpolarization (2025 preprint, [36]); melatonin metabolite AMK facilitating memory consolidation (mouse only, [40]); ZI TRα1 cross-axis link awaits human validation [23]; the cross-axis failure cascade framework (§4) is an integrative synthesis — each component is supported, but the cascades as unified clinical patterns are proposed rather than directly measured.</w:t>
            </w:r>
          </w:p>
        </w:tc>
      </w:tr>
    </w:tbl>
    <w:p>
      <w:pPr>
        <w:spacing w:after="80"/>
      </w:pPr>
      <w:r>
        <w:t xml:space="preserve"/>
      </w:r>
    </w:p>
    <w:p>
      <w:pPr>
        <w:pStyle w:val="Heading1"/>
      </w:pPr>
      <w:r>
        <w:t xml:space="preserve">§2 — Detection Architecture of Each Axis</w:t>
      </w:r>
    </w:p>
    <w:p>
      <w:pPr>
        <w:spacing w:after="120"/>
      </w:pPr>
      <w:r>
        <w:t xml:space="preserve">Each axis is organized below using five operations: Propagation (what transmits the signal), Gating (what controls passage or threshold), Detection (what measures deviation or error), Accumulation (what integrates over time or chronic state), and Refinement (what updates the structure itself). This decomposition is used as an analytical scaffold for locating control logic and identifying coupling points; it does not represent a theoretical claim beyond the established biology described. Tier A claims are established consensus; Tier B claims have direct experimental support as noted; Tier C findings are flagged at point of use.</w:t>
      </w:r>
    </w:p>
    <w:p>
      <w:pPr>
        <w:spacing w:after="80"/>
      </w:pPr>
      <w:r>
        <w:t xml:space="preserve"/>
      </w:r>
    </w:p>
    <w:p>
      <w:pPr>
        <w:pStyle w:val="Heading2"/>
      </w:pPr>
      <w:r>
        <w:t xml:space="preserve">§2.1 — The HPA Axis</w:t>
      </w:r>
    </w:p>
    <w:p>
      <w:pPr>
        <w:spacing w:after="120"/>
      </w:pPr>
      <w:r>
        <w:t xml:space="preserve">The HPA axis is a central stress-response detection system. Its sensor is the paraventricular nucleus (PVN), which integrates threat signals from the brainstem, amygdala, and sensory cortex. Its error signal is CRH, which drives ACTH, which drives cortisol. Its feedback is glucocorticoid receptor (GR) signaling at the hippocampus, PVN, and pituitary, suppressing CRH and ACTH secretion when cortisol rises [5].</w:t>
      </w:r>
    </w:p>
    <w:p>
      <w:pPr>
        <w:spacing w:after="120"/>
      </w:pPr>
      <w:r>
        <w:t xml:space="preserve">Propagation: CRH is released from PVN into the portal blood in pulses synchronized to the circadian rhythm. ACTH is released from corticotrophs in approximately 15-20 pulses per day, superimposed on a diurnal peak at waking [5, 6].</w:t>
      </w:r>
    </w:p>
    <w:p>
      <w:pPr>
        <w:spacing w:after="120"/>
      </w:pPr>
      <w:r>
        <w:t xml:space="preserve">Gating: The hippocampus provides a major inhibitory gate on HPA axis activity via GR-mediated negative feedback. Hippocampal GR activation suppresses PVN CRH expression. Hippocampal GR sensitivity is regulated by estradiol (via ER-alpha) [7] and testosterone [8], making HPA feedback gain dependent on HPG axis status. A cross-axis link from the HPT axis to glucocorticoid output is described in §2.3 [23].</w:t>
      </w:r>
    </w:p>
    <w:p>
      <w:pPr>
        <w:spacing w:after="120"/>
      </w:pPr>
      <w:r>
        <w:t xml:space="preserve">Detection: The HPA axis detects psychological threat (amygdala → PVN), immune signals (IL-6, TNF-alpha → PVN), hypoglycemia (arcuate nucleus glucose sensors → PVN), and circadian phase (SCN → PVN) [9] — a point of convergence for multiple deviation signals.</w:t>
      </w:r>
    </w:p>
    <w:p>
      <w:pPr>
        <w:spacing w:after="120"/>
      </w:pPr>
      <w:r>
        <w:t xml:space="preserve">Accumulation: Chronic stress produces lasting changes in GR density, CRH mRNA expression, and hippocampal volume. A major accumulation state is GR desensitization: chronic cortisol → GR downregulation → reduced hippocampal feedback → HPA hyperactivation — a positive feedback loop that sustains the chronic stress phenotype. Prolonged ACTH also drives adrenal hypertrophy, increasing cortisol response capacity [10].</w:t>
      </w:r>
    </w:p>
    <w:p>
      <w:pPr>
        <w:spacing w:after="120"/>
      </w:pPr>
      <w:r>
        <w:t xml:space="preserve">Refinement: The diurnal cortisol rhythm is calibrated nightly during slow-wave sleep, when the circadian cortisol nadir coincides with the melatonin window, allowing GR-mediated feedback sensitivity to recover [11, 34]. Chronic sleep disruption prevents this recalibration and progressively degrades HPA setpoint accuracy [11].</w:t>
      </w:r>
    </w:p>
    <w:p>
      <w:pPr>
        <w:spacing w:after="80"/>
      </w:pPr>
      <w:r>
        <w:t xml:space="preserve"/>
      </w:r>
    </w:p>
    <w:p>
      <w:pPr>
        <w:pStyle w:val="Heading2"/>
      </w:pPr>
      <w:r>
        <w:t xml:space="preserve">§2.2 — The HPG Axis</w:t>
      </w:r>
    </w:p>
    <w:p>
      <w:pPr>
        <w:spacing w:after="120"/>
      </w:pPr>
      <w:r>
        <w:t xml:space="preserve">The HPG axis regulates reproductive function and sex steroid production. HPG-derived steroids also function as modulators of central nervous system parameters: estradiol modulates hippocampal dendritic spine density (20-30% variation across the estrous cycle in mice [14]; structural correlates across the menstrual cycle documented in humans [13]) and glucocorticoid receptor sensitivity [7]; progesterone's metabolite allopregnanolone (ALLO) modulates GABA-A tonic inhibition and NREM sleep depth [43].</w:t>
      </w:r>
    </w:p>
    <w:p>
      <w:pPr>
        <w:spacing w:after="120"/>
      </w:pPr>
      <w:r>
        <w:t xml:space="preserve">Propagation: GnRH is secreted from the arcuate nucleus (ARC) in pulses, with pulse frequency encoding the LH/FSH ratio. High frequency (approximately one pulse per hour) drives LH dominance; low frequency drives FSH dominance. The KNDy neuron circuit in the ARC generates these pulses: NKB initiates each pulse, dynorphin terminates it [15]. The ovulatory LH surge is driven by positive feedback from AVPV kisspeptin following sustained preovulatory estradiol elevation [16].</w:t>
      </w:r>
    </w:p>
    <w:p>
      <w:pPr>
        <w:spacing w:after="120"/>
      </w:pPr>
      <w:r>
        <w:t xml:space="preserve">Gating: The primary gate is kisspeptin sensitivity to estradiol: at the ARC, estradiol provides negative feedback to suppress GnRH pulse frequency; at the AVPV, estradiol provides positive feedback to drive the LH surge — opposite effects from the same hormone acting on anatomically distinct kisspeptin populations [16]. In mouse models, glucocorticoids suppress kisspeptin expression in hypothalamic KNDy neurons [47], providing one mechanism through which chronic stress may reduce GnRH pulsatility in humans [3].</w:t>
      </w:r>
    </w:p>
    <w:p>
      <w:pPr>
        <w:spacing w:after="120"/>
      </w:pPr>
      <w:r>
        <w:t xml:space="preserve">Detection: The HPG axis detects body energy state (leptin acts via upstream hypothalamic neurons, including kisspeptin populations, to regulate GnRH pulsatility: leptin deficiency → suppressed GnRH pulsatility and anovulation [17]), immune signals (cytokines suppress GnRH pulsatility during illness [18]), and circadian phase (melatonin duration encodes season in photoperiodic species; attenuated but present in humans [19]).</w:t>
      </w:r>
    </w:p>
    <w:p>
      <w:pPr>
        <w:spacing w:after="120"/>
      </w:pPr>
      <w:r>
        <w:t xml:space="preserve">Accumulation: The most clinically prominent accumulation event is menopause: progressive follicle depletion reduces estradiol output, initially with volatility (perimenopause) before collapse. Estradiol variability during perimenopause is proposed as a contributor to the depression risk window during this transition, with hormone volatility rather than deficiency alone as a driver [12, 50]. In males, Leydig cell decline produces andropause: a progressive reduction in testosterone output beginning in the third decade and continuing at an approximately age-invariant rate, with total testosterone declining approximately 1% per year and free testosterone falling faster due to rising SHBG [20].</w:t>
      </w:r>
    </w:p>
    <w:p>
      <w:pPr>
        <w:spacing w:after="120"/>
      </w:pPr>
      <w:r>
        <w:t xml:space="preserve">Refinement: In females, the brain synthesizes estradiol via aromatase expressed in hippocampus, hypothalamus, and limbic cortex. Brain-local estradiol is not eliminated by gonadectomy, providing cycle-independent hormonal tone that partially buffers the synaptic effects of peripheral estradiol fluctuations [45].</w:t>
      </w:r>
    </w:p>
    <w:p>
      <w:pPr>
        <w:spacing w:after="80"/>
      </w:pPr>
      <w:r>
        <w:t xml:space="preserve"/>
      </w:r>
    </w:p>
    <w:p>
      <w:pPr>
        <w:pStyle w:val="Heading2"/>
      </w:pPr>
      <w:r>
        <w:t xml:space="preserve">§2.3 — The HPT Axis</w:t>
      </w:r>
    </w:p>
    <w:p>
      <w:pPr>
        <w:spacing w:after="120"/>
      </w:pPr>
      <w:r>
        <w:t xml:space="preserve">The HPT axis regulates metabolic rate and thermogenesis. Its brain effects are mediated not by plasma T4 or T3 but by local T3 availability set by cell-type-specific deiodinase expression — making thyroid function a regionally heterogeneous property of the brain rather than a single systemic parameter [21, 22].</w:t>
      </w:r>
    </w:p>
    <w:p>
      <w:pPr>
        <w:spacing w:after="120"/>
      </w:pPr>
      <w:r>
        <w:t xml:space="preserve">Propagation: TRH drives TSH from thyrotrophs. TSH drives T4 synthesis and release. T4 is the predominant circulating form (~90%); T3 is the biologically active form. Conversion of T4 to T3 by D1 deiodinase occurs peripherally (liver, kidney). In the brain, D2 (tanycytes, astrocytes) converts T4 to T3 locally; D3 inactivates T3 to rT3 [22]. Each brain region's T3 availability is therefore set by its local D2 activity, not by plasma levels.</w:t>
      </w:r>
    </w:p>
    <w:p>
      <w:pPr>
        <w:spacing w:after="120"/>
      </w:pPr>
      <w:r>
        <w:t xml:space="preserve">Gating: D2 heterogeneity means different brain regions operate under different thyroid hormone states. Tanycytes in the hypothalamus have high D2 activity; cortical astrocytes have lower. D3 in raphe nuclei and immature amygdala provides local T3 inactivation. In rodent models, TRalpha1 signaling in the zona incerta modulates glucocorticoid output: inhibition of ZI TRalpha1 produces approximately 3-fold elevation of serum corticosterone, indicating an HPT-to-HPA cross-axis link that awaits human validation [23].</w:t>
      </w:r>
    </w:p>
    <w:p>
      <w:pPr>
        <w:spacing w:after="120"/>
      </w:pPr>
      <w:r>
        <w:t xml:space="preserve">Detection: TSH responds to both free T4 and T3 with high sensitivity to small changes near setpoint. The population TSH reference range spans approximately one order of magnitude (0.4-4.0 mIU/L), while individual setpoints cluster considerably more tightly within that range. Population-level reference ranges may therefore not identify suboptimal T3 delivery in individuals with low-normal setpoints [24].</w:t>
      </w:r>
    </w:p>
    <w:p>
      <w:pPr>
        <w:spacing w:after="120"/>
      </w:pPr>
      <w:r>
        <w:t xml:space="preserve">Accumulation: Chronic cortisol inhibits D1 deiodinase activity, redirecting T4 conversion toward rT3 (inactive) rather than T3 (active) [25, 26]. This produces a functional hypothyroid state without TSH changes — the euthyroid sick syndrome pattern — and represents a cross-axis mechanism by which sustained HPA activation depletes brain T3 availability.</w:t>
      </w:r>
    </w:p>
    <w:p>
      <w:pPr>
        <w:spacing w:after="120"/>
      </w:pPr>
      <w:r>
        <w:t xml:space="preserve">Refinement: The DIO2 Thr92Ala polymorphism was first characterized in the context of insulin resistance [27] and is carried by approximately 12-15% of the population (at least one copy) [28]. Some studies show impaired brain T3 restoration on levothyroxine monotherapy in carriers, though evidence for clinical impact is mixed [28].</w:t>
      </w:r>
    </w:p>
    <w:p>
      <w:pPr>
        <w:spacing w:after="80"/>
      </w:pPr>
      <w:r>
        <w:t xml:space="preserve"/>
      </w:r>
    </w:p>
    <w:p>
      <w:pPr>
        <w:pStyle w:val="Heading2"/>
      </w:pPr>
      <w:r>
        <w:t xml:space="preserve">§2.4 — The Metabolic Axis (Pancreatic Islets)</w:t>
      </w:r>
    </w:p>
    <w:p>
      <w:pPr>
        <w:spacing w:after="120"/>
      </w:pPr>
      <w:r>
        <w:t xml:space="preserve">The pancreatic islets implement a glucose-to-hormone transduction system with three cell types in a coordinated paracrine circuit. The standard description — beta cells produce insulin, alpha cells produce glucagon, the two oppose each other — does not fully capture the paracrine circuit architecture. Evidence from mouse and human islet studies indicates that alpha cell glucagon appears necessary for normal insulin secretion, acting as a paracrine primer rather than solely an opposing hormone [29, 30].</w:t>
      </w:r>
    </w:p>
    <w:p>
      <w:pPr>
        <w:spacing w:after="120"/>
      </w:pPr>
      <w:r>
        <w:t xml:space="preserve">Propagation: Beta cell insulin secretion operates in two phases. Phase 1 (triggering) is driven by glucose-induced KATP closure, membrane depolarization, and Ca2+ spike — a rapid burst within the first few minutes of glucose stimulation. Phase 2 (amplifying) is driven by metabolic amplification (pyruvate anaplerosis) and incretin amplification: GLP-1 and GIP secreted by gut L-cells and K-cells account for 50-70% of the total insulin response to oral glucose [29]. The gut therefore forms an important component of the glucose detection circuit.</w:t>
      </w:r>
    </w:p>
    <w:p>
      <w:pPr>
        <w:spacing w:after="120"/>
      </w:pPr>
      <w:r>
        <w:t xml:space="preserve">Gating: Alpha cell glucagon acts via GCG-R on beta cells to prime insulin secretion via an intra-islet paracrine loop: alpha-to-beta cell structural contacts increase under metabolic stress and their disruption reduces beta cell Ca2+ coordination and insulin output [30]. Somatostatin from delta cells gates both alpha and beta cells via SSTR2/5. The islet functions as a three-node paracrine circuit.</w:t>
      </w:r>
    </w:p>
    <w:p>
      <w:pPr>
        <w:spacing w:after="120"/>
      </w:pPr>
      <w:r>
        <w:t xml:space="preserve">Detection: Beta cells detect glucose via KATP conductance (half-maximal at approximately 3.5 mmol/L); GLP-1 shifts this detection threshold leftward. Hub cells — a subpopulation of beta cells with high metabolic activity and strong gap-junction coupling — coordinate Ca2+ oscillation timing across the islet. Hub cell dysfunction in early T2D produces desynchronized insulin pulses before beta cell mass is significantly reduced [31].</w:t>
      </w:r>
    </w:p>
    <w:p>
      <w:pPr>
        <w:spacing w:after="120"/>
      </w:pPr>
      <w:r>
        <w:t xml:space="preserve">Accumulation: Chronic hyperglycemia (glucotoxicity) combined with lipotoxicity produces ER stress → UPR → CHOP-mediated beta cell apoptosis. Beta cell mass can expand substantially in early compensatory response before progressive decompensation — a characteristic dynamic of T2D pathophysiology.</w:t>
      </w:r>
    </w:p>
    <w:p>
      <w:pPr>
        <w:spacing w:after="120"/>
      </w:pPr>
      <w:r>
        <w:t xml:space="preserve">Refinement: Brain insulin resistance — failure of brain insulin signaling despite peripheral hyperinsulinemia — develops from chronic insulin receptor desensitization at the blood-brain barrier and in hippocampal neurons. Brain insulin supports active synapse energy via GLUT4 mobilization [32]; brain insulin resistance degrades AMPA receptor trafficking, hippocampal LTP, and neurogenesis, linking metabolic disease to cognitive aging and Alzheimer's disease risk [33].</w:t>
      </w:r>
    </w:p>
    <w:p>
      <w:pPr>
        <w:spacing w:after="80"/>
      </w:pPr>
      <w:r>
        <w:t xml:space="preserve"/>
      </w:r>
    </w:p>
    <w:p>
      <w:pPr>
        <w:pStyle w:val="Heading2"/>
      </w:pPr>
      <w:r>
        <w:t xml:space="preserve">§2.5 — The Circadian Axis (SCN-Pineal)</w:t>
      </w:r>
    </w:p>
    <w:p>
      <w:pPr>
        <w:spacing w:after="120"/>
      </w:pPr>
      <w:r>
        <w:t xml:space="preserve">The SCN-pineal axis does not follow the hypothalamic-pituitary-gland topology — it has no hypothalamic releasing hormone and no pituitary relay. It is a photoperiod-to-melatonin transducer: environmental light-dark signal → retinal ipRGCs (melanopsin) → retinohypothalamic tract → SCN → sympathetic pathway → superior cervical ganglion → norepinephrine → pineal AANAT activation → melatonin synthesis. Melatonin is secreted into both blood and CSF (the pineal is adjacent to the third ventricle and lacks a blood-brain barrier), distributing the time signal to all cells simultaneously [34].</w:t>
      </w:r>
    </w:p>
    <w:p>
      <w:pPr>
        <w:spacing w:after="120"/>
      </w:pPr>
      <w:r>
        <w:t xml:space="preserve">Propagation: Melatonin is secreted only during the dark phase, with onset approximately 2 hours before habitual sleep time (DLMO — dim-light melatonin onset). Duration is season-dependent: approximately 8-10 hours in summer and 10-12 hours in winter at mid-latitudes. Pineal volume varies substantially between individuals and is estimated to be approximately 19% heritable — individuals with smaller pineals tend to have lower melatonin output and more daytime napping (Tier C: emerging evidence from a 2025 preprint GWAS requiring replication [35]).</w:t>
      </w:r>
    </w:p>
    <w:p>
      <w:pPr>
        <w:spacing w:after="120"/>
      </w:pPr>
      <w:r>
        <w:t xml:space="preserve">Gating: Melatonin acts on MT1 receptors on SCN neurons to hyperpolarize them, reducing SCN firing and enabling the circadian transition to sleep-phase physiology. Tier C: emerging evidence from a 2025 preprint indicates this hyperpolarization is mediated via Slo1 BK channel activation downstream of MT1 [36]. MT1 and MT2 receptors are expressed on non-overlapping neuronal populations [37]. Melatonin contributes to a multi-component sleep gate alongside orexin withdrawal and adenosine accumulation [49]; the full consolidation gate architecture is described in a companion reference.</w:t>
      </w:r>
    </w:p>
    <w:p>
      <w:pPr>
        <w:spacing w:after="120"/>
      </w:pPr>
      <w:r>
        <w:t xml:space="preserve">Detection: The SCN clock is self-sustaining (CLOCK/BMAL1 transcriptional-translational feedback loop with ~24h period) but requires daily light entrainment. Blue-spectrum light (460-480nm) via melanopsin is the primary zeitgeber. Melatonin phase-shifts the SCN via MT1, forming the mechanistic basis of chronotherapy for jet lag and circadian sleep-wake disorders [34].</w:t>
      </w:r>
    </w:p>
    <w:p>
      <w:pPr>
        <w:spacing w:after="120"/>
      </w:pPr>
      <w:r>
        <w:t xml:space="preserve">Accumulation: Pineal calcification increases with age, progressively reducing pinealocyte mass and melatonin output amplitude. CSF melatonin levels are substantially reduced in Alzheimer's disease compared to age-matched controls [38], and this reduction is detectable at preclinical Braak stages I-II, before cognitive symptoms appear — suggesting melatonin may be an early biomarker of pathology [39].</w:t>
      </w:r>
    </w:p>
    <w:p>
      <w:pPr>
        <w:spacing w:after="120"/>
      </w:pPr>
      <w:r>
        <w:t xml:space="preserve">Refinement: Tier C: Melatonin's metabolite AMK (N1-acetyl-5-methoxykynuramine) has been shown to facilitate long-term object memory consolidation in mice via nNOS inhibition, independent of MT1/MT2 receptors [40]. Human replication is pending.</w:t>
      </w:r>
    </w:p>
    <w:p>
      <w:pPr>
        <w:spacing w:after="80"/>
      </w:pPr>
      <w:r>
        <w:t xml:space="preserve"/>
      </w:r>
    </w:p>
    <w:p>
      <w:pPr>
        <w:pStyle w:val="Heading1"/>
      </w:pPr>
      <w:r>
        <w:t xml:space="preserve">§3 — The Cross-Axis Interaction Network</w:t>
      </w:r>
    </w:p>
    <w:p>
      <w:pPr>
        <w:spacing w:after="120"/>
      </w:pPr>
      <w:r>
        <w:t xml:space="preserve">The endocrine axes share relay structures (hypothalamus, pituitary, hippocampus), compete for receptor populations, and regulate each other's sensitivity via direct molecular mechanisms. The cross-axis interaction network helps determine the hormonal operating state — which is often not well predicted by any single axis in isolation.</w:t>
      </w:r>
    </w:p>
    <w:p>
      <w:pPr>
        <w:spacing w:after="80"/>
      </w:pPr>
      <w:r>
        <w:t xml:space="preserve"/>
      </w:r>
    </w:p>
    <w:p>
      <w:pPr>
        <w:spacing w:after="120"/>
      </w:pPr>
      <w:r>
        <w:t xml:space="preserve">Table 1 maps the primary cross-axis interactions, showing each axis as both a driver and a target. Rodent-derived mechanisms are noted where human evidence is lacking.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60"/>
        <w:gridCol w:w="1360"/>
        <w:gridCol w:w="1300"/>
        <w:gridCol w:w="1300"/>
        <w:gridCol w:w="264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Axis Driver</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HPA</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HPG</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HPT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Metabolic</w:t>
            </w:r>
          </w:p>
        </w:tc>
        <w:tc>
          <w:tcPr>
            <w:tcW w:type="dxa" w:w="2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Mechanism</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HPA (cortisol)</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Kisspeptin ↓ → GnRH ↓ (B-rodent)</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D1 inhibit → rT3 ↑, T3↓ (A)</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Hepatic glucose ↑, insulin demand ↑ (A)</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GR → ARC KNDy; deiodinase block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HPG (E2/T)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 sensitivity ↑ E2 → HPA blunting (B)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SHBG change → free T3/T4 (B)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E2 → insulin sensitivity ↑ (B); T excess (PCOS) → IR (A)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ER-alpha hippocampus; SHBG liver</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HPT (T3)</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ZI TRα1 → corticosterone ↑ (B-rodent)</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SHBG change → free E2/T (B)</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Beta-cell sensitization; GLUT4 expression (B)</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ZI TRα1 pathway; Nuclear TR → GLUT4 gene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Metabolic (insulin)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HPA axis compensatory demand ↑ (B)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Beta-cell protection, E2 (B); PCOS, T excess (A)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Thyroid demand adapts (B)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Cortisol → gluconeogenesis; insulin demand ↑ (A)</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Melatonin (pineal)</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Nocturnal HPA nadir → recalibration (B)</w:t>
            </w:r>
          </w:p>
        </w:tc>
        <w:tc>
          <w:tcPr>
            <w:tcW w:type="dxa" w:w="1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Seasonal HPG modulation, minor in humans (B)</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Minor in humans (B)</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Indirect insulin sensitivity improvement (C)</w:t>
            </w:r>
          </w:p>
        </w:tc>
        <w:tc>
          <w:tcPr>
            <w:tcW w:type="dxa" w:w="26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GR on pinealocytes; circadian gating</w:t>
            </w:r>
          </w:p>
        </w:tc>
      </w:tr>
    </w:tbl>
    <w:p>
      <w:pPr>
        <w:spacing w:after="80"/>
      </w:pPr>
      <w:r>
        <w:t xml:space="preserve"/>
      </w:r>
    </w:p>
    <w:p>
      <w:pPr>
        <w:spacing w:after="120"/>
        <w:jc w:val="center"/>
      </w:pPr>
      <w:r>
        <w:rPr>
          <w:i/>
          <w:iCs/>
          <w:color w:val="444444"/>
          <w:sz w:val="18"/>
          <w:szCs w:val="18"/>
        </w:rPr>
        <w:t xml:space="preserve">Table 1. Cross-axis interaction network. Cells show downstream consequence and primary molecular mechanism. Confidence markers: (A) established consensus; (B) directly supported, may include rodent evidence; (B-rodent) rodent-only, human translation pending; (C) emerging/preprint/synthetic.</w:t>
      </w:r>
    </w:p>
    <w:p>
      <w:pPr>
        <w:spacing w:after="80"/>
      </w:pPr>
      <w:r>
        <w:t xml:space="preserve"/>
      </w:r>
    </w:p>
    <w:p>
      <w:pPr>
        <w:pStyle w:val="Heading2"/>
      </w:pPr>
      <w:r>
        <w:t xml:space="preserve">§3.1 — Cortisol as a Broad Cross-Axis Suppressor</w:t>
      </w:r>
    </w:p>
    <w:p>
      <w:pPr>
        <w:spacing w:after="120"/>
      </w:pPr>
      <w:r>
        <w:t xml:space="preserve">Of the five axes, cortisol has broad cross-axis suppressive effects. Via glucocorticoid-mediated suppression of kisspeptin expression in ARC KNDy neurons (demonstrated in mouse models [47]), elevated cortisol reduces GnRH pulse frequency and amplitude, producing functional hypogonadism in chronic stress [3]. Via inhibition of D1 deiodinase activity, cortisol redirects T4 conversion toward rT3, producing functional hypothyroidism without TSH changes [25, 26]. Via glucocorticoid receptor activation in liver and adipose tissue, cortisol increases hepatic glucose output and peripheral insulin resistance, increasing metabolic demand on the pancreatic islets [41].</w:t>
      </w:r>
    </w:p>
    <w:p>
      <w:pPr>
        <w:spacing w:after="120"/>
      </w:pPr>
      <w:r>
        <w:t xml:space="preserve">The combined result is that sustained HPA activation produces a proposed multi-axis pattern: blunted reproductive function, reduced T3 availability, elevated insulin demand, and disrupted melatonin onset (inferred via sympathetic arousal pathway — see §3.4). This constellation may contribute to recognizable patterns in burnout, PTSD, and chronic illness, though it spans specialties that do not typically communicate with each other — and the combined multi-axis framing is a synthesis rather than an independently validated syndrome.</w:t>
      </w:r>
    </w:p>
    <w:p>
      <w:pPr>
        <w:spacing w:after="80"/>
      </w:pPr>
      <w:r>
        <w:t xml:space="preserve"/>
      </w:r>
    </w:p>
    <w:p>
      <w:pPr>
        <w:pStyle w:val="Heading2"/>
      </w:pPr>
      <w:r>
        <w:t xml:space="preserve">§3.2 — Estradiol as HPA Feedback Gain Modulator</w:t>
      </w:r>
    </w:p>
    <w:p>
      <w:pPr>
        <w:spacing w:after="120"/>
      </w:pPr>
      <w:r>
        <w:t xml:space="preserve">Estradiol modulates HPA axis sensitivity via ER-alpha on hippocampal neurons that express glucocorticoid receptors. Estradiol increases GR sensitivity in the hippocampus, strengthening the negative feedback brake on the HPA axis [7]. The high-estradiol preovulatory phase is associated with better HPA regulation; low-estradiol phases (menses, perimenopause) are associated with more variable cortisol responses to the same stressor.</w:t>
      </w:r>
    </w:p>
    <w:p>
      <w:pPr>
        <w:spacing w:after="120"/>
      </w:pPr>
      <w:r>
        <w:t xml:space="preserve">This E2-GR relationship provides one pathway through which estradiol loss or volatility may contribute to elevated rates of depression and anxiety during menstrual transitions, perimenopause, and postpartum [12, 50]. Serotonin changes (via E2 effects on TPH2 expression in raphe neurons, demonstrated in non-human primate models [48]) and ALLO withdrawal are likely parallel contributors, and the relative weights of these mechanisms in humans are not established.</w:t>
      </w:r>
    </w:p>
    <w:p>
      <w:pPr>
        <w:spacing w:after="80"/>
      </w:pPr>
      <w:r>
        <w:t xml:space="preserve"/>
      </w:r>
    </w:p>
    <w:p>
      <w:pPr>
        <w:pStyle w:val="Heading2"/>
      </w:pPr>
      <w:r>
        <w:t xml:space="preserve">§3.3 — SHBG as the HPG-HPT Bridge</w:t>
      </w:r>
    </w:p>
    <w:p>
      <w:pPr>
        <w:spacing w:after="120"/>
      </w:pPr>
      <w:r>
        <w:t xml:space="preserve">Sex hormone-binding globulin (SHBG) is produced by the liver under regulation from thyroid hormone. T3 increases SHBG production; hypothyroidism reduces SHBG. Because only free (unbound) sex steroids are biologically active, SHBG levels determine effective sex steroid delivery to tissue receptors regardless of total circulating levels. Hypothyroidism therefore produces elevated free sex steroids via SHBG reduction, even when total levels appear normal — a mechanism that contributes to the menstrual irregularity and altered androgen sensitivity commonly observed in thyroid dysfunction [42].</w:t>
      </w:r>
    </w:p>
    <w:p>
      <w:pPr>
        <w:spacing w:after="80"/>
      </w:pPr>
      <w:r>
        <w:t xml:space="preserve"/>
      </w:r>
    </w:p>
    <w:p>
      <w:pPr>
        <w:pStyle w:val="Heading2"/>
      </w:pPr>
      <w:r>
        <w:t xml:space="preserve">§3.4 — Melatonin as the Nocturnal Gating Signal</w:t>
      </w:r>
    </w:p>
    <w:p>
      <w:pPr>
        <w:spacing w:after="120"/>
      </w:pPr>
      <w:r>
        <w:t xml:space="preserve">Melatonin onset gates the nocturnal recalibration of the HPA axis: during the melatonin window, cortisol is at nadir and GR-mediated feedback sensitivity recovers, re-establishing the HPA setpoint for the following day during slow-wave sleep [11]. Disruption of melatonin onset (chronic light exposure, shift work) prevents this recalibration.</w:t>
      </w:r>
    </w:p>
    <w:p>
      <w:pPr>
        <w:spacing w:after="120"/>
      </w:pPr>
      <w:r>
        <w:t xml:space="preserve">Similarly, melatonin onset, by enabling the sleep window within which NREM-dependent GnRH pulsatility occurs, supports morning testosterone production in males. Sleep disruption reduces morning testosterone not by directly affecting Leydig cells but by disrupting the nocturnal LH pulse cascade that requires this NREM sleep window [44]. Melatonin's partial suppression of HPA activity during the melatonin window also reduces glucocorticoid-mediated kisspeptin suppression, allowing HPG overnight recovery — a mechanistic inference chain (Tier C) based on the individual links rather than a directly measured effect.</w:t>
      </w:r>
    </w:p>
    <w:p>
      <w:pPr>
        <w:spacing w:after="80"/>
      </w:pPr>
      <w:r>
        <w:t xml:space="preserve"/>
      </w:r>
    </w:p>
    <w:p>
      <w:pPr>
        <w:pStyle w:val="Heading1"/>
      </w:pPr>
      <w:r>
        <w:t xml:space="preserve">§4 — Multi-Axis Failure Cascades</w:t>
      </w:r>
    </w:p>
    <w:p>
      <w:pPr>
        <w:spacing w:after="120"/>
      </w:pPr>
      <w:r>
        <w:t xml:space="preserve">Each axis has characteristic failure modes that emerge from the accumulation states described in §2. The following patterns are integrative syntheses (Tier C): each component mechanism is supported at the level indicated in the evidence tiers box, but the cascades as unified clinical patterns are proposed based on the mechanistic connections, not directly measured as unified syndromes.</w:t>
      </w:r>
    </w:p>
    <w:p>
      <w:pPr>
        <w:spacing w:after="80"/>
      </w:pPr>
      <w:r>
        <w:t xml:space="preserve"/>
      </w:r>
    </w:p>
    <w:p>
      <w:pPr>
        <w:pStyle w:val="Heading2"/>
      </w:pPr>
      <w:r>
        <w:t xml:space="preserve">§4.1 — Chronic Stress Cascade</w:t>
      </w:r>
    </w:p>
    <w:p>
      <w:pPr>
        <w:spacing w:after="120"/>
      </w:pPr>
      <w:r>
        <w:t xml:space="preserve">Chronic psychological or physiological stress initiates an HPA activation state that, over months to years, can propagate to other axes through the cross-axis links described in §3. Sustained cortisol: (1) desensitizes hippocampal GR, reducing HPA feedback; (2) suppresses kisspeptin (mouse evidence [47]), potentially reducing sex steroid output; (3) suppresses D1 deiodinase, reducing T3 [25, 26]; (4) increases hepatic glucose and insulin demand [41]; (5) may delay melatonin onset via sympathetic arousal-driven NE elevation at the pineal [34]. Each of these effects is individually supported; their combined propagation as a unified cascade is an integrative hypothesis [3, 9].</w:t>
      </w:r>
    </w:p>
    <w:p>
      <w:pPr>
        <w:spacing w:after="80"/>
      </w:pPr>
      <w:r>
        <w:t xml:space="preserve"/>
      </w:r>
    </w:p>
    <w:p>
      <w:pPr>
        <w:pStyle w:val="Heading2"/>
      </w:pPr>
      <w:r>
        <w:t xml:space="preserve">§4.2 — The Perimenopause Multi-Axis Disruption</w:t>
      </w:r>
    </w:p>
    <w:p>
      <w:pPr>
        <w:spacing w:after="120"/>
      </w:pPr>
      <w:r>
        <w:t xml:space="preserve">The perimenopause transition involves E2 volatility preceding E2 loss. Fluctuating E2 is associated with: intermittent disruption of hippocampal GR sensitivity (variable HPA regulation) [7]; intermittent destabilization of serotonin synthesis via TPH2 expression changes in raphe neurons (demonstrated in non-human primate models [48]); intermittent changes in SHBG (altering free T3 and testosterone delivery) [42]; and increasingly irregular allopregnanolone (ALLO) fluctuations due to anovulatory cycles and variable progesterone output, which may destabilize GABA-A tonic inhibition [43]. Each mechanism is individually supported; their combination as a unified perimenopause syndrome is a proposed synthesis [12, 50].</w:t>
      </w:r>
    </w:p>
    <w:p>
      <w:pPr>
        <w:spacing w:after="80"/>
      </w:pPr>
      <w:r>
        <w:t xml:space="preserve"/>
      </w:r>
    </w:p>
    <w:p>
      <w:pPr>
        <w:pStyle w:val="Heading2"/>
      </w:pPr>
      <w:r>
        <w:t xml:space="preserve">§4.3 — Metabolic-Cognitive Cascade</w:t>
      </w:r>
    </w:p>
    <w:p>
      <w:pPr>
        <w:spacing w:after="120"/>
      </w:pPr>
      <w:r>
        <w:t xml:space="preserve">Peripheral insulin resistance, if chronic, can produce brain insulin resistance through BBB insulin transport saturation and receptor desensitization. Brain insulin resistance is associated with reduced AMPA receptor trafficking, reduced hippocampal neurogenesis, reduced PFC glucose delivery via GLUT4 [32], and reduced suppression of excitatory synaptic transmission onto VTA dopamine neurons — consistent with elevated food reward salience reported under brain insulin resistance [46]. These associations link T2D to accelerated hippocampal aging and elevated Alzheimer's disease risk through identifiable molecular pathways [33].</w:t>
      </w:r>
    </w:p>
    <w:p>
      <w:pPr>
        <w:spacing w:after="80"/>
      </w:pPr>
      <w:r>
        <w:t xml:space="preserve"/>
      </w:r>
    </w:p>
    <w:p>
      <w:pPr>
        <w:pStyle w:val="Heading1"/>
      </w:pPr>
      <w:r>
        <w:t xml:space="preserve">§5 — The Integrated System</w:t>
      </w:r>
    </w:p>
    <w:p>
      <w:pPr>
        <w:spacing w:after="120"/>
      </w:pPr>
      <w:r>
        <w:t xml:space="preserve">The five axes, their detection operations, and their cross-axis couplings form a distributed endocrine operating system:</w:t>
      </w:r>
    </w:p>
    <w:p>
      <w:pPr>
        <w:spacing w:after="80"/>
      </w:pPr>
      <w:r>
        <w:t xml:space="preserve"/>
      </w:r>
    </w:p>
    <w:p>
      <w:pPr>
        <w:pStyle w:val="ListParagraph"/>
        <w:numPr>
          <w:ilvl w:val="0"/>
          <w:numId w:val="2"/>
        </w:numPr>
        <w:spacing w:after="80"/>
      </w:pPr>
      <w:r>
        <w:t xml:space="preserve">HPA: a central threat and energy-state detector; outputs cortisol to mobilize resources; acutely suppresses HPG, HPT, and metabolic axis during threat response</w:t>
      </w:r>
    </w:p>
    <w:p>
      <w:pPr>
        <w:pStyle w:val="ListParagraph"/>
        <w:numPr>
          <w:ilvl w:val="0"/>
          <w:numId w:val="2"/>
        </w:numPr>
        <w:spacing w:after="80"/>
      </w:pPr>
      <w:r>
        <w:t xml:space="preserve">HPG: sex steroid and reproductive state manager; calibrates hippocampal plasticity, serotonin tone, and white matter microstructure [51] on 28-day and lifespan timescales</w:t>
      </w:r>
    </w:p>
    <w:p>
      <w:pPr>
        <w:pStyle w:val="ListParagraph"/>
        <w:numPr>
          <w:ilvl w:val="0"/>
          <w:numId w:val="2"/>
        </w:numPr>
        <w:spacing w:after="80"/>
      </w:pPr>
      <w:r>
        <w:t xml:space="preserve">HPT: metabolic rate setter; establishes brain T3 availability region-by-region via local deiodinase; cross-links to HPA via zona incerta TRα1 (rodent) and to HPG via SHBG</w:t>
      </w:r>
    </w:p>
    <w:p>
      <w:pPr>
        <w:pStyle w:val="ListParagraph"/>
        <w:numPr>
          <w:ilvl w:val="0"/>
          <w:numId w:val="2"/>
        </w:numPr>
        <w:spacing w:after="80"/>
      </w:pPr>
      <w:r>
        <w:t xml:space="preserve">Metabolic (islets): glucose state transducer; brain insulin signaling sets hippocampal encoding capacity and modulates dopaminergic food reward; incretin system links gut nutrient state to islet output</w:t>
      </w:r>
    </w:p>
    <w:p>
      <w:pPr>
        <w:pStyle w:val="ListParagraph"/>
        <w:numPr>
          <w:ilvl w:val="0"/>
          <w:numId w:val="2"/>
        </w:numPr>
        <w:spacing w:after="80"/>
      </w:pPr>
      <w:r>
        <w:t xml:space="preserve">Circadian (pineal): time-of-day and season encoder; gates the overnight recalibration window for other axes; contributes to consolidation gate control</w:t>
      </w:r>
    </w:p>
    <w:p>
      <w:pPr>
        <w:spacing w:after="80"/>
      </w:pPr>
      <w:r>
        <w:t xml:space="preserve"/>
      </w:r>
    </w:p>
    <w:p>
      <w:pPr>
        <w:spacing w:after="120"/>
      </w:pPr>
      <w:r>
        <w:t xml:space="preserve">Coordinated cycling of all five axes is one useful way to conceptualize normal endocrine function. These axes operate at different timescales — diurnal (HPA, melatonin), monthly (HPG), slowly across decades (andropause, menopause), and continuously in response to metabolic load (islets) — yet are coupled through shared relay infrastructure and are usefully understood as a system rather than as independent processes.</w:t>
      </w:r>
    </w:p>
    <w:p>
      <w:pPr>
        <w:spacing w:after="80"/>
      </w:pPr>
      <w:r>
        <w:t xml:space="preserve"/>
      </w:r>
    </w:p>
    <w:p>
      <w:pPr>
        <w:pStyle w:val="Heading1"/>
      </w:pPr>
      <w:r>
        <w:t xml:space="preserve">§6 — Scope, Limitations, and Companion References</w:t>
      </w:r>
    </w:p>
    <w:p>
      <w:pPr>
        <w:spacing w:after="120"/>
      </w:pPr>
      <w:r>
        <w:t xml:space="preserve">This paper proposes a functional framework for the endocrine system organized around five coupled feedback axes. The framework's contribution is the cross-axis interaction map and the identification of multi-axis failure cascades — not the individual mechanistic findings, which are established in the cited literature. Three limitations apply.</w:t>
      </w:r>
    </w:p>
    <w:p>
      <w:pPr>
        <w:spacing w:after="120"/>
      </w:pPr>
      <w:r>
        <w:t xml:space="preserve">First, evidence confidence varies. The evidence tiers box in §1 separates established consensus from directly supported cross-axis mechanisms from emerging or rodent-only findings. Readers should apply those tiers when evaluating clinical implications.</w:t>
      </w:r>
    </w:p>
    <w:p>
      <w:pPr>
        <w:spacing w:after="120"/>
      </w:pPr>
      <w:r>
        <w:t xml:space="preserve">Second, brain-interface effects are not covered here. Receptor distributions, circuit-level hormone effects, and disease-specific brain mechanisms are covered in the companion Brain-Body reference (BrainBody v1.3) and in the Peripheral Organ Maps (Pituitary, Adrenal, Thyroid, Pancreatic Islets, Gonads, Pineal — v1.0 series). Those documents provide the parameter-level detail that complements the architectural overview presented here.</w:t>
      </w:r>
    </w:p>
    <w:p>
      <w:pPr>
        <w:spacing w:after="120"/>
      </w:pPr>
      <w:r>
        <w:t xml:space="preserve">Third, the failure cascades in §4 are integrative syntheses. Each component mechanism is supported at the tier indicated; the cascades as unified clinical patterns are proposed rather than directly measured. They are intended to generate testable predictions about cross-axis dysregulation patterns in burnout, perimenopause, and metabolic-cognitive decline, not to substitute for direct clinical evidence of those patterns.</w:t>
      </w:r>
    </w:p>
    <w:p>
      <w:pPr>
        <w:spacing w:after="80"/>
      </w:pPr>
      <w:r>
        <w:t xml:space="preserve"/>
      </w:r>
    </w:p>
    <w:p>
      <w:pPr>
        <w:spacing w:after="120"/>
      </w:pPr>
      <w:r>
        <w:rPr>
          <w:b/>
          <w:bCs/>
        </w:rPr>
        <w:t xml:space="preserve">Integration target:</w:t>
      </w:r>
    </w:p>
    <w:p>
      <w:pPr>
        <w:spacing w:after="120"/>
      </w:pPr>
      <w:r>
        <w:t xml:space="preserve">This paper is designed to merge into the Brain-Body Unified Reference (BrainBody) as its endocrine architecture component once the full peripheral system map series is complete (Tier 5: Pituitary, Adrenal, Thyroid, Pancreatic Islets, Gonads, Pineal — all at v1.0; Tier 6: limbic re-pass pending). At that point, §2 (axis detection architectures) merges with the Peripheral Maps into BrainBody §2; §3 (cross-axis interactions) merges into BrainBody §3 (hormone-brain interface); §4 (failure cascades) feeds into the disease papers. The Appendix simulation role table migrates with the merge and supersedes any axis-level encoding guidance in earlier BrainBody drafts. Until the merge, this document stands as the canonical endocrine architecture reference.</w:t>
      </w:r>
    </w:p>
    <w:p>
      <w:pPr>
        <w:spacing w:after="80"/>
      </w:pPr>
      <w:r>
        <w:t xml:space="preserve"/>
      </w:r>
    </w:p>
    <w:p>
      <w:pPr>
        <w:pBdr>
          <w:bottom w:val="single" w:color="2E75B6" w:sz="6" w:space="1"/>
        </w:pBdr>
        <w:spacing w:after="200"/>
      </w:pPr>
      <w:r>
        <w:t xml:space="preserve"/>
      </w:r>
    </w:p>
    <w:p>
      <w:pPr>
        <w:pStyle w:val="Heading1"/>
      </w:pPr>
      <w:r>
        <w:t xml:space="preserve">Appendix — Simulation Role Classification of Cross-Axis Links</w:t>
      </w:r>
    </w:p>
    <w:p>
      <w:pPr>
        <w:spacing w:after="120"/>
      </w:pPr>
      <w:r>
        <w:t xml:space="preserve">Each cross-axis mechanism described in this paper is classified below according to its recommended role in a computational brain-body simulation. Classifications are based on the evidence tier assignments in §1 and the species/preprint flags throughout the text.</w:t>
      </w:r>
    </w:p>
    <w:p>
      <w:pPr>
        <w:spacing w:after="120"/>
      </w:pPr>
      <w:r>
        <w:t xml:space="preserve">Core Rule: Tier A consensus; safe to encode as baseline system behavior. Supported Modifier: Tier B; directly supported but may rest on rodent evidence or single-modality data — encode as a conditional modifier that can be toggled. Hypothesis Layer: Tier C or inference chain; emerging, preprint, or multi-step inference — treat as optional provisional module, not baseline.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2000"/>
        <w:gridCol w:w="30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Cross-Axis Link</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Simulation Role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Cortisol → D1 deiodinase inhibition → rT3 (HPA→HPT)</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Core Rule</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Well-replicated in humans; euthyroid sick syndrome is a validated clinical phenomenon [25,26]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Cortisol → hepatic gluconeogenesis → insulin demand (HPA→Metabolic)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Rule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glucocorticoid receptor mechanism in liver; human validated [41]</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SHBG bridges HPT and HPG (T3 regulates free sex steroids)</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A/B</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Core Rule</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SHBG regulation by T3 is established; clinical consequences confirmed in thyroid dysfunction [42]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Beta cell two-phase insulin secretion with incretin amplification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Rule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50-70% of oral glucose response is incretin-driven; textbook-level [29]</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Melatonin as photoperiod signal via SCN-MT1 pathway</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Core Rule</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Mechanism well-established; DLMO as zeitgeber is clinical standard [34]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HPA negative feedback via hippocampal GR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Rule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Foundational neuroendocrinology; GR-mediated suppression of CRH/ACTH is textbook [5]</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E2 modulates hippocampal GR sensitivity (HPG→HPA feedback gain)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Rodent and human evidence; ER-alpha mechanism confirmed [7]. Encode as E2-dependent scaling of HPA feedback gain.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Cortisol → kisspeptin suppression → GnRH reduction (HPA→HPG)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(rodent)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Kiss1 suppression confirmed in mouse ARC [47]; human translation inferred. Encode as conditional — activate under chronic stress state.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Alpha-to-beta islet paracrine loop (glucagon primes insulin)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Mouse and human islet evidence [29,30]. Encode as paracrine amplification factor on phase 1 insulin.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Brain insulin resistance degrades hippocampal LTP and neurogenesis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Well-supported mechanistic links [33]; encode as chronic metabolic state modifier on memory encoding parameters.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E2/P4 variation → MTL volume changes across menstrual cycle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Human 7T MRI [13]; Wolcott mouse in vivo [14]. Encode as 28-day cycling modifier on hippocampal 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CSF melatonin reduction in preclinical Alzheimer's disease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 post-mortem studies [38,39]; consistent with circadian disruption in AD. Encode as age-dependent melatonin output decay.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ZI TRα1 signaling → glucocorticoid output (HPT→HPA)</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 (rodent)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Mouse only [23]; human validation pending. Encode as optional HPT→HPA modifier, off by default.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E2 → WM diffusion anisotropy (HPG→white matter)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longitudinal study [51]; encode as a provisional HPG→WM structural modifier.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Melatonin → nocturnal HPA recalibration window</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Circadian cortisol nadir + GR recovery supported [11,34]; melatonin-specific contribution is partially inferred.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Melatonin onset → NREM-dependent GnRH pulsatility → testosterone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Supported Modifier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Sleep fragmentation → testosterone reduction confirmed [44]; melatonin as enabling gate is inferred.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Pineal volume heritability → melatonin output variation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Hypothesis Layer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2025 preprint GWAS [35]; requires replication before encoding.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MT1-Slo1 BK channel mechanism for SCN hyperpolarization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Hypothesis Layer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2025 preprint [36]; mechanistic detail not yet peer-reviewed.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AMK metabolite → LTM consolidation via nNOS inhibition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Hypothesis Layer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Mouse only [40]; no human data. Treat as optional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Melatonin suppression → less kisspeptin suppression → HPG recovery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Hypothesis Layer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Three-step inference chain; no direct measurement. Flag as hypothesis layer in simulation [§3.4].</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Chronic stress cascade as unified multi-axis syndrome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Hypothesis Layer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Each component supported individually; cascade as unified pattern is proposed synthesis [§4.1]. Encode components separately, not as a single 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Perimenopause multi-axis disruption as unified syndrome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Hypothesis Layer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mechanism supported; co-occurrence as unified syndrome is proposed synthesis [§4.2].</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Metabolic-cognitive cascade (peripheral IR → brain IR → AD risk)</w:t>
            </w:r>
          </w:p>
        </w:tc>
        <w:tc>
          <w:tcPr>
            <w:tcW w:type="dxa" w:w="1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Hypothesis Layer</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Mechanistic links supported [33]; cascade sequence in humans is inferred. Encode as probabilistic risk modifier, not deterministic chain.</w:t>
            </w:r>
          </w:p>
        </w:tc>
      </w:tr>
    </w:tbl>
    <w:p>
      <w:pPr>
        <w:spacing w:after="80"/>
      </w:pPr>
      <w:r>
        <w:t xml:space="preserve"/>
      </w:r>
    </w:p>
    <w:p>
      <w:pPr>
        <w:spacing w:after="160"/>
        <w:jc w:val="center"/>
      </w:pPr>
      <w:r>
        <w:rPr>
          <w:i/>
          <w:iCs/>
          <w:color w:val="444444"/>
          <w:sz w:val="18"/>
          <w:szCs w:val="18"/>
        </w:rPr>
        <w:t xml:space="preserve">Appendix Table. Simulation role classification of cross-axis links. Core Rule = encode as baseline system behavior. Supported Modifier = encode as conditional, can be toggled. Hypothesis Layer = optional provisional module, not baseline.</w:t>
      </w:r>
    </w:p>
    <w:p>
      <w:pPr>
        <w:spacing w:after="80"/>
      </w:pPr>
      <w:r>
        <w:t xml:space="preserve"/>
      </w:r>
    </w:p>
    <w:p>
      <w:pPr>
        <w:pStyle w:val="Heading1"/>
      </w:pPr>
      <w:r>
        <w:t xml:space="preserve">References</w:t>
      </w:r>
    </w:p>
    <w:p>
      <w:pPr>
        <w:spacing w:after="80"/>
      </w:pPr>
      <w:r>
        <w:rPr>
          <w:sz w:val="20"/>
          <w:szCs w:val="20"/>
        </w:rPr>
        <w:t xml:space="preserve">[1] Chrousos, G.P. Stress and disorders of the stress system. Nat Rev Endocrinol 5 (2009) 374-381.</w:t>
      </w:r>
    </w:p>
    <w:p>
      <w:pPr>
        <w:spacing w:after="80"/>
      </w:pPr>
      <w:r>
        <w:rPr>
          <w:sz w:val="20"/>
          <w:szCs w:val="20"/>
        </w:rPr>
        <w:t xml:space="preserve">[2] Boron, W.F. &amp; Boulpaep, E.L. Medical Physiology, 3rd ed. Elsevier (2017).</w:t>
      </w:r>
    </w:p>
    <w:p>
      <w:pPr>
        <w:spacing w:after="80"/>
      </w:pPr>
      <w:r>
        <w:rPr>
          <w:sz w:val="20"/>
          <w:szCs w:val="20"/>
        </w:rPr>
        <w:t xml:space="preserve">[3] Kalantaridou, S.N. et al. Stress and the female reproductive system. J Reprod Immunol 62 (2004) 61-68.</w:t>
      </w:r>
    </w:p>
    <w:p>
      <w:pPr>
        <w:spacing w:after="80"/>
      </w:pPr>
      <w:r>
        <w:rPr>
          <w:sz w:val="20"/>
          <w:szCs w:val="20"/>
        </w:rPr>
        <w:t xml:space="preserve">[4] Kyrou, I. &amp; Tsigos, C. Stress hormones: physiological stress and regulation of metabolism. Curr Opin Pharmacol 9 (2009) 787-793.</w:t>
      </w:r>
    </w:p>
    <w:p>
      <w:pPr>
        <w:spacing w:after="80"/>
      </w:pPr>
      <w:r>
        <w:rPr>
          <w:sz w:val="20"/>
          <w:szCs w:val="20"/>
        </w:rPr>
        <w:t xml:space="preserve">[5] Herman, J.P. et al. Regulation of the HPA stress response. Compr Physiol 6 (2016) 603-621.</w:t>
      </w:r>
    </w:p>
    <w:p>
      <w:pPr>
        <w:spacing w:after="80"/>
      </w:pPr>
      <w:r>
        <w:rPr>
          <w:sz w:val="20"/>
          <w:szCs w:val="20"/>
        </w:rPr>
        <w:t xml:space="preserve">[6] Weitzman, E.D. et al. Twenty-four hour pattern of the episodic secretion of cortisol in normal subjects. J Clin Endocrinol Metab 33 (1971) 14-22.</w:t>
      </w:r>
    </w:p>
    <w:p>
      <w:pPr>
        <w:spacing w:after="80"/>
      </w:pPr>
      <w:r>
        <w:rPr>
          <w:sz w:val="20"/>
          <w:szCs w:val="20"/>
        </w:rPr>
        <w:t xml:space="preserve">[7] McEwen, B.S. &amp; Alves, S.E. Estrogen actions in the central nervous system. Endocr Rev 20 (1999) 279-307.</w:t>
      </w:r>
    </w:p>
    <w:p>
      <w:pPr>
        <w:spacing w:after="80"/>
      </w:pPr>
      <w:r>
        <w:rPr>
          <w:sz w:val="20"/>
          <w:szCs w:val="20"/>
        </w:rPr>
        <w:t xml:space="preserve">[8] Kerr, J.E. et al. Androgens modulate glucocorticoid receptor binding in hippocampus. Neuroendocrinology 62 (1995) 227.</w:t>
      </w:r>
    </w:p>
    <w:p>
      <w:pPr>
        <w:spacing w:after="80"/>
      </w:pPr>
      <w:r>
        <w:rPr>
          <w:sz w:val="20"/>
          <w:szCs w:val="20"/>
        </w:rPr>
        <w:t xml:space="preserve">[9] Tsigos, C. &amp; Chrousos, G.P. HPA axis, neuroendocrine factors and stress. J Psychosom Res 53 (2002) 865-871.</w:t>
      </w:r>
    </w:p>
    <w:p>
      <w:pPr>
        <w:spacing w:after="80"/>
      </w:pPr>
      <w:r>
        <w:rPr>
          <w:sz w:val="20"/>
          <w:szCs w:val="20"/>
        </w:rPr>
        <w:t xml:space="preserve">[10] McEwen, B.S. Allostasis and allostatic load. Neuropsychopharmacol 22 (2000) 108-124.</w:t>
      </w:r>
    </w:p>
    <w:p>
      <w:pPr>
        <w:spacing w:after="80"/>
      </w:pPr>
      <w:r>
        <w:rPr>
          <w:sz w:val="20"/>
          <w:szCs w:val="20"/>
        </w:rPr>
        <w:t xml:space="preserve">[11] Vgontzas, A.N. et al. Sleep, the HPA axis, and cytokines. Sleep Med Rev 5 (2001) 365-376.</w:t>
      </w:r>
    </w:p>
    <w:p>
      <w:pPr>
        <w:spacing w:after="80"/>
      </w:pPr>
      <w:r>
        <w:rPr>
          <w:sz w:val="20"/>
          <w:szCs w:val="20"/>
        </w:rPr>
        <w:t xml:space="preserve">[12] Freeman, E.W. et al. Associations of hormones and menopausal status with depressed mood. Arch Gen Psychiatry 63 (2006) 375-382.</w:t>
      </w:r>
    </w:p>
    <w:p>
      <w:pPr>
        <w:spacing w:after="80"/>
      </w:pPr>
      <w:r>
        <w:rPr>
          <w:sz w:val="20"/>
          <w:szCs w:val="20"/>
        </w:rPr>
        <w:t xml:space="preserve">[13] Zsido, R.G. et al. Ultra-high-field 7T MRI reveals changes in human medial temporal lobe volume during menstrual cycle. Nat Ment Health 1 (2023) 761-771.</w:t>
      </w:r>
    </w:p>
    <w:p>
      <w:pPr>
        <w:spacing w:after="80"/>
      </w:pPr>
      <w:r>
        <w:rPr>
          <w:sz w:val="20"/>
          <w:szCs w:val="20"/>
        </w:rPr>
        <w:t xml:space="preserve">[14] Wolcott, N.S. et al. The estrous cycle modulates hippocampal spine dynamics, dendritic processing, and spatial coding. Neuron 113(14) (2025) 2297-2309.e7.</w:t>
      </w:r>
    </w:p>
    <w:p>
      <w:pPr>
        <w:spacing w:after="80"/>
      </w:pPr>
      <w:r>
        <w:rPr>
          <w:sz w:val="20"/>
          <w:szCs w:val="20"/>
        </w:rPr>
        <w:t xml:space="preserve">[15] Navarro, V.M. et al. Interactions between kisspeptin and neurokinin B in the control of GnRH secretion. Am J Physiol Endocrinol Metab 300 (2011) E202-E210.</w:t>
      </w:r>
    </w:p>
    <w:p>
      <w:pPr>
        <w:spacing w:after="80"/>
      </w:pPr>
      <w:r>
        <w:rPr>
          <w:sz w:val="20"/>
          <w:szCs w:val="20"/>
        </w:rPr>
        <w:t xml:space="preserve">[16] Herbison, A.E. Control of puberty onset and fertility by GnRH neurons. Nat Rev Endocrinol 12 (2016) 452-466.</w:t>
      </w:r>
    </w:p>
    <w:p>
      <w:pPr>
        <w:spacing w:after="80"/>
      </w:pPr>
      <w:r>
        <w:rPr>
          <w:sz w:val="20"/>
          <w:szCs w:val="20"/>
        </w:rPr>
        <w:t xml:space="preserve">[17] Quennell, J.H. et al. Leptin indirectly regulates GnRH neuronal function. Endocrinology 150 (2009) 2805-2812.</w:t>
      </w:r>
    </w:p>
    <w:p>
      <w:pPr>
        <w:spacing w:after="80"/>
      </w:pPr>
      <w:r>
        <w:rPr>
          <w:sz w:val="20"/>
          <w:szCs w:val="20"/>
        </w:rPr>
        <w:t xml:space="preserve">[18] Karsch, F.J. et al. Inflammatory cytokines suppress GnRH pulsatility. Biol Reprod 52 (1995) 190-197.</w:t>
      </w:r>
    </w:p>
    <w:p>
      <w:pPr>
        <w:spacing w:after="80"/>
      </w:pPr>
      <w:r>
        <w:rPr>
          <w:sz w:val="20"/>
          <w:szCs w:val="20"/>
        </w:rPr>
        <w:t xml:space="preserve">[19] Pandi-Perumal, S.R. et al. Physiological effects of melatonin: melatonin receptors and signal transduction. Prog Neurobiol 85 (2008) 335-353.</w:t>
      </w:r>
    </w:p>
    <w:p>
      <w:pPr>
        <w:spacing w:after="80"/>
      </w:pPr>
      <w:r>
        <w:rPr>
          <w:sz w:val="20"/>
          <w:szCs w:val="20"/>
        </w:rPr>
        <w:t xml:space="preserve">[20] Harman, S.M. et al. Longitudinal effects of aging on serum total and free testosterone levels in healthy men. Baltimore Longitudinal Study of Aging. J Clin Endocrinol Metab 86 (2001) 724-731.</w:t>
      </w:r>
    </w:p>
    <w:p>
      <w:pPr>
        <w:spacing w:after="80"/>
      </w:pPr>
      <w:r>
        <w:rPr>
          <w:sz w:val="20"/>
          <w:szCs w:val="20"/>
        </w:rPr>
        <w:t xml:space="preserve">[21] Gereben, B. et al. Cellular and molecular basis of deiodinase-regulated thyroid hormone signaling. Endocr Rev 29 (2008) 898-938.</w:t>
      </w:r>
    </w:p>
    <w:p>
      <w:pPr>
        <w:spacing w:after="80"/>
      </w:pPr>
      <w:r>
        <w:rPr>
          <w:sz w:val="20"/>
          <w:szCs w:val="20"/>
        </w:rPr>
        <w:t xml:space="preserve">[22] Bianco, A.C. et al. Biochemistry and physiological roles of the iodothyronine selenodeiodinases. Endocr Rev 23 (2002) 38-89.</w:t>
      </w:r>
    </w:p>
    <w:p>
      <w:pPr>
        <w:spacing w:after="80"/>
      </w:pPr>
      <w:r>
        <w:rPr>
          <w:sz w:val="20"/>
          <w:szCs w:val="20"/>
        </w:rPr>
        <w:t xml:space="preserve">[23] Maier, J. et al. Inhibition of thyroid hormone signaling in the zona incerta alters basal metabolic rate, behavior, and serum glucocorticoids in male mice. Thyroid 34 (2024) 1280-1291. [Rodent; human validation pending]</w:t>
      </w:r>
    </w:p>
    <w:p>
      <w:pPr>
        <w:spacing w:after="80"/>
      </w:pPr>
      <w:r>
        <w:rPr>
          <w:sz w:val="20"/>
          <w:szCs w:val="20"/>
        </w:rPr>
        <w:t xml:space="preserve">[24] Gullo, D. et al. The same TSH threshold does not fit all patients. J Clin Endocrinol Metab 96 (2011) e1727.</w:t>
      </w:r>
    </w:p>
    <w:p>
      <w:pPr>
        <w:spacing w:after="80"/>
      </w:pPr>
      <w:r>
        <w:rPr>
          <w:sz w:val="20"/>
          <w:szCs w:val="20"/>
        </w:rPr>
        <w:t xml:space="preserve">[25] Chopra, I.J. et al. Opposite effects of dexamethasone on serum concentrations of reverse T3 and T3. J Clin Endocrinol Metab 41 (1975) 911-920.</w:t>
      </w:r>
    </w:p>
    <w:p>
      <w:pPr>
        <w:spacing w:after="80"/>
      </w:pPr>
      <w:r>
        <w:rPr>
          <w:sz w:val="20"/>
          <w:szCs w:val="20"/>
        </w:rPr>
        <w:t xml:space="preserve">[26] Fliers, E. et al. Thyroid function in critically ill patients. Lancet Diabetes Endocrinol 3 (2015) 816-825.</w:t>
      </w:r>
    </w:p>
    <w:p>
      <w:pPr>
        <w:spacing w:after="80"/>
      </w:pPr>
      <w:r>
        <w:rPr>
          <w:sz w:val="20"/>
          <w:szCs w:val="20"/>
        </w:rPr>
        <w:t xml:space="preserve">[27] Mentuccia, D. et al. Association between a novel variant of the human type 2 deiodinase gene Thr92Ala and insulin resistance. Diabetes 51 (2002) 880-883.</w:t>
      </w:r>
    </w:p>
    <w:p>
      <w:pPr>
        <w:spacing w:after="80"/>
      </w:pPr>
      <w:r>
        <w:rPr>
          <w:sz w:val="20"/>
          <w:szCs w:val="20"/>
        </w:rPr>
        <w:t xml:space="preserve">[28] Wouters, H.J.C.M. et al. No effect of the Thr92Ala polymorphism of deiodinase-2 on thyroid hormone parameters or cognitive functioning in a large population-based cohort. Thyroid 27 (2017) 147-155.</w:t>
      </w:r>
    </w:p>
    <w:p>
      <w:pPr>
        <w:spacing w:after="80"/>
      </w:pPr>
      <w:r>
        <w:rPr>
          <w:sz w:val="20"/>
          <w:szCs w:val="20"/>
        </w:rPr>
        <w:t xml:space="preserve">[29] Campbell, J.E. &amp; Newgard, C.B. Mechanisms controlling pancreatic islet cell function in insulin secretion. Nat Rev Mol Cell Biol 22 (2021) 142-158.</w:t>
      </w:r>
    </w:p>
    <w:p>
      <w:pPr>
        <w:spacing w:after="80"/>
      </w:pPr>
      <w:r>
        <w:rPr>
          <w:sz w:val="20"/>
          <w:szCs w:val="20"/>
        </w:rPr>
        <w:t xml:space="preserve">[30] Visa, M. &amp; Berggren, P.O. Sex-dependent intra-islet structural rearrangements affecting alpha-to-beta cell interactions. Diabetologia 67 (2024) 1663-1682.</w:t>
      </w:r>
    </w:p>
    <w:p>
      <w:pPr>
        <w:spacing w:after="80"/>
      </w:pPr>
      <w:r>
        <w:rPr>
          <w:sz w:val="20"/>
          <w:szCs w:val="20"/>
        </w:rPr>
        <w:t xml:space="preserve">[31] Rutter, G.A. &amp; Benninger, R.K.P. Exploring pancreatic beta-cell subgroups and their connectivity. Nat Metab 6 (2024) 2054-2073.</w:t>
      </w:r>
    </w:p>
    <w:p>
      <w:pPr>
        <w:spacing w:after="80"/>
      </w:pPr>
      <w:r>
        <w:rPr>
          <w:sz w:val="20"/>
          <w:szCs w:val="20"/>
        </w:rPr>
        <w:t xml:space="preserve">[32] Ashrafi, G. et al. GLUT4 mobilization supports energetic demands of active synapses. Neuron 93 (2017) 606-615.</w:t>
      </w:r>
    </w:p>
    <w:p>
      <w:pPr>
        <w:spacing w:after="80"/>
      </w:pPr>
      <w:r>
        <w:rPr>
          <w:sz w:val="20"/>
          <w:szCs w:val="20"/>
        </w:rPr>
        <w:t xml:space="preserve">[33] Arnold, S.E. et al. Brain insulin resistance in type 2 diabetes and Alzheimer disease. Nat Rev Neurosci 19 (2018) 63-76.</w:t>
      </w:r>
    </w:p>
    <w:p>
      <w:pPr>
        <w:spacing w:after="80"/>
      </w:pPr>
      <w:r>
        <w:rPr>
          <w:sz w:val="20"/>
          <w:szCs w:val="20"/>
        </w:rPr>
        <w:t xml:space="preserve">[34] Pandi-Perumal, S.R. et al. Physiological effects of melatonin. FEBS J 273 (2006) 2813-2838.</w:t>
      </w:r>
    </w:p>
    <w:p>
      <w:pPr>
        <w:spacing w:after="80"/>
      </w:pPr>
      <w:r>
        <w:rPr>
          <w:sz w:val="20"/>
          <w:szCs w:val="20"/>
        </w:rPr>
        <w:t xml:space="preserve">[35] Xu, P. et al. GWAS of human pineal gland volume as proxy for melatonin secretion. medRxiv (2025 Mar 11). Preprint — not yet peer reviewed.</w:t>
      </w:r>
    </w:p>
    <w:p>
      <w:pPr>
        <w:spacing w:after="80"/>
      </w:pPr>
      <w:r>
        <w:rPr>
          <w:sz w:val="20"/>
          <w:szCs w:val="20"/>
        </w:rPr>
        <w:t xml:space="preserve">[36] Wang, Z.W. et al. Melatonin enhances sleep via MT1-driven activation of Slo1 in SCN neurons. bioRxiv (2025). Preprint — not yet peer reviewed.</w:t>
      </w:r>
    </w:p>
    <w:p>
      <w:pPr>
        <w:spacing w:after="80"/>
      </w:pPr>
      <w:r>
        <w:rPr>
          <w:sz w:val="20"/>
          <w:szCs w:val="20"/>
        </w:rPr>
        <w:t xml:space="preserve">[37] Klosen, P. Thirty-seven years of MT1 and MT2 melatonin receptor localization in the brain. J Pineal Res 76 (2024) e12955.</w:t>
      </w:r>
    </w:p>
    <w:p>
      <w:pPr>
        <w:spacing w:after="80"/>
      </w:pPr>
      <w:r>
        <w:rPr>
          <w:sz w:val="20"/>
          <w:szCs w:val="20"/>
        </w:rPr>
        <w:t xml:space="preserve">[38] Liu, R.Y. et al. Decreased melatonin levels in postmortem CSF in relation to aging, Alzheimer's disease, and apolipoprotein E-epsilon4/4 genotype. J Clin Endocrinol Metab 84 (1999) 323-327.</w:t>
      </w:r>
    </w:p>
    <w:p>
      <w:pPr>
        <w:spacing w:after="80"/>
      </w:pPr>
      <w:r>
        <w:rPr>
          <w:sz w:val="20"/>
          <w:szCs w:val="20"/>
        </w:rPr>
        <w:t xml:space="preserve">[39] Zhou, J.N. et al. Early neuropathological Alzheimer's changes are accompanied by decreased CSF melatonin levels. J Pineal Res 35 (2003) 125-130.</w:t>
      </w:r>
    </w:p>
    <w:p>
      <w:pPr>
        <w:spacing w:after="80"/>
      </w:pPr>
      <w:r>
        <w:rPr>
          <w:sz w:val="20"/>
          <w:szCs w:val="20"/>
        </w:rPr>
        <w:t xml:space="preserve">[40] Iwashita, H. et al. Effects of endogenous and exogenous N-acetyl-5-methoxykynuramine on object recognition memory in male C3H mice. Horm Behav 150 (2023) 105329. [Mouse only; human data pending]</w:t>
      </w:r>
    </w:p>
    <w:p>
      <w:pPr>
        <w:spacing w:after="80"/>
      </w:pPr>
      <w:r>
        <w:rPr>
          <w:sz w:val="20"/>
          <w:szCs w:val="20"/>
        </w:rPr>
        <w:t xml:space="preserve">[41] Vegiopoulos, A. &amp; Herzig, S. Glucocorticoids, metabolism and metabolic diseases. Mol Cell Endocrinol 275 (2007) 43-61.</w:t>
      </w:r>
    </w:p>
    <w:p>
      <w:pPr>
        <w:spacing w:after="80"/>
      </w:pPr>
      <w:r>
        <w:rPr>
          <w:sz w:val="20"/>
          <w:szCs w:val="20"/>
        </w:rPr>
        <w:t xml:space="preserve">[42] Ott, J. et al. Thyroid function and risk of complications in women undergoing IVF. Thyroid 21 (2011) 895-902.</w:t>
      </w:r>
    </w:p>
    <w:p>
      <w:pPr>
        <w:spacing w:after="80"/>
      </w:pPr>
      <w:r>
        <w:rPr>
          <w:sz w:val="20"/>
          <w:szCs w:val="20"/>
        </w:rPr>
        <w:t xml:space="preserve">[43] Bäckström, T. et al. Pathogenesis in menstrual cycle-linked CNS disorders. Ann N Y Acad Sci 1317 (2014) 42-58.</w:t>
      </w:r>
    </w:p>
    <w:p>
      <w:pPr>
        <w:spacing w:after="80"/>
      </w:pPr>
      <w:r>
        <w:rPr>
          <w:sz w:val="20"/>
          <w:szCs w:val="20"/>
        </w:rPr>
        <w:t xml:space="preserve">[44] Luboshitzky, R. et al. Disruption of the nocturnal testosterone rhythm by sleep fragmentation in normal men. J Clin Endocrinol Metab 86 (2001) 1134-1139.</w:t>
      </w:r>
    </w:p>
    <w:p>
      <w:pPr>
        <w:spacing w:after="80"/>
      </w:pPr>
      <w:r>
        <w:rPr>
          <w:sz w:val="20"/>
          <w:szCs w:val="20"/>
        </w:rPr>
        <w:t xml:space="preserve">[45] McCarthy, M.M. Estradiol and the developing brain. Physiol Rev 89 (2009) 909-959.</w:t>
      </w:r>
    </w:p>
    <w:p>
      <w:pPr>
        <w:spacing w:after="80"/>
      </w:pPr>
      <w:r>
        <w:rPr>
          <w:sz w:val="20"/>
          <w:szCs w:val="20"/>
        </w:rPr>
        <w:t xml:space="preserve">[46] Ferrario, C.R. &amp; Reagan, L.P. Insulin-mediated synaptic plasticity in the CNS: anatomical, functional and temporal contexts. Neuropharmacology 136 (2018) 182-191.</w:t>
      </w:r>
    </w:p>
    <w:p>
      <w:pPr>
        <w:spacing w:after="80"/>
      </w:pPr>
      <w:r>
        <w:rPr>
          <w:sz w:val="20"/>
          <w:szCs w:val="20"/>
        </w:rPr>
        <w:t xml:space="preserve">[47] Kinsey-Jones, A.R. et al. Down-regulation of Kiss1 gene expression in the mouse hypothalamus by central glucocorticoid receptor signalling. J Neuroendocrinol 21 (2009) 1035-1040. [Mouse]</w:t>
      </w:r>
    </w:p>
    <w:p>
      <w:pPr>
        <w:spacing w:after="80"/>
      </w:pPr>
      <w:r>
        <w:rPr>
          <w:sz w:val="20"/>
          <w:szCs w:val="20"/>
        </w:rPr>
        <w:t xml:space="preserve">[48] Bethea, C.L. et al. Serotonin-related gene expression in female monkeys with individual sensitivity to stress. Neuroscience 132 (2005) 151-166. [Rhesus macaque]</w:t>
      </w:r>
    </w:p>
    <w:p>
      <w:pPr>
        <w:spacing w:after="80"/>
      </w:pPr>
      <w:r>
        <w:rPr>
          <w:sz w:val="20"/>
          <w:szCs w:val="20"/>
        </w:rPr>
        <w:t xml:space="preserve">[49] Saper, C.B. et al. Sleep state switching. Neuron 68 (2010) 1023-1042.</w:t>
      </w:r>
    </w:p>
    <w:p>
      <w:pPr>
        <w:spacing w:after="80"/>
      </w:pPr>
      <w:r>
        <w:rPr>
          <w:sz w:val="20"/>
          <w:szCs w:val="20"/>
        </w:rPr>
        <w:t xml:space="preserve">[50] Kundakovic, M. &amp; Rocks, D. Sex hormone fluctuation and increased female risk for depression and anxiety disorders: from clinical evidence to molecular mechanisms. Front Neuroendocrinol 66 (2022) 101010.</w:t>
      </w:r>
    </w:p>
    <w:p>
      <w:pPr>
        <w:spacing w:after="80"/>
      </w:pPr>
      <w:r>
        <w:rPr>
          <w:sz w:val="20"/>
          <w:szCs w:val="20"/>
        </w:rPr>
        <w:t xml:space="preserve">[51] Rizor, E.J. et al. Menstrual cycle-driven fluctuations in oxytocin, estradiol, and luteinizing hormone co-vary with white matter diffusion anisotropy: an exploratory 30-day longitudinal study. Hum Brain Mapp 45 (2024) e26584.</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2026-03-15T02:57:43.573Z</dcterms:created>
  <dcterms:modified xsi:type="dcterms:W3CDTF">2026-03-15T02:57:43.574Z</dcterms:modified>
</cp:coreProperties>
</file>

<file path=docProps/custom.xml><?xml version="1.0" encoding="utf-8"?>
<Properties xmlns="http://schemas.openxmlformats.org/officeDocument/2006/custom-properties" xmlns:vt="http://schemas.openxmlformats.org/officeDocument/2006/docPropsVTypes"/>
</file>