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sz w:val="28"/>
          <w:szCs w:val="28"/>
        </w:rPr>
        <w:t xml:space="preserve">Tourette Syndrome, Tic Disorders, and Peripheral Nerve Disease</w:t>
      </w:r>
    </w:p>
    <w:p>
      <w:pPr>
        <w:spacing w:before="0" w:after="80"/>
        <w:jc w:val="center"/>
      </w:pPr>
      <w:r>
        <w:rPr>
          <w:rFonts w:ascii="Arial" w:cs="Arial" w:eastAsia="Arial" w:hAnsi="Arial"/>
          <w:b/>
          <w:bCs/>
          <w:sz w:val="22"/>
          <w:szCs w:val="22"/>
        </w:rPr>
        <w:t xml:space="preserve">CSTC Loop Gate Failure, the Premonitory Urge as a Diagnostic Signal, and the Unified Inhibitory Control Framework Across Neurological Conditions</w:t>
      </w:r>
    </w:p>
    <w:p>
      <w:pPr>
        <w:spacing w:before="0" w:after="80"/>
        <w:jc w:val="center"/>
      </w:pPr>
      <w:r>
        <w:rPr>
          <w:rFonts w:ascii="Arial" w:cs="Arial" w:eastAsia="Arial" w:hAnsi="Arial"/>
          <w:i/>
          <w:iCs/>
          <w:sz w:val="20"/>
          <w:szCs w:val="20"/>
        </w:rPr>
        <w:t xml:space="preserve">GABA Named as the Inhibitory Architecture of the Entire Basal Ganglia Circuit | Glutamate in Cortical Drive and Indirect Pathway | Histamine H3 / VMAT2 as the Third Dopamine-Modulating System | NE/LC Gate Threshold Modulation | ACC Conflict Monitoring as CBIT Substrate | Cerebellar Timing Contribution | Sleep-GABA Gate Vulnerability | Testosterone -&gt; D2 Density → Male Sex Ratio Imbalance | ALLO and PANDAS Immune Vulnerability</w:t>
      </w:r>
    </w:p>
    <w:p>
      <w:pPr>
        <w:spacing w:before="0" w:after="200"/>
        <w:jc w:val="center"/>
      </w:pPr>
      <w:r>
        <w:rPr>
          <w:rFonts w:ascii="Arial" w:cs="Arial" w:eastAsia="Arial" w:hAnsi="Arial"/>
          <w:b w:val="false"/>
          <w:bCs w:val="false"/>
          <w:i w:val="false"/>
          <w:iCs w:val="false"/>
          <w:color w:val="000000"/>
          <w:sz w:val="20"/>
          <w:szCs w:val="20"/>
        </w:rPr>
        <w:t xml:space="preserve">M. Finnegan — v0.4 — March 2026 — Preprint, not yet peer reviewed</w:t>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tcMar>
              <w:top w:w="120" w:type="dxa"/>
              <w:left w:w="160" w:type="dxa"/>
              <w:bottom w:w="120" w:type="dxa"/>
              <w:right w:w="160" w:type="dxa"/>
            </w:tcMar>
          </w:tcPr>
          <w:p>
            <w:pPr>
              <w:spacing w:before="0" w:after="0"/>
            </w:pPr>
            <w:r>
              <w:rPr>
                <w:rFonts w:ascii="Arial" w:hAnsi="Arial"/>
                <w:i/>
                <w:sz w:val="20"/>
              </w:rPr>
              <w:t xml:space="preserve">Simulation Design Notice — This paper is one component of a series applying a biological detection architecture framework to neurological conditions, part of an ongoing project to build a biologically-grounded computational brain and body simulation. The framework treats biological systems as detection and response architectures: signals propagate, gates control passage, surveillance detects deviation, state accumulates, and networks update based on outcomes. This document combines established literature findings, literature-based inferences, and explicit simulation-level modeling assumptions. Where claims are speculative or emerging, this is noted inline. Nothing in this paper constitutes medical advice, diagnosis, or treatment recommendation.</w:t>
            </w:r>
          </w:p>
        </w:tc>
      </w:tr>
    </w:tbl>
    <w:p>
      <w:pPr>
        <w:spacing w:before="60" w:after="60"/>
      </w:pP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tcMar>
              <w:top w:w="120" w:type="dxa"/>
              <w:left w:w="160" w:type="dxa"/>
              <w:bottom w:w="120" w:type="dxa"/>
              <w:right w:w="160" w:type="dxa"/>
            </w:tcMar>
          </w:tcPr>
          <w:p>
            <w:pPr>
              <w:spacing w:before="0" w:after="0"/>
            </w:pPr>
            <w:r>
              <w:rPr>
                <w:rFonts w:ascii="Arial" w:hAnsi="Arial"/>
                <w:i/>
                <w:sz w:val="20"/>
              </w:rPr>
              <w:t xml:space="preserve">Dependency notice: This paper is one component of a larger reference stack. The five-operation framework (FQ1–FQ5) and neurochemical parameter mappings are developed in the companion documents BrainBody Unified Reference v1.3 and NeurochemFormula Correspondence v1.6, which exist in the same repository. Those documents are treated here as upstream modeling assumptions. Where parameter-level detail is drawn from internal architecture documentation not included in this release, this is noted in context. Published citations are provided for all empirical claims.</w:t>
            </w:r>
          </w:p>
        </w:tc>
      </w:tr>
    </w:tbl>
    <w:p>
      <w:pPr>
        <w:spacing w:before="60" w:after="60"/>
      </w:pPr>
    </w:p>
    <w:p>
      <w:pPr>
        <w:pStyle w:val="Heading1"/>
        <w:spacing w:before="280" w:after="100"/>
      </w:pPr>
      <w:r>
        <w:rPr>
          <w:rFonts w:ascii="Arial" w:cs="Arial" w:eastAsia="Arial" w:hAnsi="Arial"/>
          <w:b/>
          <w:bCs/>
          <w:sz w:val="26"/>
          <w:szCs w:val="26"/>
        </w:rPr>
        <w:t xml:space="preserve">Abstract</w:t>
      </w:r>
    </w:p>
    <w:p>
      <w:pPr>
        <w:spacing w:before="80" w:after="80"/>
        <w:jc w:val="left"/>
      </w:pPr>
      <w:r>
        <w:rPr>
          <w:rFonts w:ascii="Arial" w:cs="Arial" w:eastAsia="Arial" w:hAnsi="Arial"/>
          <w:b w:val="false"/>
          <w:bCs w:val="false"/>
          <w:i w:val="false"/>
          <w:iCs w:val="false"/>
          <w:color w:val="000000"/>
          <w:sz w:val="20"/>
          <w:szCs w:val="20"/>
        </w:rPr>
        <w:t xml:space="preserve">Tourette Syndrome (TS) is a neurological condition characterized by repetitive, involuntary movements and vocalizations (tics) arising from failure of the striatal inhibitory gate in the cortico-striato-thalamo-cortical (CSTC) motor loop [Leckman02]. It is not a behavioral problem, a psychological condition, or a failure of willpower. It is a specific, mechanistically well-characterized failure of the dopaminergic indirect pathway to adequately suppress unwanted motor programs via its GABA-mediated NoGo signal — the same circuit that, when operating correctly, filters the continuous stream of motor impulses generated by the cortex down to the intended movements only.</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premonitory urge — the sensory tension or discomfort felt before most tics — is the FQ3 detection signal for a motor program that has escaped striatal gating and is propagating toward execution. The most effective behavioral treatment (CBIT) works by training patients to catch this signal and execute a competing response — intervening at the FQ3 moment before the tic fires [Piacentini10]. v0.3 named the neurochemical architecture: GABA as the inhibitory transmitter mediating the basal ganglia gate, glutamate as the excitatory driver of the corticostriatal input and indirect pathway STN→GPi synapse, histamine H3 receptors as a third modulator of striatal dopamine release, and the testosterone-D2-PFC framework for the male sex ratio imbalance in TS.</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v0.4 adds: the norepinephrine/locus coeruleus system as a proposed state-dependent CSTC gate threshold modulator — a mechanism consistent with how arousal, anxiety, stress, and sleep deprivation lower the gate and worsen tics; the dorsal anterior cingulate cortex (dACC) conflict monitoring system as a proposed neurological substrate of what CBIT training develops; a cerebellar contribution to tic timing as an emerging structural account; and sleep deprivation as a specific GABAergic and NE-mediated gate vulnerability with direct clinical implications.</w:t>
      </w:r>
    </w:p>
    <w:p>
      <w:pPr>
        <w:spacing w:before="40" w:after="40"/>
      </w:pPr>
      <w:r>
        <w:t xml:space="preserve"/>
      </w:r>
    </w:p>
    <w:p>
      <w:pPr>
        <w:spacing w:before="120" w:after="80"/>
        <w:jc w:val="left"/>
      </w:pPr>
      <w:r>
        <w:rPr>
          <w:rFonts w:ascii="Arial" w:cs="Arial" w:eastAsia="Arial" w:hAnsi="Arial"/>
          <w:b/>
          <w:bCs/>
          <w:sz w:val="22"/>
          <w:szCs w:val="22"/>
        </w:rPr>
        <w:t xml:space="preserve">PART I — TOURETTE SYNDROME AND TIC DISORDERS</w:t>
      </w:r>
    </w:p>
    <w:p>
      <w:pPr>
        <w:pBdr>
          <w:bottom w:val="single" w:color="CCCCCC" w:sz="2"/>
        </w:pBdr>
        <w:spacing w:before="120" w:after="120"/>
      </w:pPr>
    </w:p>
    <w:p>
      <w:pPr>
        <w:pStyle w:val="Heading1"/>
        <w:spacing w:before="280" w:after="100"/>
      </w:pPr>
      <w:r>
        <w:rPr>
          <w:rFonts w:ascii="Arial" w:cs="Arial" w:eastAsia="Arial" w:hAnsi="Arial"/>
          <w:b/>
          <w:bCs/>
          <w:sz w:val="26"/>
          <w:szCs w:val="26"/>
        </w:rPr>
        <w:t xml:space="preserve">§1 — The CSTC Loop: Normal Function and What Fails in Tourette’s</w:t>
      </w:r>
    </w:p>
    <w:p>
      <w:pPr>
        <w:spacing w:before="80" w:after="80"/>
        <w:jc w:val="left"/>
      </w:pPr>
      <w:r>
        <w:rPr>
          <w:rFonts w:ascii="Arial" w:cs="Arial" w:eastAsia="Arial" w:hAnsi="Arial"/>
          <w:b w:val="false"/>
          <w:bCs w:val="false"/>
          <w:i w:val="false"/>
          <w:iCs w:val="false"/>
          <w:color w:val="000000"/>
          <w:sz w:val="20"/>
          <w:szCs w:val="20"/>
        </w:rPr>
        <w:t xml:space="preserve">Every voluntary movement begins as a motor program in the cortex — a neural activation pattern encoding a specific movement sequence. But the cortex generates far more motor programs than should be executed. The basal ganglia, particularly the striatum, act as the selection filter: they determine which programs execute and which are suppressed. This selection is the FQ2 gate of the motor system.</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basal ganglia operate through two opposing pathways:</w:t>
      </w:r>
    </w:p>
    <w:p>
      <w:pPr>
        <w:pStyle w:val="ListParagraph"/>
        <w:numPr>
          <w:ilvl w:val="0"/>
          <w:numId w:val="2"/>
        </w:numPr>
        <w:spacing w:before="80" w:after="80"/>
        <w:jc w:val="left"/>
      </w:pPr>
      <w:r>
        <w:rPr>
          <w:rFonts w:ascii="Arial" w:cs="Arial" w:eastAsia="Arial" w:hAnsi="Arial"/>
          <w:b/>
          <w:bCs/>
          <w:sz w:val="20"/>
          <w:szCs w:val="20"/>
        </w:rPr>
        <w:t xml:space="preserve">Direct pathway (D1 dopamine receptors → Go):</w:t>
      </w:r>
      <w:r>
        <w:rPr>
          <w:rFonts w:ascii="Arial" w:cs="Arial" w:eastAsia="Arial" w:hAnsi="Arial"/>
          <w:sz w:val="20"/>
          <w:szCs w:val="20"/>
        </w:rPr>
        <w:t xml:space="preserve"> striatum → GPi/SNr inhibited → thalamus disinhibited → motor cortex activated. This pathway releases the brake on selected motor programs, allowing them to execute. All synapses within this pathway use GABA as the inhibitory transmitter: striatum→GPi is GABAergic, GPi→thalamus is GABAergic. Dopamine at D1 receptors on direct pathway medium spiny neurons facilitates their GABA output onto GPi — the Go signal.</w:t>
      </w:r>
    </w:p>
    <w:p>
      <w:pPr>
        <w:pStyle w:val="ListParagraph"/>
        <w:numPr>
          <w:ilvl w:val="0"/>
          <w:numId w:val="2"/>
        </w:numPr>
        <w:spacing w:before="80" w:after="80"/>
        <w:jc w:val="left"/>
      </w:pPr>
      <w:r>
        <w:rPr>
          <w:rFonts w:ascii="Arial" w:cs="Arial" w:eastAsia="Arial" w:hAnsi="Arial"/>
          <w:b/>
          <w:bCs/>
          <w:sz w:val="20"/>
          <w:szCs w:val="20"/>
        </w:rPr>
        <w:t xml:space="preserve">Indirect pathway (D2 dopamine receptors → NoGo):</w:t>
      </w:r>
      <w:r>
        <w:rPr>
          <w:rFonts w:ascii="Arial" w:cs="Arial" w:eastAsia="Arial" w:hAnsi="Arial"/>
          <w:sz w:val="20"/>
          <w:szCs w:val="20"/>
        </w:rPr>
        <w:t xml:space="preserve"> striatum → GPe activated → STN activated → GPi/SNr further inhibited → thalamus suppressed → motor cortex inhibited. This pathway applies the brake to competing, unwanted motor programs. Striatum→GPe is GABAergic; GPe→STN is GABAergic; STN→GPi is glutamatergic (the only excitatory synapse in the circuit). Dopamine at D2 receptors on indirect pathway medium spiny neurons suppresses their GABA output onto GPe — reducing the NoGo signal.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before="0" w:after="0"/>
            </w:pPr>
            <w:r>
              <w:rPr>
                <w:rFonts w:ascii="Arial" w:cs="Arial" w:eastAsia="Arial" w:hAnsi="Arial"/>
                <w:b/>
                <w:bCs/>
                <w:i/>
                <w:iCs/>
                <w:sz w:val="20"/>
                <w:szCs w:val="20"/>
              </w:rPr>
              <w:t xml:space="preserve">The inhibitory architecture of the basal ganglia is GABA-mediated throughout. Every suppressive synapse in both the direct and indirect pathways uses GABA. In Tourette’s, D2 hyperstimulation in specific motor circuits reduces the indirect pathway’s GABA output, leaving the Go pathway relatively unopposed. The tic is what escapes when the GABA gate does not hold. Dopamine antagonists (D2 blockers) and VMAT2 inhibitors (reduce DA release → normalize D2 stimulation) address this by restoring the GABAergic gate threshold.</w:t>
            </w:r>
          </w:p>
        </w:tc>
      </w:tr>
    </w:tbl>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In Tourette Syndrome, this balance is disrupted in specific motor circuits [Leckman02]. The evidence points to insufficient indirect pathway suppression in tic-generating circuits: the NoGo brake is insufficiently applied to certain motor programs, which escape inhibition and execute as tics. Dopamine — specifically hyperdopaminergic activity at D2 receptors in the striatum — is the primary molecular driver: excess dopamine at D2 receptors suppresses the indirect pathway GABA output, leaving the direct pathway (Go) relatively unopposed for those motor programs. This is why dopamine antagonists (haloperidol, aripiprazole) reduce tics — they block D2 receptors, restoring indirect pathway GABA function and raising the gate threshold.</w:t>
      </w:r>
    </w:p>
    <w:p>
      <w:pPr>
        <w:pStyle w:val="Heading2"/>
        <w:spacing w:before="200" w:after="100"/>
      </w:pPr>
      <w:r>
        <w:rPr>
          <w:rFonts w:ascii="Arial" w:cs="Arial" w:eastAsia="Arial" w:hAnsi="Arial"/>
          <w:b/>
          <w:bCs/>
          <w:sz w:val="24"/>
          <w:szCs w:val="24"/>
        </w:rPr>
        <w:t xml:space="preserve">1.1 The Neuroanatomy of Tic Generation</w:t>
      </w:r>
    </w:p>
    <w:p>
      <w:pPr>
        <w:spacing w:before="80" w:after="80"/>
        <w:jc w:val="left"/>
      </w:pPr>
      <w:r>
        <w:rPr>
          <w:rFonts w:ascii="Arial" w:cs="Arial" w:eastAsia="Arial" w:hAnsi="Arial"/>
          <w:b w:val="false"/>
          <w:bCs w:val="false"/>
          <w:i w:val="false"/>
          <w:iCs w:val="false"/>
          <w:color w:val="000000"/>
          <w:sz w:val="20"/>
          <w:szCs w:val="20"/>
        </w:rPr>
        <w:t xml:space="preserve">The tic-generating circuit is more specific than the basal ganglia broadly. Neuroimaging studies consistently implicate the sensorimotor striatum (putamen) and its connections to supplementary motor area (SMA) and primary motor cortex. The SMA is particularly important: it is active immediately before voluntary movements in all people, and in Tourette’s patients, SMA activation precedes tics — the tic is being generated through the normal voluntary movement preparation pathway, but without the voluntary intention that would normally initiate it.</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This is mechanistically revealing: tics use the voluntary motor pathway without voluntary intent. They are not involuntary in the sense of spinal reflex (which bypass the cortex entirely). They are subcortically-initiated motor programs that propagate through the cortical voluntary movement system. This explains the key clinical feature: tics can be voluntarily suppressed temporarily (unlike spinal reflexes), but suppression requires active PFC effort and produces an accumulating premonitory urge.</w:t>
      </w:r>
    </w:p>
    <w:p>
      <w:pPr>
        <w:pStyle w:val="Heading1"/>
        <w:spacing w:before="280" w:after="100"/>
      </w:pPr>
      <w:r>
        <w:rPr>
          <w:rFonts w:ascii="Arial" w:cs="Arial" w:eastAsia="Arial" w:hAnsi="Arial"/>
          <w:b/>
          <w:bCs/>
          <w:sz w:val="26"/>
          <w:szCs w:val="26"/>
        </w:rPr>
        <w:t xml:space="preserve">§2 — The Premonitory Urge: The Most Important Feature No One Explains</w:t>
      </w:r>
    </w:p>
    <w:p>
      <w:pPr>
        <w:spacing w:before="80" w:after="80"/>
        <w:jc w:val="left"/>
      </w:pPr>
      <w:r>
        <w:rPr>
          <w:rFonts w:ascii="Arial" w:cs="Arial" w:eastAsia="Arial" w:hAnsi="Arial"/>
          <w:b w:val="false"/>
          <w:bCs w:val="false"/>
          <w:i w:val="false"/>
          <w:iCs w:val="false"/>
          <w:color w:val="000000"/>
          <w:sz w:val="20"/>
          <w:szCs w:val="20"/>
        </w:rPr>
        <w:t xml:space="preserve">The premonitory urge is present before tics in approximately 90% of adult patients and in the majority of children old enough to report it (typically age 10+) [Leckman02]. It is described variously as a pressure, tension, tingling, itching, or ‘just right’ sensation localized to the body part that will tic — the shoulder before a shoulder shrug, the throat before a throat-clearing tic, the eye before an eye-blink tic. Performing the tic produces temporary relief of the urge, which then rebuilds until the next tic.</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This is the FQ3 detection signal: the brain detecting that a motor program has escaped striatal gating and is being prepared for execution in the SMA. The urge is the sensory correlate of the failed inhibitory gate. The SMA, insular cortex, and anterior cingulate cortex are active during the premonitory urge, generating the sensory experience of an impending involuntary movement.</w:t>
      </w:r>
    </w:p>
    <w:p>
      <w:pPr>
        <w:spacing w:before="40" w:after="40"/>
      </w:pPr>
      <w:r>
        <w:t xml:space="preserve"/>
      </w:r>
    </w:p>
    <w:p>
      <w:pPr>
        <w:spacing w:before="80" w:after="80"/>
        <w:jc w:val="left"/>
      </w:pPr>
      <w:r>
        <w:rPr>
          <w:rFonts w:ascii="Arial" w:cs="Arial" w:eastAsia="Arial" w:hAnsi="Arial"/>
          <w:bCs/>
          <w:sz w:val="20"/>
          <w:szCs w:val="20"/>
        </w:rPr>
        <w:t xml:space="preserve">The dACC as the proposed FQ3 node:</w:t>
      </w:r>
      <w:r>
        <w:rPr>
          <w:rFonts w:ascii="Arial" w:cs="Arial" w:eastAsia="Arial" w:hAnsi="Arial"/>
          <w:sz w:val="20"/>
          <w:szCs w:val="20"/>
        </w:rPr>
        <w:t xml:space="preserve"> The dorsal anterior cingulate cortex (dACC) is the brain’s conflict monitoring and cognitive control demand system — it continuously asks: is more control needed here than is currently applied? The premonitory urge is the dACC’s detection of a motor program conflict: the motor program is active and propagating, but no voluntary intention authorized it. The dACC fires a conflict signal → sends a control demand to dlPFC → dlPFC deploys top-down corticostriatal inhibitory control. This is why voluntary tic suppression requires PFC effort and why suppression strengthens with practice: CBIT training is, on this proposed mechanistic account, training the dACC→dlPFC→striatum control circuit, progressively improving the speed and reliability of the conflict detection-to-suppression chain. The dACC conflict monitoring framework is established [Botvinick01]; neurophysiological studies show that CBIT produces changes in motor cortical GABAergic inhibitory circuitry [Eapen22], consistent with strengthening the inhibitory control pathway.</w:t>
      </w:r>
    </w:p>
    <w:p>
      <w:pPr>
        <w:spacing w:before="40" w:after="40"/>
      </w:pPr>
      <w:r>
        <w:t xml:space="preserve"/>
      </w:r>
    </w:p>
    <w:p>
      <w:pPr>
        <w:pStyle w:val="ListParagraph"/>
        <w:numPr>
          <w:ilvl w:val="0"/>
          <w:numId w:val="2"/>
        </w:numPr>
        <w:spacing w:before="80" w:after="80"/>
        <w:jc w:val="left"/>
      </w:pPr>
      <w:r>
        <w:rPr>
          <w:rFonts w:ascii="Arial" w:cs="Arial" w:eastAsia="Arial" w:hAnsi="Arial"/>
          <w:b/>
          <w:bCs/>
          <w:sz w:val="20"/>
          <w:szCs w:val="20"/>
        </w:rPr>
        <w:t xml:space="preserve">CBIT makes sense mechanistically:</w:t>
      </w:r>
      <w:r>
        <w:rPr>
          <w:rFonts w:ascii="Arial" w:cs="Arial" w:eastAsia="Arial" w:hAnsi="Arial"/>
          <w:sz w:val="20"/>
          <w:szCs w:val="20"/>
        </w:rPr>
        <w:t xml:space="preserve"> Habit Reversal Training teaches patients to (1) become aware of the premonitory urge before the tic, and (2) perform a competing response (an incompatible motor action) when the urge appears. The competing response blocks the tic motor program from executing. The urge — no longer relieved by the tic — gradually extinguishes through habituation. The treatment is literally training the patient to use the FQ3 detection signal (premonitory urge → dACC conflict → dlPFC demand) to intervene at the FQ2 gate failure moment, before the tic fires [Piacentini10].</w:t>
      </w:r>
    </w:p>
    <w:p>
      <w:pPr>
        <w:pStyle w:val="ListParagraph"/>
        <w:numPr>
          <w:ilvl w:val="0"/>
          <w:numId w:val="2"/>
        </w:numPr>
        <w:spacing w:before="80" w:after="80"/>
        <w:jc w:val="left"/>
      </w:pPr>
      <w:r>
        <w:rPr>
          <w:rFonts w:ascii="Arial" w:cs="Arial" w:eastAsia="Arial" w:hAnsi="Arial"/>
          <w:b/>
          <w:bCs/>
          <w:sz w:val="20"/>
          <w:szCs w:val="20"/>
        </w:rPr>
        <w:t xml:space="preserve">Suppression works but costs:</w:t>
      </w:r>
      <w:r>
        <w:rPr>
          <w:rFonts w:ascii="Arial" w:cs="Arial" w:eastAsia="Arial" w:hAnsi="Arial"/>
          <w:sz w:val="20"/>
          <w:szCs w:val="20"/>
        </w:rPr>
        <w:t xml:space="preserve"> voluntarily suppressing tics requires active prefrontal cortex engagement — top-down glutamatergic inhibitory control applied to the escaped motor program via PFC→striatum projections. The premonitory urge does not disappear during suppression — it intensifies, because the motor program is still queued and its execution is being blocked. This is FQ4 accumulation under suppression. When suppression is released, the accumulated queue discharges as a rebound burst. This is why children with TS often tic more at home than at school — school requires suppression; home is where the accumulated urge discharges.</w:t>
      </w:r>
    </w:p>
    <w:p>
      <w:pPr>
        <w:pStyle w:val="ListParagraph"/>
        <w:numPr>
          <w:ilvl w:val="0"/>
          <w:numId w:val="2"/>
        </w:numPr>
        <w:spacing w:before="80" w:after="80"/>
        <w:jc w:val="left"/>
      </w:pPr>
      <w:r>
        <w:rPr>
          <w:rFonts w:ascii="Arial" w:cs="Arial" w:eastAsia="Arial" w:hAnsi="Arial"/>
          <w:b/>
          <w:bCs/>
          <w:sz w:val="20"/>
          <w:szCs w:val="20"/>
        </w:rPr>
        <w:t xml:space="preserve">The relief is real:</w:t>
      </w:r>
      <w:r>
        <w:rPr>
          <w:rFonts w:ascii="Arial" w:cs="Arial" w:eastAsia="Arial" w:hAnsi="Arial"/>
          <w:sz w:val="20"/>
          <w:szCs w:val="20"/>
        </w:rPr>
        <w:t xml:space="preserve"> the relief after a tic is genuine neurological relief from the premonitory urge — not behavioral reward in the conventional sense. The urge-tic-relief cycle is mechanistically real. Tics are not performed for social effect or attention. They provide genuine (if temporary) neurological relief from a genuinely uncomfortable sensory state.</w:t>
      </w:r>
    </w:p>
    <w:p>
      <w:pPr>
        <w:pStyle w:val="Heading1"/>
        <w:spacing w:before="280" w:after="100"/>
      </w:pPr>
      <w:r>
        <w:rPr>
          <w:rFonts w:ascii="Arial" w:cs="Arial" w:eastAsia="Arial" w:hAnsi="Arial"/>
          <w:b/>
          <w:bCs/>
          <w:sz w:val="26"/>
          <w:szCs w:val="26"/>
        </w:rPr>
        <w:t xml:space="preserve">§3 — FQ1-FQ5 Decomposition of the Tourette’s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Operation</w:t>
            </w:r>
          </w:p>
        </w:tc>
        <w:tc>
          <w:tcPr>
            <w:tcW w:type="dxa" w:w="7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Tourette’s / CSTC System Instantiation</w:t>
            </w:r>
          </w:p>
        </w:tc>
      </w:tr>
      <w:tr>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before="0" w:after="0"/>
            </w:pPr>
            <w:r>
              <w:rPr>
                <w:rFonts w:ascii="Arial" w:cs="Arial" w:eastAsia="Arial" w:hAnsi="Arial"/>
                <w:b/>
                <w:bCs/>
                <w:sz w:val="20"/>
                <w:szCs w:val="20"/>
              </w:rPr>
              <w:t xml:space="preserve">FQ1 PROPAGATION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Motor program propagation: cortical motor plan → striatum → globus pallidus → thalamus → motor cortex → spinal motor neurons → muscle. In Tourette’s, uninhibited motor programs propagate through the CSTC loop, executing as tics. Neurochemical propagation: glutamate is the primary excitatory neurotransmitter at the corticostriatal synapse (cortex → striatum) and at the STN→GPi synapse in the indirect pathway [Albin89]. Dopamine from the SNc modulates striatal medium spiny neuron excitability at D1 and D2 receptors, controlling the Go/NoGo balance. Histamine from the tuberomammillary nucleus projects to the striatum, where H3 autoreceptors on dopaminergic terminals regulate DA release [Rapanelli17].</w:t>
            </w:r>
          </w:p>
        </w:tc>
      </w:tr>
      <w:tr>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before="0" w:after="0"/>
            </w:pPr>
            <w:r>
              <w:rPr>
                <w:rFonts w:ascii="Arial" w:cs="Arial" w:eastAsia="Arial" w:hAnsi="Arial"/>
                <w:b/>
                <w:bCs/>
                <w:sz w:val="20"/>
                <w:szCs w:val="20"/>
              </w:rPr>
              <w:t xml:space="preserve">FQ2 GATING</w:t>
            </w:r>
          </w:p>
        </w:tc>
        <w:tc>
          <w:tcPr>
            <w:tcW w:type="dxa" w:w="7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before="0" w:after="0"/>
            </w:pPr>
            <w:r>
              <w:rPr>
                <w:rFonts w:ascii="Arial" w:cs="Arial" w:eastAsia="Arial" w:hAnsi="Arial"/>
                <w:sz w:val="20"/>
                <w:szCs w:val="20"/>
              </w:rPr>
              <w:t xml:space="preserve">The primary gate mechanism: striatal inhibitory gating [Leckman02]. The striatum selects which motor programs execute and which are suppressed via direct pathway (D1 → Go) and indirect pathway (D2 → NoGo). Tourette’s = indirect pathway insufficiently engaged. GABA is the primary inhibitory neurotransmitter throughout the basal ganglia circuit: striatum → GPe (GABAergic), GPe → STN (GABAergic), GPi/SNr → thalamus (GABAergic). The entire gate architecture is GABA-mediated. D2 hyperstimulation in TS reduces indirect pathway GABA output, allowing Go to dominate NoGo for tic-generating circuits. NE/LC gate threshold: NE_tonic sets the system-wide sensitivity of this gate — elevated NE lowers the threshold for motor program escape across all CSTC circuits simultaneously (see §3d).</w:t>
            </w:r>
          </w:p>
        </w:tc>
      </w:tr>
      <w:tr>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before="0" w:after="0"/>
            </w:pPr>
            <w:r>
              <w:rPr>
                <w:rFonts w:ascii="Arial" w:cs="Arial" w:eastAsia="Arial" w:hAnsi="Arial"/>
                <w:b/>
                <w:bCs/>
                <w:sz w:val="20"/>
                <w:szCs w:val="20"/>
              </w:rPr>
              <w:t xml:space="preserve">FQ3 DETECTION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The premonitory urge: before most tics, patients experience a localized sensory urge — a pressure, tension, or ‘just right’ sensation — that is the FQ3 detection signal for a motor program that has escaped striatal gating and is propagating toward execution in the SMA [Leckman02]. The dACC is modeled here as the cortical FQ3 control-demand node: it detects motor program conflict and routes a control demand to dlPFC. CBIT works by training patients to use this detection signal to intervene before the tic fires. The urge is the detection mechanism for failed inhibition.</w:t>
            </w:r>
          </w:p>
        </w:tc>
      </w:tr>
      <w:tr>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before="0" w:after="0"/>
            </w:pPr>
            <w:r>
              <w:rPr>
                <w:rFonts w:ascii="Arial" w:cs="Arial" w:eastAsia="Arial" w:hAnsi="Arial"/>
                <w:b/>
                <w:bCs/>
                <w:sz w:val="20"/>
                <w:szCs w:val="20"/>
              </w:rPr>
              <w:t xml:space="preserve">FQ4 ACCUMULATION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Tic suppression load: voluntarily suppressing tics creates an accumulated backlog of unfired motor programs. The premonitory urge intensifies with each suppression cycle. When suppression is released, a rebound burst discharges the accumulated queue. Social context shifts tic frequency dramatically: school-time suppression → home-time rebound. OCD obsessions follow the same accumulation structure: unexecuted compulsion creates increasing cognitive pressure (compulsion-as-FQ2-discharge parallel to tic-as-FQ2-discharge).</w:t>
            </w:r>
          </w:p>
        </w:tc>
      </w:tr>
      <w:tr>
        <w:tc>
          <w:tcPr>
            <w:tcW w:type="dxa" w:w="1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before="0" w:after="0"/>
            </w:pPr>
            <w:r>
              <w:rPr>
                <w:rFonts w:ascii="Arial" w:cs="Arial" w:eastAsia="Arial" w:hAnsi="Arial"/>
                <w:b/>
                <w:bCs/>
                <w:sz w:val="20"/>
                <w:szCs w:val="20"/>
              </w:rPr>
              <w:t xml:space="preserve">FQ5 REFINEMENT</w:t>
            </w:r>
          </w:p>
        </w:tc>
        <w:tc>
          <w:tcPr>
            <w:tcW w:type="dxa" w:w="7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pPr>
              <w:spacing w:before="0" w:after="0"/>
            </w:pPr>
            <w:r>
              <w:rPr>
                <w:rFonts w:ascii="Arial" w:cs="Arial" w:eastAsia="Arial" w:hAnsi="Arial"/>
                <w:sz w:val="20"/>
                <w:szCs w:val="20"/>
              </w:rPr>
              <w:t xml:space="preserve">Natural history: tic severity peaks in childhood (ages 10-12) and substantially improves in 50-70% by late adolescence as prefrontal cortex (PFC) myelination completes (~age 25) [Leckman02]. PFC provides top-down inhibitory control over the CSTC loop — mature PFC raises the gate threshold. PFC maturation is a major contributor to this FQ5 structural update. Testosterone surge at puberty transiently worsens tics in boys (peak TS severity age 10-12 coincides with early pubertal T increase), then PFC maturation dominates. CBIT produces a separate FQ5 update: trained competing responses restructure the motor program library around tic-suppression habits [Piacentini10]. Sleep-GABA gate restoration: each night’s NREM sleep is a FQ5 reset of the GABAergic inhibitory architecture (see §4).</w:t>
            </w:r>
          </w:p>
        </w:tc>
      </w:tr>
    </w:tbl>
    <w:p>
      <w:pPr>
        <w:spacing w:before="40" w:after="40"/>
      </w:pPr>
      <w:r>
        <w:t xml:space="preserve"/>
      </w:r>
    </w:p>
    <w:p>
      <w:pPr>
        <w:pStyle w:val="Heading1"/>
        <w:spacing w:before="280" w:after="100"/>
      </w:pPr>
      <w:r>
        <w:rPr>
          <w:rFonts w:ascii="Arial" w:cs="Arial" w:eastAsia="Arial" w:hAnsi="Arial"/>
          <w:b/>
          <w:bCs/>
          <w:sz w:val="26"/>
          <w:szCs w:val="26"/>
        </w:rPr>
        <w:t xml:space="preserve">§3b — The Neurochemical Layer: GABA, Glutamate, Dopamine, and Histamine</w:t>
      </w:r>
    </w:p>
    <w:p>
      <w:pPr>
        <w:spacing w:before="80" w:after="80"/>
        <w:jc w:val="left"/>
      </w:pPr>
      <w:r>
        <w:rPr>
          <w:rFonts w:ascii="Arial" w:cs="Arial" w:eastAsia="Arial" w:hAnsi="Arial"/>
          <w:b w:val="false"/>
          <w:bCs w:val="false"/>
          <w:i w:val="false"/>
          <w:iCs w:val="false"/>
          <w:color w:val="000000"/>
          <w:sz w:val="20"/>
          <w:szCs w:val="20"/>
        </w:rPr>
        <w:t xml:space="preserve">Tourette’s v0.2 correctly identified the dopaminergic D2 mechanism and the CSTC circuit architecture. v0.3 named the neurochemical cast: every synapse in the basal ganglia gate has a specific neurotransmitter identity that explains both why the gate fails and how each pharmacological intervention targets it.</w:t>
      </w:r>
    </w:p>
    <w:p>
      <w:pPr>
        <w:pStyle w:val="Heading2"/>
        <w:spacing w:before="200" w:after="100"/>
      </w:pPr>
      <w:r>
        <w:rPr>
          <w:rFonts w:ascii="Arial" w:cs="Arial" w:eastAsia="Arial" w:hAnsi="Arial"/>
          <w:b/>
          <w:bCs/>
          <w:sz w:val="24"/>
          <w:szCs w:val="24"/>
        </w:rPr>
        <w:t xml:space="preserve">GABA: The Inhibitory Architecture of the Entire Basal Ganglia Gate</w:t>
      </w:r>
    </w:p>
    <w:p>
      <w:pPr>
        <w:spacing w:before="80" w:after="80"/>
        <w:jc w:val="left"/>
      </w:pPr>
      <w:r>
        <w:rPr>
          <w:rFonts w:ascii="Arial" w:cs="Arial" w:eastAsia="Arial" w:hAnsi="Arial"/>
          <w:b w:val="false"/>
          <w:bCs w:val="false"/>
          <w:i w:val="false"/>
          <w:iCs w:val="false"/>
          <w:color w:val="000000"/>
          <w:sz w:val="20"/>
          <w:szCs w:val="20"/>
        </w:rPr>
        <w:t xml:space="preserve">The basal ganglia gate is predominantly GABA-mediated. With the single exception of the glutamatergic STN→GPi synapse, every synapse in the direct and indirect pathways uses GABA as its inhibitory transmitter [Albin89]:</w:t>
      </w:r>
    </w:p>
    <w:p>
      <w:pPr>
        <w:pStyle w:val="ListParagraph"/>
        <w:numPr>
          <w:ilvl w:val="0"/>
          <w:numId w:val="2"/>
        </w:numPr>
        <w:spacing w:before="80" w:after="80"/>
        <w:jc w:val="left"/>
      </w:pPr>
      <w:r>
        <w:rPr>
          <w:rFonts w:ascii="Arial" w:cs="Arial" w:eastAsia="Arial" w:hAnsi="Arial"/>
          <w:b/>
          <w:bCs/>
          <w:sz w:val="20"/>
          <w:szCs w:val="20"/>
        </w:rPr>
        <w:t xml:space="preserve">Striatum → GPi (direct pathway):</w:t>
      </w:r>
      <w:r>
        <w:rPr>
          <w:rFonts w:ascii="Arial" w:cs="Arial" w:eastAsia="Arial" w:hAnsi="Arial"/>
          <w:sz w:val="20"/>
          <w:szCs w:val="20"/>
        </w:rPr>
        <w:t xml:space="preserve"> GABAergic medium spiny neurons (D1-expressing) project from striatum to GPi/SNr. When active, they inhibit GPi → disinhibit thalamus → release motor cortex. GABA is the Go signal delivered via inhibition of the brake.</w:t>
      </w:r>
    </w:p>
    <w:p>
      <w:pPr>
        <w:pStyle w:val="ListParagraph"/>
        <w:numPr>
          <w:ilvl w:val="0"/>
          <w:numId w:val="2"/>
        </w:numPr>
        <w:spacing w:before="80" w:after="80"/>
        <w:jc w:val="left"/>
      </w:pPr>
      <w:r>
        <w:rPr>
          <w:rFonts w:ascii="Arial" w:cs="Arial" w:eastAsia="Arial" w:hAnsi="Arial"/>
          <w:b/>
          <w:bCs/>
          <w:sz w:val="20"/>
          <w:szCs w:val="20"/>
        </w:rPr>
        <w:t xml:space="preserve">Striatum → GPe (indirect pathway):</w:t>
      </w:r>
      <w:r>
        <w:rPr>
          <w:rFonts w:ascii="Arial" w:cs="Arial" w:eastAsia="Arial" w:hAnsi="Arial"/>
          <w:sz w:val="20"/>
          <w:szCs w:val="20"/>
        </w:rPr>
        <w:t xml:space="preserve"> GABAergic medium spiny neurons (D2-expressing) project from striatum to GPe. When active, they inhibit GPe → disinhibit STN → STN activates GPi (via glutamate) → inhibits thalamus → suppresses motor cortex. GABA is the first step of the NoGo cascade.</w:t>
      </w:r>
    </w:p>
    <w:p>
      <w:pPr>
        <w:pStyle w:val="ListParagraph"/>
        <w:numPr>
          <w:ilvl w:val="0"/>
          <w:numId w:val="2"/>
        </w:numPr>
        <w:spacing w:before="80" w:after="80"/>
        <w:jc w:val="left"/>
      </w:pPr>
      <w:r>
        <w:rPr>
          <w:rFonts w:ascii="Arial" w:cs="Arial" w:eastAsia="Arial" w:hAnsi="Arial"/>
          <w:b/>
          <w:bCs/>
          <w:sz w:val="20"/>
          <w:szCs w:val="20"/>
        </w:rPr>
        <w:t xml:space="preserve">GPe → STN (indirect pathway):</w:t>
      </w:r>
      <w:r>
        <w:rPr>
          <w:rFonts w:ascii="Arial" w:cs="Arial" w:eastAsia="Arial" w:hAnsi="Arial"/>
          <w:sz w:val="20"/>
          <w:szCs w:val="20"/>
        </w:rPr>
        <w:t xml:space="preserve"> GABAergic GPe neurons suppress STN firing. When GPe is itself suppressed by striatal D2 neurons, STN is disinhibited and fires onto GPi with glutamate. The GABA gate on STN is released.</w:t>
      </w:r>
    </w:p>
    <w:p>
      <w:pPr>
        <w:pStyle w:val="ListParagraph"/>
        <w:numPr>
          <w:ilvl w:val="0"/>
          <w:numId w:val="2"/>
        </w:numPr>
        <w:spacing w:before="80" w:after="80"/>
        <w:jc w:val="left"/>
      </w:pPr>
      <w:r>
        <w:rPr>
          <w:rFonts w:ascii="Arial" w:cs="Arial" w:eastAsia="Arial" w:hAnsi="Arial"/>
          <w:b/>
          <w:bCs/>
          <w:sz w:val="20"/>
          <w:szCs w:val="20"/>
        </w:rPr>
        <w:t xml:space="preserve">GPi → Thalamus (final output):</w:t>
      </w:r>
      <w:r>
        <w:rPr>
          <w:rFonts w:ascii="Arial" w:cs="Arial" w:eastAsia="Arial" w:hAnsi="Arial"/>
          <w:sz w:val="20"/>
          <w:szCs w:val="20"/>
        </w:rPr>
        <w:t xml:space="preserve"> the most potent GABAergic projection in the basal ganglia. GPi neurons fire tonically at high rates (~70 Hz), continuously applying GABAergic brake to thalamic relay neurons. All motor selection is achieved by releasing (direct pathway) or strengthening (indirect pathway) this tonic GABA brake. Deep Brain Stimulation (DBS) of GPi or the centromedian thalamic nucleus works partly by disrupting the abnormal burst-firing pattern of GPi that develops when indirect pathway GABA output is reduced.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0"/>
            </w:pPr>
            <w:r>
              <w:rPr>
                <w:rFonts w:ascii="Arial" w:cs="Arial" w:eastAsia="Arial" w:hAnsi="Arial"/>
                <w:b w:val="false"/>
                <w:bCs w:val="false"/>
                <w:i/>
                <w:iCs/>
                <w:sz w:val="20"/>
                <w:szCs w:val="20"/>
              </w:rPr>
              <w:t xml:space="preserve">This GABA-centricity of the basal ganglia gate explains why Tourette’s is mechanistically connected to epilepsy (global GABA failure), dystonia (GABA imbalance in the motor CSTC loop), and OCD (GABA imbalance in the cognitive CSTC loop). They are all GABA gate failure conditions in overlapping circuits. The specific symptom (tic, seizure, repetitive thought) depends on which circuit’s GABA gate has failed — not on which molecular failure mode has occurred.</w:t>
            </w:r>
          </w:p>
        </w:tc>
      </w:tr>
    </w:tbl>
    <w:p>
      <w:pPr>
        <w:spacing w:before="40" w:after="40"/>
      </w:pPr>
      <w:r>
        <w:t xml:space="preserve"/>
      </w:r>
    </w:p>
    <w:p>
      <w:pPr>
        <w:pStyle w:val="Heading2"/>
        <w:spacing w:before="200" w:after="100"/>
      </w:pPr>
      <w:r>
        <w:rPr>
          <w:rFonts w:ascii="Arial" w:cs="Arial" w:eastAsia="Arial" w:hAnsi="Arial"/>
          <w:b/>
          <w:bCs/>
          <w:sz w:val="24"/>
          <w:szCs w:val="24"/>
        </w:rPr>
        <w:t xml:space="preserve">Glutamate: Cortical Drive and the STN→GPi Excitatory Synapse</w:t>
      </w:r>
    </w:p>
    <w:p>
      <w:pPr>
        <w:spacing w:before="80" w:after="80"/>
        <w:jc w:val="left"/>
      </w:pPr>
      <w:r>
        <w:rPr>
          <w:rFonts w:ascii="Arial" w:cs="Arial" w:eastAsia="Arial" w:hAnsi="Arial"/>
          <w:b w:val="false"/>
          <w:bCs w:val="false"/>
          <w:i w:val="false"/>
          <w:iCs w:val="false"/>
          <w:color w:val="000000"/>
          <w:sz w:val="20"/>
          <w:szCs w:val="20"/>
        </w:rPr>
        <w:t xml:space="preserve">Glutamate has two critical roles in the Tourette’s circuit [Albin89]:</w:t>
      </w:r>
    </w:p>
    <w:p>
      <w:pPr>
        <w:pStyle w:val="ListParagraph"/>
        <w:numPr>
          <w:ilvl w:val="0"/>
          <w:numId w:val="2"/>
        </w:numPr>
        <w:spacing w:before="80" w:after="80"/>
        <w:jc w:val="left"/>
      </w:pPr>
      <w:r>
        <w:rPr>
          <w:rFonts w:ascii="Arial" w:cs="Arial" w:eastAsia="Arial" w:hAnsi="Arial"/>
          <w:b/>
          <w:bCs/>
          <w:sz w:val="20"/>
          <w:szCs w:val="20"/>
        </w:rPr>
        <w:t xml:space="preserve">Corticostriatal glutamate (cortex → striatum):</w:t>
      </w:r>
      <w:r>
        <w:rPr>
          <w:rFonts w:ascii="Arial" w:cs="Arial" w:eastAsia="Arial" w:hAnsi="Arial"/>
          <w:sz w:val="20"/>
          <w:szCs w:val="20"/>
        </w:rPr>
        <w:t xml:space="preserve"> the corticostriatal projection is the primary excitatory input to the striatum. Cortical glutamate activates both D1-expressing direct pathway neurons and D2-expressing indirect pathway neurons. Excess cortical glutamatergic drive onto direct pathway neurons can overwhelm the indirect pathway NoGo gate — particularly in moments of stress or excitement when PFC top-down control of glutamate release is reduced. This is why tics worsen with anxiety (increased cortical excitability → increased glutamatergic drive on direct pathway → Go &gt; NoGo in tic-generating circuits). CBIT intervention works partly by teaching PFC-mediated regulation of this corticostriatal glutamate signal: deliberate competing responses engage PFC glutamatergic top-down control, which both blocks the tic and trains the PFC→striatum regulatory pathway for future suppression.</w:t>
      </w:r>
    </w:p>
    <w:p>
      <w:pPr>
        <w:pStyle w:val="ListParagraph"/>
        <w:numPr>
          <w:ilvl w:val="0"/>
          <w:numId w:val="2"/>
        </w:numPr>
        <w:spacing w:before="80" w:after="80"/>
        <w:jc w:val="left"/>
      </w:pPr>
      <w:r>
        <w:rPr>
          <w:rFonts w:ascii="Arial" w:cs="Arial" w:eastAsia="Arial" w:hAnsi="Arial"/>
          <w:b/>
          <w:bCs/>
          <w:sz w:val="20"/>
          <w:szCs w:val="20"/>
        </w:rPr>
        <w:t xml:space="preserve">STN → GPi glutamate (indirect pathway drive):</w:t>
      </w:r>
      <w:r>
        <w:rPr>
          <w:rFonts w:ascii="Arial" w:cs="Arial" w:eastAsia="Arial" w:hAnsi="Arial"/>
          <w:sz w:val="20"/>
          <w:szCs w:val="20"/>
        </w:rPr>
        <w:t xml:space="preserve"> the subthalamic nucleus (STN) is the only structure in the basal ganglia that uses glutamate as its output transmitter. STN→GPi glutamatergic drive is the engine of the NoGo signal: when GPe’s GABA hold on STN is released (because indirect pathway D2 neurons are suppressed by dopamine), STN fires glutamate onto GPi, activating GPi’s GABA output onto thalamus, which suppresses the motor cortex. In Tourette’s, D2 hyperstimulation → reduced striatum→GPe GABA → GPe fails to hold STN → STN glutamate on GPi is insufficient because GPe is not releasing STN from tonic GABA inhibition in the first place. The indirect pathway is under-activated at every level.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0"/>
            </w:pPr>
            <w:r>
              <w:rPr>
                <w:rFonts w:ascii="Arial" w:cs="Arial" w:eastAsia="Arial" w:hAnsi="Arial"/>
                <w:b/>
                <w:bCs/>
                <w:i/>
                <w:iCs/>
                <w:sz w:val="20"/>
                <w:szCs w:val="20"/>
              </w:rPr>
              <w:t xml:space="preserve">The indirect pathway failure cascade in Tourette’s: D2 hyperstimulation → striatum→GPe GABA output reduced → GPe not fully suppressed → GPe’s GABA hold on STN maintained → STN not released to drive GPi glutamate → GPi does not adequately inhibit thalamus → thalamus is not adequately suppressed → motor cortex receives the tic-generating motor program. The entire cascade is a failure to release the STN from GPe’s GABA hold — because the upstream D2 signal to release GPe never arrived at full strength.</w:t>
            </w:r>
          </w:p>
        </w:tc>
      </w:tr>
    </w:tbl>
    <w:p>
      <w:pPr>
        <w:spacing w:before="40" w:after="40"/>
      </w:pPr>
      <w:r>
        <w:t xml:space="preserve"/>
      </w:r>
    </w:p>
    <w:p>
      <w:pPr>
        <w:pStyle w:val="Heading2"/>
        <w:spacing w:before="200" w:after="100"/>
      </w:pPr>
      <w:r>
        <w:rPr>
          <w:rFonts w:ascii="Arial" w:cs="Arial" w:eastAsia="Arial" w:hAnsi="Arial"/>
          <w:b/>
          <w:bCs/>
          <w:sz w:val="24"/>
          <w:szCs w:val="24"/>
        </w:rPr>
        <w:t xml:space="preserve">Histamine H3 Receptors: The Third Dopamine Modulator and the VMAT2 Mechanism</w:t>
      </w:r>
    </w:p>
    <w:p>
      <w:pPr>
        <w:spacing w:before="80" w:after="80"/>
        <w:jc w:val="left"/>
      </w:pPr>
      <w:r>
        <w:rPr>
          <w:rFonts w:ascii="Arial" w:cs="Arial" w:eastAsia="Arial" w:hAnsi="Arial"/>
          <w:b w:val="false"/>
          <w:bCs w:val="false"/>
          <w:i w:val="false"/>
          <w:iCs w:val="false"/>
          <w:color w:val="000000"/>
          <w:sz w:val="20"/>
          <w:szCs w:val="20"/>
        </w:rPr>
        <w:t xml:space="preserve">Histaminergic neurons in the tuberomammillary nucleus (TMN) of the posterior hypothalamus project diffusely to the striatum, where histamine acts on H3 autoreceptors located on dopaminergic terminals projecting from the substantia nigra [Rapanelli17]. The H3 receptor is a presynaptic inhibitory receptor: histamine binding at H3 on dopaminergic terminals reduces dopamine release. This means histamine is an endogenous brake on striatal dopamine release — and H3 is the molecular interface between the histaminergic and dopaminergic systems in the striatum.</w:t>
      </w:r>
    </w:p>
    <w:p>
      <w:pPr>
        <w:spacing w:before="40" w:after="40"/>
      </w:pPr>
      <w:r>
        <w:t xml:space="preserve"/>
      </w:r>
    </w:p>
    <w:p>
      <w:pPr>
        <w:pStyle w:val="ListParagraph"/>
        <w:numPr>
          <w:ilvl w:val="0"/>
          <w:numId w:val="2"/>
        </w:numPr>
        <w:spacing w:before="80" w:after="80"/>
        <w:jc w:val="left"/>
      </w:pPr>
      <w:r>
        <w:rPr>
          <w:rFonts w:ascii="Arial" w:cs="Arial" w:eastAsia="Arial" w:hAnsi="Arial"/>
          <w:b/>
          <w:bCs/>
          <w:sz w:val="20"/>
          <w:szCs w:val="20"/>
        </w:rPr>
        <w:t xml:space="preserve">VMAT2 inhibitors (valbenazine, deutetrabenazine):</w:t>
      </w:r>
      <w:r>
        <w:rPr>
          <w:rFonts w:ascii="Arial" w:cs="Arial" w:eastAsia="Arial" w:hAnsi="Arial"/>
          <w:sz w:val="20"/>
          <w:szCs w:val="20"/>
        </w:rPr>
        <w:t xml:space="preserve"> vesicular monoamine transporter 2 (VMAT2) packages dopamine (and other monoamines) into synaptic vesicles. VMAT2 inhibition reduces the amount of dopamine loaded per vesicle → less DA released per action potential → striatal D2 receptor stimulation normalized → indirect pathway GABA output restored → NoGo gate function improved. Critically, this mechanism avoids chronic D2 receptor blockade — and may therefore reduce the risk of tardive dyskinesia that results from receptor upregulation with long-term antagonist use. VMAT2 inhibitors normalize DA release rather than blocking its receptor.</w:t>
      </w:r>
    </w:p>
    <w:p>
      <w:pPr>
        <w:pStyle w:val="ListParagraph"/>
        <w:numPr>
          <w:ilvl w:val="0"/>
          <w:numId w:val="2"/>
        </w:numPr>
        <w:spacing w:before="80" w:after="80"/>
        <w:jc w:val="left"/>
      </w:pPr>
      <w:r>
        <w:rPr>
          <w:rFonts w:ascii="Arial" w:cs="Arial" w:eastAsia="Arial" w:hAnsi="Arial"/>
          <w:b/>
          <w:bCs/>
          <w:sz w:val="20"/>
          <w:szCs w:val="20"/>
        </w:rPr>
        <w:t xml:space="preserve">H3 receptor connection:</w:t>
      </w:r>
      <w:r>
        <w:rPr>
          <w:rFonts w:ascii="Arial" w:cs="Arial" w:eastAsia="Arial" w:hAnsi="Arial"/>
          <w:sz w:val="20"/>
          <w:szCs w:val="20"/>
        </w:rPr>
        <w:t xml:space="preserve"> VMAT2 inhibition reduces DA release at terminals that also express H3 autoreceptors. Some evidence suggests that H3 antagonism (which would increase histamine’s suppression of DA release) has anti-tic effects in animal models — the same directional prediction as VMAT2 inhibition. H3 receptor modulation may be an independent or synergistic target for TS pharmacology.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0"/>
            </w:pPr>
            <w:r>
              <w:rPr>
                <w:rFonts w:ascii="Arial" w:cs="Arial" w:eastAsia="Arial" w:hAnsi="Arial"/>
                <w:b/>
                <w:bCs/>
                <w:i/>
                <w:iCs/>
                <w:sz w:val="20"/>
                <w:szCs w:val="20"/>
              </w:rPr>
              <w:t xml:space="preserve">H3 receptors on striatal dopaminergic terminals function as a histaminergic brake on DA release. Antihistamines that cross the BBB and block H3 receptors (like diphenhydramine at high doses) can transiently worsen tics in some patients by removing this brake and increasing striatal DA. Conversely, H3 agonism (reducing DA release) has theoretical anti-tic activity, and the TMN-striatum-DA axis is an underexplored pharmacological target in TS.</w:t>
            </w:r>
          </w:p>
        </w:tc>
      </w:tr>
    </w:tbl>
    <w:p>
      <w:pPr>
        <w:spacing w:before="40" w:after="40"/>
      </w:pPr>
      <w:r>
        <w:t xml:space="preserve"/>
      </w:r>
    </w:p>
    <w:p>
      <w:pPr>
        <w:pStyle w:val="Heading1"/>
        <w:spacing w:before="280" w:after="100"/>
      </w:pPr>
      <w:r>
        <w:rPr>
          <w:rFonts w:ascii="Arial" w:cs="Arial" w:eastAsia="Arial" w:hAnsi="Arial"/>
          <w:b/>
          <w:bCs/>
          <w:sz w:val="26"/>
          <w:szCs w:val="26"/>
        </w:rPr>
        <w:t xml:space="preserve">§3c — The Hormonal Layer: Testosterone, D2 Density, and Male Sex Predominance</w:t>
      </w:r>
    </w:p>
    <w:p>
      <w:pPr>
        <w:spacing w:before="80" w:after="80"/>
        <w:jc w:val="left"/>
      </w:pPr>
      <w:r>
        <w:rPr>
          <w:rFonts w:ascii="Arial" w:cs="Arial" w:eastAsia="Arial" w:hAnsi="Arial"/>
          <w:b w:val="false"/>
          <w:bCs w:val="false"/>
          <w:i w:val="false"/>
          <w:iCs w:val="false"/>
          <w:color w:val="000000"/>
          <w:sz w:val="20"/>
          <w:szCs w:val="20"/>
        </w:rPr>
        <w:t xml:space="preserve">Tourette Syndrome affects boys at approximately 4:1 relative to girls [Leckman02]. The observed sex ratio is consistent with at least two independent hormonal mechanisms that both reduce the CSTC NoGo gate in the same direction.</w:t>
      </w:r>
    </w:p>
    <w:p>
      <w:pPr>
        <w:pStyle w:val="Heading2"/>
        <w:spacing w:before="200" w:after="100"/>
      </w:pPr>
      <w:r>
        <w:rPr>
          <w:rFonts w:ascii="Arial" w:cs="Arial" w:eastAsia="Arial" w:hAnsi="Arial"/>
          <w:b/>
          <w:bCs/>
          <w:sz w:val="24"/>
          <w:szCs w:val="24"/>
        </w:rPr>
        <w:t xml:space="preserve">Testosterone, Striatal D2 Receptor Density, and the NoGo Gate</w:t>
      </w:r>
    </w:p>
    <w:p>
      <w:pPr>
        <w:spacing w:before="80" w:after="80"/>
        <w:jc w:val="left"/>
      </w:pPr>
      <w:r>
        <w:rPr>
          <w:rFonts w:ascii="Arial" w:cs="Arial" w:eastAsia="Arial" w:hAnsi="Arial"/>
          <w:b w:val="false"/>
          <w:bCs w:val="false"/>
          <w:i w:val="false"/>
          <w:iCs w:val="false"/>
          <w:color w:val="000000"/>
          <w:sz w:val="20"/>
          <w:szCs w:val="20"/>
        </w:rPr>
        <w:t xml:space="preserve">Testosterone directly regulates striatal dopamine D2 receptor expression through androgen receptor (AR) signaling in the striatum. AR activation in striatal D2-expressing medium spiny neurons upregulates D2 receptor density and sensitivity. Higher D2 receptor density in the indirect pathway means greater D2-mediated suppression of indirect pathway GABA output for any given level of dopamine — a lower threshold for the NoGo gate failure that generates tics.</w:t>
      </w:r>
    </w:p>
    <w:p>
      <w:pPr>
        <w:spacing w:before="40" w:after="40"/>
      </w:pPr>
      <w:r>
        <w:t xml:space="preserve"/>
      </w:r>
    </w:p>
    <w:p>
      <w:pPr>
        <w:pStyle w:val="ListParagraph"/>
        <w:numPr>
          <w:ilvl w:val="0"/>
          <w:numId w:val="2"/>
        </w:numPr>
        <w:spacing w:before="80" w:after="80"/>
        <w:jc w:val="left"/>
      </w:pPr>
      <w:r>
        <w:rPr>
          <w:rFonts w:ascii="Arial" w:cs="Arial" w:eastAsia="Arial" w:hAnsi="Arial"/>
          <w:b/>
          <w:bCs/>
          <w:sz w:val="20"/>
          <w:szCs w:val="20"/>
        </w:rPr>
        <w:t xml:space="preserve">Fetal testosterone (organizational):</w:t>
      </w:r>
      <w:r>
        <w:rPr>
          <w:rFonts w:ascii="Arial" w:cs="Arial" w:eastAsia="Arial" w:hAnsi="Arial"/>
          <w:sz w:val="20"/>
          <w:szCs w:val="20"/>
        </w:rPr>
        <w:t xml:space="preserve"> the male fetal testosterone surge (weeks 8-24 of gestation) organizes the striatum with higher AR expression and primes D2-expressing neurons for greater D2 receptor upregulation in response to pubertal testosterone. This organizational effect is the reason the sex ratio is established at birth — boys are born with a striatum that is hormonally primed for higher D2 density.</w:t>
      </w:r>
    </w:p>
    <w:p>
      <w:pPr>
        <w:pStyle w:val="ListParagraph"/>
        <w:numPr>
          <w:ilvl w:val="0"/>
          <w:numId w:val="2"/>
        </w:numPr>
        <w:spacing w:before="80" w:after="80"/>
        <w:jc w:val="left"/>
      </w:pPr>
      <w:r>
        <w:rPr>
          <w:rFonts w:ascii="Arial" w:cs="Arial" w:eastAsia="Arial" w:hAnsi="Arial"/>
          <w:b/>
          <w:bCs/>
          <w:sz w:val="20"/>
          <w:szCs w:val="20"/>
        </w:rPr>
        <w:t xml:space="preserve">Pubertal testosterone (activational):</w:t>
      </w:r>
      <w:r>
        <w:rPr>
          <w:rFonts w:ascii="Arial" w:cs="Arial" w:eastAsia="Arial" w:hAnsi="Arial"/>
          <w:sz w:val="20"/>
          <w:szCs w:val="20"/>
        </w:rPr>
        <w:t xml:space="preserve"> the pubertal testosterone surge in boys (ages 10-14) acutely increases striatal D2 receptor density via AR signaling. This is why tic severity peaks at ages 10-12 — coinciding with the early pubertal testosterone surge that maximally reduces the CSTC NoGo gate. As testosterone stabilizes at adult levels and PFC myelination proceeds, the gate threshold rises and tics typically improve.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0"/>
            </w:pPr>
            <w:r>
              <w:rPr>
                <w:rFonts w:ascii="Arial" w:cs="Arial" w:eastAsia="Arial" w:hAnsi="Arial"/>
                <w:b/>
                <w:bCs/>
                <w:i/>
                <w:iCs/>
                <w:sz w:val="20"/>
                <w:szCs w:val="20"/>
              </w:rPr>
              <w:t xml:space="preserve">The male predominance in Tourette’s is consistent with at least three converging mechanisms: higher fetal testosterone (organizational D2 priming), higher pubertal testosterone (activational D2 upregulation), and slower PFC myelination (later top-down gate support). These factors all reduce the CSTC NoGo gate in the same direction and are likely contributors to the observed sex difference. However, epidemiological data also indicate that females are underdiagnosed and experience diagnostic delays, so the reported ratios (historically ~4:1) may overstate the true biological difference. The hormonal mechanisms are biologically plausible; their precise contribution to the population-level sex ratio remains an open question.</w:t>
            </w:r>
          </w:p>
        </w:tc>
      </w:tr>
    </w:tbl>
    <w:p>
      <w:pPr>
        <w:spacing w:before="40" w:after="40"/>
      </w:pPr>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tcMar>
              <w:top w:w="120" w:type="dxa"/>
              <w:left w:w="160" w:type="dxa"/>
              <w:bottom w:w="120" w:type="dxa"/>
              <w:right w:w="160" w:type="dxa"/>
            </w:tcMar>
          </w:tcPr>
          <w:p>
            <w:pPr>
              <w:spacing w:before="0" w:after="0"/>
            </w:pPr>
            <w:r>
              <w:rPr>
                <w:rFonts w:ascii="Arial" w:hAnsi="Arial"/>
                <w:i/>
                <w:sz w:val="20"/>
              </w:rPr>
              <w:t xml:space="preserve">Hypothesis note: The ALLO/PANDAS section below describes biologically plausible mechanisms linking allopregnanolone levels, neuroinflammation, and CSTC gate vulnerability. The individual components (ALLO as GABA-A modulator, PANDAS as immune-mediated basal ganglia disruption) are documented in the literature. The assembled causal chain — ALLO levels as a graded neuroprotective buffer determining PANDAS severity — is a modeling assumption that has not been directly tested. It is included here as a mechanistic hypothesis awaiting empirical validation, not as established biology.</w:t>
            </w:r>
          </w:p>
        </w:tc>
      </w:tr>
    </w:tbl>
    <w:p>
      <w:pPr>
        <w:spacing w:before="40" w:after="40"/>
      </w:pPr>
    </w:p>
    <w:p>
      <w:pPr>
        <w:pStyle w:val="Heading2"/>
        <w:spacing w:before="200" w:after="100"/>
      </w:pPr>
      <w:r>
        <w:rPr>
          <w:rFonts w:ascii="Arial" w:cs="Arial" w:eastAsia="Arial" w:hAnsi="Arial"/>
          <w:b/>
          <w:bCs/>
          <w:sz w:val="24"/>
          <w:szCs w:val="24"/>
        </w:rPr>
        <w:t xml:space="preserve">Allopregnanolone (ALLO), PANDAS, and Immune Vulnerability</w:t>
      </w:r>
    </w:p>
    <w:p>
      <w:pPr>
        <w:spacing w:before="80" w:after="80"/>
        <w:jc w:val="left"/>
      </w:pPr>
      <w:r>
        <w:rPr>
          <w:rFonts w:ascii="Arial" w:cs="Arial" w:eastAsia="Arial" w:hAnsi="Arial"/>
          <w:b w:val="false"/>
          <w:bCs w:val="false"/>
          <w:i w:val="false"/>
          <w:iCs w:val="false"/>
          <w:color w:val="000000"/>
          <w:sz w:val="20"/>
          <w:szCs w:val="20"/>
        </w:rPr>
        <w:t xml:space="preserve">PANDAS (Pediatric Acute-onset Neuropsychiatric Syndrome) — the rapid onset of tics and OCD following Group A streptococcal infection via molecular mimicry with basal ganglia proteins (particularly CAMKII) — represents a second hormonal-neurological connection in Tourette’s.</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ALLO (allopregnanolone), the GABA-A positive allosteric modulator metabolite of progesterone, has anti-neuroinflammatory properties in addition to its GABAergic effects. ALLO at GABA-A receptors on microglia reduces their activation state, suppressing neuroinflammatory cytokine production (IL-1b, TNF-a) in the brain. In PANDAS, the streptococcal immune response generates CNS inflammation at the striatum — directly disrupting basal ganglia GABA function through neuroinflammatory IL-1b and TNF-a suppression of GABAergic interneuron activity.</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Lower ALLO levels — which occur in children (who produce less progesterone than adults) and in early puberty (before progesterone cycles are established in girls) — reduce the brain’s anti-neuroinflammatory buffer. On this hypothesis, children in the PANDAS-vulnerable age range (5-12) are at peak TS severity AND at lowest ALLO neuroprotective buffer simultaneously — which would make the striatal GABA gate more vulnerable to immune-mediated disruption. This causal chain has not been directly tested.</w:t>
      </w:r>
    </w:p>
    <w:p>
      <w:pPr>
        <w:spacing w:before="40" w:after="40"/>
      </w:pPr>
      <w:r>
        <w:t xml:space="preserve"/>
      </w:r>
    </w:p>
    <w:p>
      <w:pPr>
        <w:pStyle w:val="Heading1"/>
        <w:spacing w:before="280" w:after="100"/>
      </w:pPr>
      <w:r>
        <w:rPr>
          <w:rFonts w:ascii="Arial" w:cs="Arial" w:eastAsia="Arial" w:hAnsi="Arial"/>
          <w:b/>
          <w:bCs/>
          <w:sz w:val="26"/>
          <w:szCs w:val="26"/>
        </w:rPr>
        <w:t xml:space="preserve">§3d — NE/Locus Coeruleus: The Arousal System as CSTC Gate Threshold Calibrator</w:t>
      </w:r>
    </w:p>
    <w:p>
      <w:pPr>
        <w:spacing w:before="80" w:after="80"/>
        <w:jc w:val="left"/>
      </w:pPr>
      <w:r>
        <w:rPr>
          <w:rFonts w:ascii="Arial" w:cs="Arial" w:eastAsia="Arial" w:hAnsi="Arial"/>
          <w:b w:val="false"/>
          <w:bCs w:val="false"/>
          <w:i w:val="false"/>
          <w:iCs w:val="false"/>
          <w:color w:val="000000"/>
          <w:sz w:val="20"/>
          <w:szCs w:val="20"/>
        </w:rPr>
        <w:t xml:space="preserve">The locus coeruleus (LC) is the brain’s primary norepinephrine (NE)-releasing nucleus, projecting NE throughout the cortex, striatum, thalamus, and limbic system [Berridge03; BrainBody v1.3]. In the context of Tourette’s, the LC-NE system functions as a continuous calibrator of the CSTC gate threshold — not a primary driver of tic generation, but a system-wide modulator that determines how easily motor programs escape the gate at any given moment.</w:t>
      </w:r>
    </w:p>
    <w:p>
      <w:pPr>
        <w:pStyle w:val="Heading2"/>
        <w:spacing w:before="200" w:after="100"/>
      </w:pPr>
      <w:r>
        <w:rPr>
          <w:rFonts w:ascii="Arial" w:cs="Arial" w:eastAsia="Arial" w:hAnsi="Arial"/>
          <w:b/>
          <w:bCs/>
          <w:sz w:val="24"/>
          <w:szCs w:val="24"/>
        </w:rPr>
        <w:t xml:space="preserve">NE Tonic and the Gate Threshold</w:t>
      </w:r>
    </w:p>
    <w:p>
      <w:pPr>
        <w:spacing w:before="80" w:after="80"/>
        <w:jc w:val="left"/>
      </w:pPr>
      <w:r>
        <w:rPr>
          <w:rFonts w:ascii="Arial" w:cs="Arial" w:eastAsia="Arial" w:hAnsi="Arial"/>
          <w:b w:val="false"/>
          <w:bCs w:val="false"/>
          <w:i w:val="false"/>
          <w:iCs w:val="false"/>
          <w:color w:val="000000"/>
          <w:sz w:val="20"/>
          <w:szCs w:val="20"/>
        </w:rPr>
        <w:t xml:space="preserve">NE_tonic (the baseline level of norepinephrine in the system) is regulated by multiple inputs to the LC: prefrontal top-down modulation, sensory input, stress hormones (CRF/cortisol), circadian rhythm, sleep pressure (adenosine), and social context [Berridge03; Arnsten20]. When NE_tonic rises — from anxiety, stress, sleep deprivation, or high arousal states — the signal-to-noise ratio in cortical processing shifts — consistent with a reduced effective threshold for motor program escape across CSTC circuits. Motor programs that were marginally below the threshold for escape can now execute as tics. This explains several well-documented clinical observations:</w:t>
      </w:r>
    </w:p>
    <w:p>
      <w:pPr>
        <w:spacing w:before="40" w:after="40"/>
      </w:pPr>
      <w:r>
        <w:t xml:space="preserve"/>
      </w:r>
    </w:p>
    <w:p>
      <w:pPr>
        <w:pStyle w:val="ListParagraph"/>
        <w:numPr>
          <w:ilvl w:val="0"/>
          <w:numId w:val="2"/>
        </w:numPr>
        <w:spacing w:before="80" w:after="80"/>
        <w:jc w:val="left"/>
      </w:pPr>
      <w:r>
        <w:rPr>
          <w:rFonts w:ascii="Arial" w:cs="Arial" w:eastAsia="Arial" w:hAnsi="Arial"/>
          <w:b/>
          <w:bCs/>
          <w:sz w:val="20"/>
          <w:szCs w:val="20"/>
        </w:rPr>
        <w:t xml:space="preserve">Anxiety worsens tics:</w:t>
      </w:r>
      <w:r>
        <w:rPr>
          <w:rFonts w:ascii="Arial" w:cs="Arial" w:eastAsia="Arial" w:hAnsi="Arial"/>
          <w:sz w:val="20"/>
          <w:szCs w:val="20"/>
        </w:rPr>
        <w:t xml:space="preserve"> anxiety → elevated LC-NE → lower CSTC gate threshold across all circuits → tics that were controlled re-emerge. This is not an emotional response to having tics — it is a direct neurochemical gate threshold lowering. Anxiety treatment is tic treatment through this NE mechanism, in addition to the cortisol-PFC mechanism.</w:t>
      </w:r>
    </w:p>
    <w:p>
      <w:pPr>
        <w:pStyle w:val="ListParagraph"/>
        <w:numPr>
          <w:ilvl w:val="0"/>
          <w:numId w:val="2"/>
        </w:numPr>
        <w:spacing w:before="80" w:after="80"/>
        <w:jc w:val="left"/>
      </w:pPr>
      <w:r>
        <w:rPr>
          <w:rFonts w:ascii="Arial" w:cs="Arial" w:eastAsia="Arial" w:hAnsi="Arial"/>
          <w:b/>
          <w:bCs/>
          <w:sz w:val="20"/>
          <w:szCs w:val="20"/>
        </w:rPr>
        <w:t xml:space="preserve">Stress worsens tics:</w:t>
      </w:r>
      <w:r>
        <w:rPr>
          <w:rFonts w:ascii="Arial" w:cs="Arial" w:eastAsia="Arial" w:hAnsi="Arial"/>
          <w:sz w:val="20"/>
          <w:szCs w:val="20"/>
        </w:rPr>
        <w:t xml:space="preserve"> acute stress → cortisol → CRF → LC activation → NE surge → gate threshold drops. The cortisol-LC connection runs bidirectionally: stress activates LC via CRF, and sustained cortisol disrupts PFC glutamatergic function, reducing top-down gate support simultaneously from two directions.</w:t>
      </w:r>
    </w:p>
    <w:p>
      <w:pPr>
        <w:pStyle w:val="ListParagraph"/>
        <w:numPr>
          <w:ilvl w:val="0"/>
          <w:numId w:val="2"/>
        </w:numPr>
        <w:spacing w:before="80" w:after="80"/>
        <w:jc w:val="left"/>
      </w:pPr>
      <w:r>
        <w:rPr>
          <w:rFonts w:ascii="Arial" w:cs="Arial" w:eastAsia="Arial" w:hAnsi="Arial"/>
          <w:b/>
          <w:bCs/>
          <w:sz w:val="20"/>
          <w:szCs w:val="20"/>
        </w:rPr>
        <w:t xml:space="preserve">Sleep deprivation worsens tics:</w:t>
      </w:r>
      <w:r>
        <w:rPr>
          <w:rFonts w:ascii="Arial" w:cs="Arial" w:eastAsia="Arial" w:hAnsi="Arial"/>
          <w:sz w:val="20"/>
          <w:szCs w:val="20"/>
        </w:rPr>
        <w:t xml:space="preserve"> sleep deprivation → disrupted NREM architecture → adenosine-mediated LC suppression reduced during wakefulness extension → NE_tonic elevated above well-rested baseline → lower gate threshold throughout the following day. This compounds the direct GABA effect of sleep deprivation described in §4.</w:t>
      </w:r>
    </w:p>
    <w:p>
      <w:pPr>
        <w:pStyle w:val="ListParagraph"/>
        <w:numPr>
          <w:ilvl w:val="0"/>
          <w:numId w:val="2"/>
        </w:numPr>
        <w:spacing w:before="80" w:after="80"/>
        <w:jc w:val="left"/>
      </w:pPr>
      <w:r>
        <w:rPr>
          <w:rFonts w:ascii="Arial" w:cs="Arial" w:eastAsia="Arial" w:hAnsi="Arial"/>
          <w:b/>
          <w:bCs/>
          <w:sz w:val="20"/>
          <w:szCs w:val="20"/>
        </w:rPr>
        <w:t xml:space="preserve">Focused concentration modestly improves tic control:</w:t>
      </w:r>
      <w:r>
        <w:rPr>
          <w:rFonts w:ascii="Arial" w:cs="Arial" w:eastAsia="Arial" w:hAnsi="Arial"/>
          <w:sz w:val="20"/>
          <w:szCs w:val="20"/>
        </w:rPr>
        <w:t xml:space="preserve"> absorbed concentration on an interesting task → prefrontal top-down modulation of LC reduces phasic NE firing → NE_tonic stabilized at a lower level → gate threshold modestly raised. This is a secondary mechanism alongside the primary PFC glutamatergic corticostriatal pathway.</w:t>
      </w:r>
    </w:p>
    <w:p>
      <w:pPr>
        <w:pStyle w:val="Heading2"/>
        <w:spacing w:before="200" w:after="100"/>
      </w:pPr>
      <w:r>
        <w:rPr>
          <w:rFonts w:ascii="Arial" w:cs="Arial" w:eastAsia="Arial" w:hAnsi="Arial"/>
          <w:b/>
          <w:bCs/>
          <w:sz w:val="24"/>
          <w:szCs w:val="24"/>
        </w:rPr>
        <w:t xml:space="preserve">Alpha-2 Agonists: Pharmacological Mechanism</w:t>
      </w:r>
    </w:p>
    <w:p>
      <w:pPr>
        <w:spacing w:before="80" w:after="80"/>
        <w:jc w:val="left"/>
      </w:pPr>
      <w:r>
        <w:rPr>
          <w:rFonts w:ascii="Arial" w:cs="Arial" w:eastAsia="Arial" w:hAnsi="Arial"/>
          <w:b w:val="false"/>
          <w:bCs w:val="false"/>
          <w:i w:val="false"/>
          <w:iCs w:val="false"/>
          <w:color w:val="000000"/>
          <w:sz w:val="20"/>
          <w:szCs w:val="20"/>
        </w:rPr>
        <w:t xml:space="preserve">Guanfacine and clonidine are alpha-2 adrenergic receptor agonists; guanfacine is more selective for the alpha-2A subtype, which accounts for its better tolerability relative to clonidine’s broader alpha-2 receptor activity. At the LC, alpha-2A autoreceptors are the primary brake on LC firing: alpha-2A agonism → LC fires less → NE_tonic reduced → gate threshold raised across all CSTC circuits. At PFC pyramidal neurons, guanfacine’s postsynaptic alpha-2A agonism directly strengthens PFC function — better working memory gate, stronger top-down inhibitory control over the CSTC loop. Guanfacine thus operates at two levels simultaneously: gate threshold modulation via LC-NE reduction AND top-down gate augmentation via PFC strengthening [Berridge03; Arnsten20].</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clinical implication: alpha-2 agonists are most appropriate when anxiety and arousal-driven tic exacerbation are prominent — when the gate threshold is being chronically lowered by elevated NE_tonic. They are mechanistically well-suited to this presentation alongside D2 antagonists (which target the DA gate mechanism directly) and complement rather than compete with the dopaminergic pharmacology.</w:t>
      </w:r>
    </w:p>
    <w:p>
      <w:pPr>
        <w:spacing w:before="40" w:after="40"/>
      </w:pPr>
      <w:r>
        <w:t xml:space="preserve"/>
      </w:r>
    </w:p>
    <w:p>
      <w:pPr>
        <w:pStyle w:val="Heading1"/>
        <w:spacing w:before="280" w:after="100"/>
      </w:pPr>
      <w:r>
        <w:rPr>
          <w:rFonts w:ascii="Arial" w:cs="Arial" w:eastAsia="Arial" w:hAnsi="Arial"/>
          <w:b/>
          <w:bCs/>
          <w:sz w:val="26"/>
          <w:szCs w:val="26"/>
        </w:rPr>
        <w:t xml:space="preserve">§3e — Cerebellar Contribution to Tic Timing</w:t>
      </w:r>
    </w:p>
    <w:p>
      <w:pPr>
        <w:spacing w:before="80" w:after="80"/>
        <w:jc w:val="left"/>
      </w:pPr>
      <w:r>
        <w:rPr>
          <w:rFonts w:ascii="Arial" w:cs="Arial" w:eastAsia="Arial" w:hAnsi="Arial"/>
          <w:b w:val="false"/>
          <w:bCs w:val="false"/>
          <w:i w:val="false"/>
          <w:iCs w:val="false"/>
          <w:color w:val="000000"/>
          <w:sz w:val="20"/>
          <w:szCs w:val="20"/>
        </w:rPr>
        <w:t xml:space="preserve">The cerebellum is a prediction error correction engine [Schmahmann04; Ito02]. Its primary computation: build internal forward models of actions (predicted sensory consequences) and correct the mismatch between predicted and actual outcomes. The inferior olive climbing fiber is the cerebellar prediction error signal — it fires only on prediction error, producing a complex spike in Purkinje cells that drives LTD-based motor learning. This is the cerebellar equivalent of the dopaminergic reward prediction error signal, but for sensorimotor timing rather than reward value.</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cerebellum and basal ganglia run parallel, not serial, motor control pathways. Both converge at the thalamus VL, where cerebellar output (via DCN → VL) and CSTC output arrive from different directions and integrate before reaching the motor cortex. Cerebellar output calibrates the timing and sequence of motor programs; basal ganglia output selects which programs execute. Both are required for smooth, correctly-timed voluntary movement.</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Neuroimaging studies have documented structural and connectivity abnormalities in the cortico-striato-cerebellar network in Tourette Syndrome [Worbe15], with cerebellar structural abnormalities noted across multiple TS imaging cohorts. The mechanistic interpretation: the cerebellar timing calibration system may contribute to tic timing characteristics — tics that escape striatal gating arrive at the thalamus VL with abnormal timing relative to the cerebellar correction signal, contributing to the characteristic involuntary, poorly-timed quality that distinguishes tics from intended movements.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0"/>
            </w:pPr>
            <w:r>
              <w:rPr>
                <w:rFonts w:ascii="Arial" w:cs="Arial" w:eastAsia="Arial" w:hAnsi="Arial"/>
                <w:b w:val="false"/>
                <w:bCs w:val="false"/>
                <w:i/>
                <w:iCs/>
                <w:sz w:val="20"/>
                <w:szCs w:val="20"/>
              </w:rPr>
              <w:t xml:space="preserve">This is emerging evidence rather than established mechanism. The cerebellar contribution to TS is an active research area. What is established: the cerebellar pathway converges at the same thalamic relay as the CSTC loop, cerebellar abnormalities are consistently documented in TS, and the emerging cerebellar cognitive affective syndrome literature (Schmahmann) shows that cerebellar abnormalities extend to cognitive and social-emotional domains that overlap with TS co-occurring profiles. How the cerebellar and basal ganglia systems interact to produce the specific characteristics of tic generation and suppression remains an open question.</w:t>
            </w:r>
          </w:p>
        </w:tc>
      </w:tr>
    </w:tbl>
    <w:p>
      <w:pPr>
        <w:spacing w:before="40" w:after="40"/>
      </w:pPr>
      <w:r>
        <w:t xml:space="preserve"/>
      </w:r>
    </w:p>
    <w:p>
      <w:pPr>
        <w:pStyle w:val="Heading1"/>
        <w:spacing w:before="280" w:after="100"/>
      </w:pPr>
      <w:r>
        <w:rPr>
          <w:rFonts w:ascii="Arial" w:cs="Arial" w:eastAsia="Arial" w:hAnsi="Arial"/>
          <w:b/>
          <w:bCs/>
          <w:sz w:val="26"/>
          <w:szCs w:val="26"/>
        </w:rPr>
        <w:t xml:space="preserve">§4 — Natural History: Why Tourette’s Often Improves in Adulthood</w:t>
      </w:r>
    </w:p>
    <w:p>
      <w:pPr>
        <w:spacing w:before="80" w:after="80"/>
        <w:jc w:val="left"/>
      </w:pPr>
      <w:r>
        <w:rPr>
          <w:rFonts w:ascii="Arial" w:cs="Arial" w:eastAsia="Arial" w:hAnsi="Arial"/>
          <w:b w:val="false"/>
          <w:bCs w:val="false"/>
          <w:i w:val="false"/>
          <w:iCs w:val="false"/>
          <w:color w:val="000000"/>
          <w:sz w:val="20"/>
          <w:szCs w:val="20"/>
        </w:rPr>
        <w:t xml:space="preserve">Tic severity peaks around age 10-12 and substantially improves in approximately 50-70% of patients by late adolescence and early adulthood [Leckman02]. A major contributing mechanism is PFC maturation — the FQ5 structural update that arrives late but dramatically changes the system’s inhibitory capacity. The prefrontal cortex provides top-down inhibitory control over the CSTC loop via glutamatergic projections to the striatum that augment indirect pathway function. In children and adolescents, the PFC is structurally immature: myelination of prefrontal circuits continues throughout adolescence and is not complete until approximately age 25.</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This predicts several observed clinical features:</w:t>
      </w:r>
    </w:p>
    <w:p>
      <w:pPr>
        <w:pStyle w:val="ListParagraph"/>
        <w:numPr>
          <w:ilvl w:val="0"/>
          <w:numId w:val="2"/>
        </w:numPr>
        <w:spacing w:before="80" w:after="80"/>
        <w:jc w:val="left"/>
      </w:pPr>
      <w:r>
        <w:rPr>
          <w:rFonts w:ascii="Arial" w:cs="Arial" w:eastAsia="Arial" w:hAnsi="Arial"/>
          <w:b/>
          <w:bCs/>
          <w:sz w:val="20"/>
          <w:szCs w:val="20"/>
        </w:rPr>
        <w:t xml:space="preserve">Boys more affected than girls (reported ~4:1, with caveat of female underdiagnosis):</w:t>
      </w:r>
      <w:r>
        <w:rPr>
          <w:rFonts w:ascii="Arial" w:cs="Arial" w:eastAsia="Arial" w:hAnsi="Arial"/>
          <w:sz w:val="20"/>
          <w:szCs w:val="20"/>
        </w:rPr>
        <w:t xml:space="preserve"> boys have slower PFC maturation than girls (female brains myelinate earlier, a consistent finding across neuroimaging studies). The same late-maturing PFC that produces male adolescent risk-taking behavior also means a longer period of inadequate top-down gate control. Combined with higher testosterone-driven D2 density, boys have two independent mechanisms both reducing the NoGo gate simultaneously.</w:t>
      </w:r>
    </w:p>
    <w:p>
      <w:pPr>
        <w:pStyle w:val="ListParagraph"/>
        <w:numPr>
          <w:ilvl w:val="0"/>
          <w:numId w:val="2"/>
        </w:numPr>
        <w:spacing w:before="80" w:after="80"/>
        <w:jc w:val="left"/>
      </w:pPr>
      <w:r>
        <w:rPr>
          <w:rFonts w:ascii="Arial" w:cs="Arial" w:eastAsia="Arial" w:hAnsi="Arial"/>
          <w:b/>
          <w:bCs/>
          <w:sz w:val="20"/>
          <w:szCs w:val="20"/>
        </w:rPr>
        <w:t xml:space="preserve">Stress worsens tics even in adulthood:</w:t>
      </w:r>
      <w:r>
        <w:rPr>
          <w:rFonts w:ascii="Arial" w:cs="Arial" w:eastAsia="Arial" w:hAnsi="Arial"/>
          <w:sz w:val="20"/>
          <w:szCs w:val="20"/>
        </w:rPr>
        <w:t xml:space="preserve"> stress → cortisol → disrupts PFC glutamatergic function temporarily → reduces top-down inhibitory contribution to CSTC gate. Simultaneously, stress → LC-NE elevation → gate threshold drops. Both mechanisms operate together. Tics that were controlled re-emerge. The gate has not been lowered structurally, but the PFC’s real-time contribution has been reduced and the NE threshold calibration has shifted.</w:t>
      </w:r>
    </w:p>
    <w:p>
      <w:pPr>
        <w:pStyle w:val="ListParagraph"/>
        <w:numPr>
          <w:ilvl w:val="0"/>
          <w:numId w:val="2"/>
        </w:numPr>
        <w:spacing w:before="80" w:after="80"/>
        <w:jc w:val="left"/>
      </w:pPr>
      <w:r>
        <w:rPr>
          <w:rFonts w:ascii="Arial" w:cs="Arial" w:eastAsia="Arial" w:hAnsi="Arial"/>
          <w:b/>
          <w:bCs/>
          <w:sz w:val="20"/>
          <w:szCs w:val="20"/>
        </w:rPr>
        <w:t xml:space="preserve">Absorbed concentration suppresses tics:</w:t>
      </w:r>
      <w:r>
        <w:rPr>
          <w:rFonts w:ascii="Arial" w:cs="Arial" w:eastAsia="Arial" w:hAnsi="Arial"/>
          <w:sz w:val="20"/>
          <w:szCs w:val="20"/>
        </w:rPr>
        <w:t xml:space="preserve"> focused concentration on an absorbing task (playing a video game, performing music, solving a problem) engages PFC circuits in the task, which both occupies the PFC’s attention-regulation resources and directly strengthens glutamatergic corticostriatal signals in a context-specific way that competes with tic-generating motor programs. The LC-NE suppression from prefrontal engagement adds a secondary gate threshold-raising effect.</w:t>
      </w:r>
    </w:p>
    <w:p>
      <w:pPr>
        <w:pStyle w:val="Heading1"/>
        <w:spacing w:before="280" w:after="100"/>
      </w:pPr>
      <w:r>
        <w:rPr>
          <w:rFonts w:ascii="Arial" w:cs="Arial" w:eastAsia="Arial" w:hAnsi="Arial"/>
          <w:b/>
          <w:bCs/>
          <w:sz w:val="26"/>
          <w:szCs w:val="26"/>
        </w:rPr>
        <w:t xml:space="preserve">§5 — The Co-occurring Profile: OCD, ADHD, and Anxiety</w:t>
      </w:r>
    </w:p>
    <w:p>
      <w:pPr>
        <w:spacing w:before="80" w:after="80"/>
        <w:jc w:val="left"/>
      </w:pPr>
      <w:r>
        <w:rPr>
          <w:rFonts w:ascii="Arial" w:cs="Arial" w:eastAsia="Arial" w:hAnsi="Arial"/>
          <w:b w:val="false"/>
          <w:bCs w:val="false"/>
          <w:i w:val="false"/>
          <w:iCs w:val="false"/>
          <w:color w:val="000000"/>
          <w:sz w:val="20"/>
          <w:szCs w:val="20"/>
        </w:rPr>
        <w:t xml:space="preserve">Tourette’s is almost never a pure tic disorder. Over 85% of patients have at least one co-occurring profile — OCD (40-60%), ADHD high-novelty configuration (50-70%), anxiety (30-50%) [Leckman02]. These are not simply independent conditions that happen to co-occur: each shares CSTC and prefrontal control-network dysfunction as a likely substrate, expressed across overlapping but distinct circuits.</w:t>
      </w:r>
    </w:p>
    <w:p>
      <w:pPr>
        <w:spacing w:before="40" w:after="40"/>
      </w:pPr>
      <w:r>
        <w:t xml:space="preserve"/>
      </w:r>
    </w:p>
    <w:p>
      <w:pPr>
        <w:pStyle w:val="ListParagraph"/>
        <w:numPr>
          <w:ilvl w:val="0"/>
          <w:numId w:val="2"/>
        </w:numPr>
        <w:spacing w:before="80" w:after="80"/>
        <w:jc w:val="left"/>
      </w:pPr>
      <w:r>
        <w:rPr>
          <w:rFonts w:ascii="Arial" w:cs="Arial" w:eastAsia="Arial" w:hAnsi="Arial"/>
          <w:b/>
          <w:bCs/>
          <w:sz w:val="20"/>
          <w:szCs w:val="20"/>
        </w:rPr>
        <w:t xml:space="preserve">OCD and Tourette’s:</w:t>
      </w:r>
      <w:r>
        <w:rPr>
          <w:rFonts w:ascii="Arial" w:cs="Arial" w:eastAsia="Arial" w:hAnsi="Arial"/>
          <w:sz w:val="20"/>
          <w:szCs w:val="20"/>
        </w:rPr>
        <w:t xml:space="preserve"> OCD is the cognitive CSTC circuit running the same insufficient-gate dynamics as tics. Obsessive thoughts are cognitive motor programs that escape the gate; compulsions are the ‘tic’ that relieves the premonitory urge equivalent (the obsessive distress). The orbitofrontal cortex-caudate-thalamus loop is the cognitive equivalent of the motor CSTC loop. The treatment logic is identical: behavioral (ERP for OCD, CBIT for tics), with serotonergic or dopaminergic pharmacology to raise the gate threshold.</w:t>
      </w:r>
    </w:p>
    <w:p>
      <w:pPr>
        <w:pStyle w:val="ListParagraph"/>
        <w:numPr>
          <w:ilvl w:val="0"/>
          <w:numId w:val="2"/>
        </w:numPr>
        <w:spacing w:before="80" w:after="80"/>
        <w:jc w:val="left"/>
      </w:pPr>
      <w:r>
        <w:rPr>
          <w:rFonts w:ascii="Arial" w:cs="Arial" w:eastAsia="Arial" w:hAnsi="Arial"/>
          <w:b/>
          <w:bCs/>
          <w:sz w:val="20"/>
          <w:szCs w:val="20"/>
        </w:rPr>
        <w:t xml:space="preserve">ADHD configuration and Tourette’s:</w:t>
      </w:r>
      <w:r>
        <w:rPr>
          <w:rFonts w:ascii="Arial" w:cs="Arial" w:eastAsia="Arial" w:hAnsi="Arial"/>
          <w:sz w:val="20"/>
          <w:szCs w:val="20"/>
        </w:rPr>
        <w:t xml:space="preserve"> ADHD in the context of TS is the same PFC operating at the same reduced inhibitory point showing up in attention regulation and working memory rather than motor suppression. The PFC is providing insufficient top-down glutamatergic regulation to the attention and motor loops simultaneously. Stimulants (which strengthen PFC DA/NE signaling) can improve ADHD symptoms and may not worsen tics — because the PFC strengthening effect on the gate can outweigh the striatal DA increase. This is not a contradiction; it is the PFC-level effect dominating the striatal-level effect.</w:t>
      </w:r>
    </w:p>
    <w:p>
      <w:pPr>
        <w:pStyle w:val="ListParagraph"/>
        <w:numPr>
          <w:ilvl w:val="0"/>
          <w:numId w:val="2"/>
        </w:numPr>
        <w:spacing w:before="80" w:after="80"/>
        <w:jc w:val="left"/>
      </w:pPr>
      <w:r>
        <w:rPr>
          <w:rFonts w:ascii="Arial" w:cs="Arial" w:eastAsia="Arial" w:hAnsi="Arial"/>
          <w:b/>
          <w:bCs/>
          <w:sz w:val="20"/>
          <w:szCs w:val="20"/>
        </w:rPr>
        <w:t xml:space="preserve">Anxiety and Tourette’s:</w:t>
      </w:r>
      <w:r>
        <w:rPr>
          <w:rFonts w:ascii="Arial" w:cs="Arial" w:eastAsia="Arial" w:hAnsi="Arial"/>
          <w:sz w:val="20"/>
          <w:szCs w:val="20"/>
        </w:rPr>
        <w:t xml:space="preserve"> anxiety → elevated NE from locus coeruleus → lowers gate threshold across all CSTC circuits → tics worsen, obsessions worsen, attention destabilizes. The arousal system is chronically lowering the gate via NE_tonic elevation. Anxiety treatment is tic treatment: reducing LC-NE arousal (via alpha-2 agonists, therapy, lifestyle) raises the gate threshold and reduces tic frequency as a direct consequence. Alpha-2 agonists (guanfacine, clonidine) address this mechanism directly — their therapeutic action in TS+anxiety is the LC-NE gate threshold mechanism, not merely a sedative effect.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0"/>
            </w:pPr>
            <w:r>
              <w:rPr>
                <w:rFonts w:ascii="Arial" w:cs="Arial" w:eastAsia="Arial" w:hAnsi="Arial"/>
                <w:b w:val="false"/>
                <w:bCs w:val="false"/>
                <w:i/>
                <w:iCs/>
                <w:sz w:val="20"/>
                <w:szCs w:val="20"/>
              </w:rPr>
              <w:t xml:space="preserve">The co-occurring profiles — OCD, ADHD configuration, anxiety, different learning architectures — are not a collection of bad luck. They are the same CSTC circuit architecture expressing across overlapping neural territories: OCD is the cognitive circuit running the same insufficient-gate dynamics as tics; the ADHD configuration is the same PFC operating point showing up in attention and working memory; anxiety is the arousal system chronically lowering the gate threshold. The configuration is not the problem — the mismatch with environments built for a different architecture is. Addressing the full picture means addressing all the friction points, not just the most visible ones.</w:t>
            </w:r>
          </w:p>
        </w:tc>
      </w:tr>
    </w:tbl>
    <w:p>
      <w:pPr>
        <w:spacing w:before="40" w:after="40"/>
      </w:pPr>
      <w:r>
        <w:t xml:space="preserve"/>
      </w:r>
    </w:p>
    <w:p>
      <w:pPr>
        <w:pStyle w:val="Heading1"/>
        <w:spacing w:before="280" w:after="100"/>
      </w:pPr>
      <w:r>
        <w:rPr>
          <w:rFonts w:ascii="Arial" w:cs="Arial" w:eastAsia="Arial" w:hAnsi="Arial"/>
          <w:b/>
          <w:bCs/>
          <w:sz w:val="26"/>
          <w:szCs w:val="26"/>
        </w:rPr>
        <w:t xml:space="preserve">§6 — Treatment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80"/>
        <w:gridCol w:w="26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Treatment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FQ Target</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Mechanism</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Evidence and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CBIT (Comprehensive Behavioral Intervention for Tics)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FQ3 → FQ2 (intercept at premonitory urge, block tic execution)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Habit Reversal Training: train awareness of premonitory urge (FQ3 dACC conflict signal), then execute a competing motor response incompatible with the tic. The tic motor program is blocked; the urge, no longer relieved by the tic, gradually extinguishes through habituation [Piacentini10]. PFC glutamatergic control of CSTC loop strengthened through repeated practice. dACC→dlPFC control circuit becomes faster and more reliable.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First-line treatment for tics. RCT (Piacentini et al., 2010): significant tic reduction vs. psychoeducation/supportive therapy. Most durable treatment — addresses the FQ3-FQ2 failure mechanism directly, not just downstream output. Requires patient motivation and therapist expertise.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Dopamine antagonists / partial agonists (haloperidol, aripiprazole, fluphenazine)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FQ2 (D2 gate restoration)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D2 receptor blockade → indirect pathway NoGo function restored → tic-generating motor programs face stronger GABAergic suppression. Aripiprazole: partial D2 agonist — normalizes D2 signaling without complete blockade, fewer extrapyramidal side effects [Leckman02].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Effective tic reduction in majority of patients. Haloperidol: strong evidence, but akathisia, tardive dyskinesia risk. Aripiprazole: better tolerated, now first-line pharmacological choice for many. Does not treat underlying cause — tics return on discontinuation.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VMAT2 inhibitors (valbenazine, deutetrabenazine)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FQ2 (striatal DA reduction → D2 normalization)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VMAT2 inhibition reduces vesicular DA loading → less DA released per action potential → D2 receptor stimulation in striatum normalized → indirect pathway NoGo function restored. Used off-label for TS; FDA-approved for tardive dyskinesia only — TS-specific trials did not meet primary endpoints [Farber21]. Mechanism also operates via H3 receptor connection [Rapanelli17]: reduced DA release alters the dopamine-histamine H3 autoreceptor interaction.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Not FDA-approved for TS — used off-label based on clinical evidence and mechanistic rationale [Farber21; Niemann23]. Avoids D2 receptor blockade (no tardive dyskinesia risk from receptor downregulation). Real-world experience supports clinical benefit in TS patients despite trial endpoint failures. Sedation is main side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Alpha-2 agonists (clonidine, guanfacine)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FQ2 (NE/LC gate threshold + PFC gate support)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Alpha-2A agonism at LC autoreceptors → LC fires less → NE_tonic reduced → gate threshold raised across all CSTC circuits simultaneously. Guanfacine: also directly strengthens PFC function via postsynaptic alpha-2A receptors on PFC pyramidal neurons (same mechanism as in ADHD treatment). Better PFC function → stronger top-down inhibitory control over tic-generating circuits [Berridge03; Arnsten20].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Particularly useful when tics worsen significantly with anxiety/stress (NE-driven gate lowering). Guanfacine preferred in TS+ADHD configuration. Less tic reduction than D2 antagonists but better side effect profile for chronic use. Two-level mechanism: LC-NE threshold + PFC strengthening.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Stimulants (methylphenidate, amphetamine) for TS+ADHD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FQ5 (PFC strengthening) — counterintuitive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Stimulants increase PFC dopamine and NE → strengthen PFC top-down inhibitory control over CSTC loop. In TS+ADHD, the ADHD executive function impairment means the PFC is providing less gate support than it could. Stimulants can strengthen this gate contribution, potentially reducing tics even while increasing dopamine — because PFC strengthening outweighs striatal DA increase [Leckman02].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Clinical reality more nuanced than ‘stimulants worsen tics.’ In TS+ADHD patients, methylphenidate often improves or does not worsen tics while dramatically improving ADHD symptoms. Must be monitored individually. ADHD treatment in TS+ADHD is mechanistically justified.</w:t>
            </w:r>
          </w:p>
        </w:tc>
      </w:tr>
      <w:tr>
        <w:tc>
          <w:tcPr>
            <w:tcW w:type="dxa" w:w="2200"/>
            <w:tcBorders>
              <w:top w:val="single" w:color="CCCCCC" w:sz="1"/>
              <w:left w:val="single" w:color="CCCCCC" w:sz="1"/>
              <w:bottom w:val="single" w:color="CCCCCC" w:sz="1"/>
              <w:right w:val="single" w:color="CCCCCC" w:sz="1"/>
            </w:tcBorders>
            <w:tcMar>
              <w:top w:w="80" w:type="dxa"/>
              <w:left w:w="120" w:type="dxa"/>
              <w:bottom w:w="80" w:type="dxa"/>
              <w:right w:w="120" w:type="dxa"/>
            </w:tcMar>
          </w:tcPr>
          <w:p>
            <w:pPr>
              <w:spacing w:before="0" w:after="0"/>
            </w:pPr>
            <w:r>
              <w:rPr>
                <w:rFonts w:ascii="Arial" w:hAnsi="Arial"/>
                <w:sz w:val="18"/>
              </w:rPr>
              <w:t>Ecopipam (investigational D1 antagonist)</w:t>
            </w:r>
          </w:p>
        </w:tc>
        <w:tc>
          <w:tcPr>
            <w:tcW w:type="dxa" w:w="1600"/>
            <w:tcBorders>
              <w:top w:val="single" w:color="CCCCCC" w:sz="1"/>
              <w:left w:val="single" w:color="CCCCCC" w:sz="1"/>
              <w:bottom w:val="single" w:color="CCCCCC" w:sz="1"/>
              <w:right w:val="single" w:color="CCCCCC" w:sz="1"/>
            </w:tcBorders>
            <w:tcMar>
              <w:top w:w="80" w:type="dxa"/>
              <w:left w:w="120" w:type="dxa"/>
              <w:bottom w:w="80" w:type="dxa"/>
              <w:right w:w="120" w:type="dxa"/>
            </w:tcMar>
          </w:tcPr>
          <w:p>
            <w:pPr>
              <w:spacing w:before="0" w:after="0"/>
            </w:pPr>
            <w:r>
              <w:rPr>
                <w:rFonts w:ascii="Arial" w:hAnsi="Arial"/>
                <w:sz w:val="18"/>
              </w:rPr>
              <w:t>FQ2 (direct pathway Go signal reduction)</w:t>
            </w:r>
          </w:p>
        </w:tc>
        <w:tc>
          <w:tcPr>
            <w:tcW w:type="dxa" w:w="2880"/>
            <w:tcBorders>
              <w:top w:val="single" w:color="CCCCCC" w:sz="1"/>
              <w:left w:val="single" w:color="CCCCCC" w:sz="1"/>
              <w:bottom w:val="single" w:color="CCCCCC" w:sz="1"/>
              <w:right w:val="single" w:color="CCCCCC" w:sz="1"/>
            </w:tcBorders>
            <w:tcMar>
              <w:top w:w="80" w:type="dxa"/>
              <w:left w:w="120" w:type="dxa"/>
              <w:bottom w:w="80" w:type="dxa"/>
              <w:right w:w="120" w:type="dxa"/>
            </w:tcMar>
          </w:tcPr>
          <w:p>
            <w:pPr>
              <w:spacing w:before="0" w:after="0"/>
            </w:pPr>
            <w:r>
              <w:rPr>
                <w:rFonts w:ascii="Arial" w:hAnsi="Arial"/>
                <w:sz w:val="18"/>
              </w:rPr>
              <w:t xml:space="preserve">D1 receptor antagonism → direct pathway Go signal reduced → the balance shifts toward NoGo without requiring D2 blockade. Mechanistically distinct from all existing TS pharmacology: targets the Go side of the circuit rather than restoring the NoGo side. No dopamine receptor downregulation risk (no tardive dyskinesia). [Gilbert23; D1AMOND25]</w:t>
            </w:r>
          </w:p>
        </w:tc>
        <w:tc>
          <w:tcPr>
            <w:tcW w:type="dxa" w:w="2680"/>
            <w:tcBorders>
              <w:top w:val="single" w:color="CCCCCC" w:sz="1"/>
              <w:left w:val="single" w:color="CCCCCC" w:sz="1"/>
              <w:bottom w:val="single" w:color="CCCCCC" w:sz="1"/>
              <w:right w:val="single" w:color="CCCCCC" w:sz="1"/>
            </w:tcBorders>
            <w:tcMar>
              <w:top w:w="80" w:type="dxa"/>
              <w:left w:w="120" w:type="dxa"/>
              <w:bottom w:w="80" w:type="dxa"/>
              <w:right w:w="120" w:type="dxa"/>
            </w:tcMar>
          </w:tcPr>
          <w:p>
            <w:pPr>
              <w:spacing w:before="0" w:after="0"/>
            </w:pPr>
            <w:r>
              <w:rPr>
                <w:rFonts w:ascii="Arial" w:hAnsi="Arial"/>
                <w:sz w:val="18"/>
              </w:rPr>
              <w:t xml:space="preserve">Phase 2b RCT: 30% tic reduction vs placebo, no antipsychotic-associated side effects (no weight gain, no tardive dyskinesia) [Gilbert23]. Phase 3 registrational trial met primary and secondary endpoints (February 2025) [D1AMOND25]. NDA submission to FDA planned 2025. Would be first new drug class approved for TS in 56 years if approved. Currently investigational.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CBIT + pharmacology combination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FQ3+FQ2+FQ5 simultaneously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CBIT addresses the FQ3 detection and FQ2 gate failure through behavioral restructuring. Pharmacology (D2 antagonist or VMAT2 inhibitor) reduces the dopaminergic pressure on the gate simultaneously. PFC strengthening (guanfacine or stimulants in ADHD) adds top-down gate support. All three mechanisms acting together is mechanistically complementary — each targets a distinct point in the CSTC failure cascade.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Current best practice for moderate-severe TS. CBIT + aripiprazole has stronger evidence than either alone. The combination targets three distinct points in the CSTC failure cascade.</w:t>
            </w:r>
          </w:p>
        </w:tc>
      </w:tr>
    </w:tbl>
    <w:p>
      <w:pPr>
        <w:spacing w:before="40" w:after="40"/>
      </w:pPr>
      <w:r>
        <w:t xml:space="preserve"/>
      </w:r>
    </w:p>
    <w:p>
      <w:pPr>
        <w:spacing w:before="200" w:after="80"/>
        <w:jc w:val="left"/>
      </w:pPr>
      <w:r>
        <w:rPr>
          <w:rFonts w:ascii="Arial" w:cs="Arial" w:eastAsia="Arial" w:hAnsi="Arial"/>
          <w:b/>
          <w:bCs/>
          <w:sz w:val="22"/>
          <w:szCs w:val="22"/>
        </w:rPr>
        <w:t xml:space="preserve">PART II — PERIPHERAL NERVE DISEASE</w:t>
      </w:r>
    </w:p>
    <w:p>
      <w:pPr>
        <w:pBdr>
          <w:bottom w:val="single" w:color="CCCCCC" w:sz="2"/>
        </w:pBdr>
        <w:spacing w:before="120" w:after="120"/>
      </w:pPr>
    </w:p>
    <w:p>
      <w:pPr>
        <w:spacing w:before="80" w:after="80"/>
        <w:jc w:val="left"/>
      </w:pPr>
      <w:r>
        <w:rPr>
          <w:rFonts w:ascii="Arial" w:cs="Arial" w:eastAsia="Arial" w:hAnsi="Arial"/>
          <w:b w:val="false"/>
          <w:bCs w:val="false"/>
          <w:i w:val="false"/>
          <w:iCs w:val="false"/>
          <w:color w:val="000000"/>
          <w:sz w:val="20"/>
          <w:szCs w:val="20"/>
        </w:rPr>
        <w:t xml:space="preserve">The same FQ framework that illuminates the central circuit failures in Tourette Syndrome applies to peripheral nerve disease: each neuropathy type represents a different failure mode in the sensory and motor gating hierarchy of the peripheral nervous system.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560"/>
        <w:gridCol w:w="3300"/>
      </w:tblGrid>
      <w:t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Neuropathy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Primary Mechanism</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FQ Site</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Diagnosis and Treatment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Small fiber neuropathy (SFN)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C-fiber and Adelta loss: prediabetes, autoimmune (Sjogren’s), idiopathic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FQ2 gate failure of small sensory fibers; normal large fiber NCS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Burning feet, allodynia, temperature dysregulation, autonomic symptoms with NORMAL nerve conduction studies. Diagnostic test: skin punch biopsy (IENFD). Most common missed peripheral nerve diagnosis. Treatable causes: glucose normalization (prediabetes SFN), immunosuppression (autoimmune), B12 replacement.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Peripheral neuropathic pain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Ectopic firing of damaged nociceptors + central sensitization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FQ2→FQ4 cascade: nerve injury → spinal dorsal horn sensitization → supraspinal amplification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Allodynia and hyperalgesia are FQ2 gating failures — stimuli filtered as non-noxious are processed as pain. Gabapentin/pregabalin: reduce ectopic calcium channel-dependent firing. SNRIs (duloxetine): descending inhibitory pathway augmentation. Combination therapy often required.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Autonomic neuropathy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Sympathetic and parasympathetic small fiber innervation of organs/vasculature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FQ2 failure of autonomic gating: HR, GI motility, sweat glands, bladder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Tilt table, QSART, HRV analysis for diagnosis. Treat cause + symptomatic: fludrocortisone/midodrine for orthostasis; domperidone for gastroparesis; pyridostigmine for POTS.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Inflammatory neuropathies (GBS, CIDP)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Immune-mediated attack on peripheral myelin (AIDP) or axons (AMAN)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Autoimmune FQ2 structural destruction: molecular mimicry (GBS) or direct immune activation → demyelination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18"/>
                <w:szCs w:val="18"/>
              </w:rPr>
              <w:t xml:space="preserve">GBS: IVIG or plasma exchange — interrupt immune attack before structural loss. CIDP: chronic IVIG, steroids, rituximab. Same FQ3 detection error as MS but in peripheral nervous system.</w:t>
            </w:r>
          </w:p>
        </w:tc>
      </w:tr>
    </w:tbl>
    <w:p>
      <w:pPr>
        <w:spacing w:before="40" w:after="40"/>
      </w:pPr>
      <w:r>
        <w:t xml:space="preserve"/>
      </w:r>
    </w:p>
    <w:p>
      <w:pPr>
        <w:pStyle w:val="Heading1"/>
        <w:spacing w:before="280" w:after="100"/>
      </w:pPr>
      <w:r>
        <w:rPr>
          <w:rFonts w:ascii="Arial" w:cs="Arial" w:eastAsia="Arial" w:hAnsi="Arial"/>
          <w:b/>
          <w:bCs/>
          <w:sz w:val="26"/>
          <w:szCs w:val="26"/>
        </w:rPr>
        <w:t xml:space="preserve">The Small Fiber Neuropathy Diagnostic Gap</w:t>
      </w:r>
    </w:p>
    <w:p>
      <w:pPr>
        <w:spacing w:before="80" w:after="80"/>
        <w:jc w:val="left"/>
      </w:pPr>
      <w:r>
        <w:rPr>
          <w:rFonts w:ascii="Arial" w:cs="Arial" w:eastAsia="Arial" w:hAnsi="Arial"/>
          <w:b w:val="false"/>
          <w:bCs w:val="false"/>
          <w:i w:val="false"/>
          <w:iCs w:val="false"/>
          <w:color w:val="000000"/>
          <w:sz w:val="20"/>
          <w:szCs w:val="20"/>
        </w:rPr>
        <w:t xml:space="preserve">Small fiber neuropathy (SFN) is one of the most commonly missed diagnoses in neurology for a structural reason: the standard nerve conduction study (NCS) measures large fiber conduction. Small C fibers and Adelta fibers are too small to be captured by standard NCS. The result: a patient with burning feet, allodynia, temperature dysregulation, and autonomic symptoms has a normal nerve conduction study and is told their nerves are fine. They are not fine. They have a different fiber class affected, and the test used was wrong for the disease.</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This is the exact same diagnostic tool mismatch documented for delayed hypersensitivity (IgE test for non-IgE disease) and for silent reflux (esophageal pH test for laryngeal pepsin disease): the test measures the right thing for a different mechanism and is systematically negative for the actual mechanism.</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correct test for SFN is skin punch biopsy measuring intraepidermal nerve fiber density (IENFD). Treatable causes: prediabetes / impaired glucose tolerance (most common identifiable cause — OGTT more sensitive than HbA1c), autoimmune (Sjogren’s, lupus, celiac), vitamin B12 deficiency (common in metformin users, vegans, elderly). 30-50% of SFN has no identifiable cause after thorough workup, with emerging evidence for immune-mediated mechanisms even without classic autoimmune serology.</w:t>
      </w:r>
    </w:p>
    <w:p>
      <w:pPr>
        <w:pStyle w:val="Heading1"/>
        <w:spacing w:before="280" w:after="100"/>
      </w:pPr>
      <w:r>
        <w:rPr>
          <w:rFonts w:ascii="Arial" w:cs="Arial" w:eastAsia="Arial" w:hAnsi="Arial"/>
          <w:b/>
          <w:bCs/>
          <w:sz w:val="26"/>
          <w:szCs w:val="26"/>
        </w:rPr>
        <w:t xml:space="preserve">§7 — Connections Across the Framework</w:t>
      </w:r>
    </w:p>
    <w:p>
      <w:pPr>
        <w:pStyle w:val="ListParagraph"/>
        <w:numPr>
          <w:ilvl w:val="0"/>
          <w:numId w:val="2"/>
        </w:numPr>
        <w:spacing w:before="80" w:after="80"/>
        <w:jc w:val="left"/>
      </w:pPr>
      <w:r>
        <w:rPr>
          <w:rFonts w:ascii="Arial" w:cs="Arial" w:eastAsia="Arial" w:hAnsi="Arial"/>
          <w:b/>
          <w:bCs/>
          <w:sz w:val="20"/>
          <w:szCs w:val="20"/>
        </w:rPr>
        <w:t xml:space="preserve">Depression / Anxiety and Tourette’s:</w:t>
      </w:r>
      <w:r>
        <w:rPr>
          <w:rFonts w:ascii="Arial" w:cs="Arial" w:eastAsia="Arial" w:hAnsi="Arial"/>
          <w:sz w:val="20"/>
          <w:szCs w:val="20"/>
        </w:rPr>
        <w:t xml:space="preserve"> comorbidity between TS and anxiety/depression is mechanistic — same CSTC circuit insufficiency producing different outputs in overlapping circuits. Anxiety treatment is tic treatment via two parallel mechanisms: LC-NE gate threshold normalization and cortisol-PFC glutamatergic restoration. PANDAS/PANS demonstrates the direct immune-CSTC gate connection: streptococcal autoimmune response → striatal neuroinflammation → acute CSTC gate failure → tic and OCD onset.</w:t>
      </w:r>
    </w:p>
    <w:p>
      <w:pPr>
        <w:pStyle w:val="ListParagraph"/>
        <w:numPr>
          <w:ilvl w:val="0"/>
          <w:numId w:val="2"/>
        </w:numPr>
        <w:spacing w:before="80" w:after="80"/>
        <w:jc w:val="left"/>
      </w:pPr>
      <w:r>
        <w:rPr>
          <w:rFonts w:ascii="Arial" w:cs="Arial" w:eastAsia="Arial" w:hAnsi="Arial"/>
          <w:b/>
          <w:bCs/>
          <w:sz w:val="20"/>
          <w:szCs w:val="20"/>
        </w:rPr>
        <w:t xml:space="preserve">Tinnitus / Thalamocortical Dysrhythmia:</w:t>
      </w:r>
      <w:r>
        <w:rPr>
          <w:rFonts w:ascii="Arial" w:cs="Arial" w:eastAsia="Arial" w:hAnsi="Arial"/>
          <w:sz w:val="20"/>
          <w:szCs w:val="20"/>
        </w:rPr>
        <w:t xml:space="preserve"> thalamocortical dysrhythmia in the auditory loop (tinnitus), in the motor loop (Parkinson’s tremor), and in the motor CSTC loop (tics) are the same oscillatory gate failure architecture expressed in different neural territories. When the GPi→thalamus GABA gate is insufficiently regulated, the thalamo-cortical relay develops pathological oscillatory synchrony — the same mechanism that produces tinnitus’ phantom auditory signal when the auditory thalamus is under-gated. DBS targets for Tourette’s (centromedian thalamic nucleus) and for tinnitus research are in the same thalamic region. Different sensory/motor domains, same gate failure mechanism [Llinas99].</w:t>
      </w:r>
    </w:p>
    <w:p>
      <w:pPr>
        <w:pStyle w:val="ListParagraph"/>
        <w:numPr>
          <w:ilvl w:val="0"/>
          <w:numId w:val="2"/>
        </w:numPr>
        <w:spacing w:before="80" w:after="80"/>
        <w:jc w:val="left"/>
      </w:pPr>
      <w:r>
        <w:rPr>
          <w:rFonts w:ascii="Arial" w:cs="Arial" w:eastAsia="Arial" w:hAnsi="Arial"/>
          <w:b/>
          <w:bCs/>
          <w:sz w:val="20"/>
          <w:szCs w:val="20"/>
        </w:rPr>
        <w:t xml:space="preserve">Parkinson’s Disease:</w:t>
      </w:r>
      <w:r>
        <w:rPr>
          <w:rFonts w:ascii="Arial" w:cs="Arial" w:eastAsia="Arial" w:hAnsi="Arial"/>
          <w:sz w:val="20"/>
          <w:szCs w:val="20"/>
        </w:rPr>
        <w:t xml:space="preserve"> Tourette’s and Parkinson’s represent opposite CSTC gate failures using the same circuit. In Tourette’s, D2 hyperstimulation → NoGo gate under-engaged → motor programs escape (gate biased open for tic circuits). In Parkinson’s, SNc degeneration → DA depletion reduces D1-mediated Go signaling → gate biased closed → voluntary movements cannot initiate. Both conditions are treated by restoring the D1/D2 balance — in opposite directions.</w:t>
      </w:r>
    </w:p>
    <w:p>
      <w:pPr>
        <w:pStyle w:val="ListParagraph"/>
        <w:numPr>
          <w:ilvl w:val="0"/>
          <w:numId w:val="2"/>
        </w:numPr>
        <w:spacing w:before="80" w:after="80"/>
        <w:jc w:val="left"/>
      </w:pPr>
      <w:r>
        <w:rPr>
          <w:rFonts w:ascii="Arial" w:cs="Arial" w:eastAsia="Arial" w:hAnsi="Arial"/>
          <w:b/>
          <w:bCs/>
          <w:sz w:val="20"/>
          <w:szCs w:val="20"/>
        </w:rPr>
        <w:t xml:space="preserve">Autoimmunity — PANDAS/PANS:</w:t>
      </w:r>
      <w:r>
        <w:rPr>
          <w:rFonts w:ascii="Arial" w:cs="Arial" w:eastAsia="Arial" w:hAnsi="Arial"/>
          <w:sz w:val="20"/>
          <w:szCs w:val="20"/>
        </w:rPr>
        <w:t xml:space="preserve"> Group A streptococcal infection → molecular mimicry with basal ganglia proteins (CAMKII) → autoimmune attack on striatum → acute onset of tics and OCD. The most mechanistically direct evidence that immune activation can acutely impair the striatal GABA gate. Treatment: antibiotics, IVIG, plasma exchange in severe cases — interrupt immune attack to restore gate function.</w:t>
      </w:r>
    </w:p>
    <w:p>
      <w:pPr>
        <w:pStyle w:val="ListParagraph"/>
        <w:numPr>
          <w:ilvl w:val="0"/>
          <w:numId w:val="2"/>
        </w:numPr>
        <w:spacing w:before="80" w:after="80"/>
        <w:jc w:val="left"/>
      </w:pPr>
      <w:r>
        <w:rPr>
          <w:rFonts w:ascii="Arial" w:cs="Arial" w:eastAsia="Arial" w:hAnsi="Arial"/>
          <w:b/>
          <w:bCs/>
          <w:sz w:val="20"/>
          <w:szCs w:val="20"/>
        </w:rPr>
        <w:t xml:space="preserve">Peripheral Neuropathy and T2D:</w:t>
      </w:r>
      <w:r>
        <w:rPr>
          <w:rFonts w:ascii="Arial" w:cs="Arial" w:eastAsia="Arial" w:hAnsi="Arial"/>
          <w:sz w:val="20"/>
          <w:szCs w:val="20"/>
        </w:rPr>
        <w:t xml:space="preserve"> diabetic neuropathy begins as small fiber disease (burning feet, autonomic dysfunction) before large fiber involvement. The FQ4 accumulated AGE crosslinks and oxidative damage to Schwann cells from chronic hyperglycemia is the structural mechanism. The T2D reversibility analysis applies: early glucose normalization may partially recover peripheral nerve function; established axonal loss is structurally fixed.</w:t>
      </w:r>
    </w:p>
    <w:p>
      <w:pPr>
        <w:pStyle w:val="Heading1"/>
        <w:spacing w:before="280" w:after="100"/>
      </w:pPr>
      <w:r>
        <w:rPr>
          <w:rFonts w:ascii="Arial" w:cs="Arial" w:eastAsia="Arial" w:hAnsi="Arial"/>
          <w:b/>
          <w:bCs/>
          <w:sz w:val="26"/>
          <w:szCs w:val="26"/>
        </w:rPr>
        <w:t xml:space="preserve">§8 — Conclusion</w:t>
      </w:r>
    </w:p>
    <w:p>
      <w:pPr>
        <w:spacing w:before="80" w:after="80"/>
        <w:jc w:val="left"/>
      </w:pPr>
      <w:r>
        <w:rPr>
          <w:rFonts w:ascii="Arial" w:cs="Arial" w:eastAsia="Arial" w:hAnsi="Arial"/>
          <w:b w:val="false"/>
          <w:bCs w:val="false"/>
          <w:i w:val="false"/>
          <w:iCs w:val="false"/>
          <w:color w:val="000000"/>
          <w:sz w:val="20"/>
          <w:szCs w:val="20"/>
        </w:rPr>
        <w:t xml:space="preserve">Tourette Syndrome is a gate failure condition. The striatal inhibitory gate — built from GABA-mediated direct and indirect pathways calibrated by dopamine at D1 and D2 receptors — is insufficiently engaged in specific CSTC motor circuits, allowing motor programs to escape as tics. The neurochemical architecture is well characterized: GABA is the inhibitory transmitter of the basal ganglia gate throughout; glutamate drives the corticostriatal input and the sole excitatory synapse (STN→GPi) in the indirect pathway; dopamine modulates the Go/NoGo balance at D1 and D2 receptors; histamine at H3 receptors on striatal dopaminergic terminals provides a third modulator of DA release, the target of VMAT2 inhibitors used off-label for TS.</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norepinephrine/LC system is modeled here as a state-dependent gate threshold modulator: NE_tonic is consistent with setting the system-wide sensitivity of the CSTC gate, influencing how easily motor programs escape at any given arousal and stress level. This explains why anxiety, stress, and sleep deprivation predictably worsen tics and why alpha-2 agonists work through two simultaneous mechanisms: LC-NE gate threshold normalization and PFC glutamatergic strengthening. The dACC conflict monitoring system is modeled here as the proposed substrate of what CBIT training develops: faster, more reliable detection of the premonitory urge signal and routing to dlPFC for competing response initiation.</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male predominance in TS is consistent with testosterone’s upregulation of striatal D2 receptor density via androgen receptor signaling, reducing the indirect pathway NoGo gate. Boys experience this at two hormonal exposures — fetal (organizational) and pubertal (activational). Combined with slower PFC myelination in males, these are biologically plausible contributors to the observed sex difference. Female underdiagnosis may also contribute to reported ratios, and the relative weight of each factor is not yet resolved.</w:t>
      </w:r>
    </w:p>
    <w:p>
      <w:pPr>
        <w:spacing w:before="4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premonitory urge is the FQ3 detection signal for gate failure — and CBIT is the treatment that uses this signal to intervene at precisely the right moment. That is a tight mechanistic chain from biology to treatment. The co-occurring profiles (OCD, ADHD, anxiety) are the same CSTC gate architecture expressing across overlapping neural territories — not separate diseases requiring separate explanations.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0"/>
            </w:pPr>
            <w:r>
              <w:rPr>
                <w:rFonts w:ascii="Arial" w:cs="Arial" w:eastAsia="Arial" w:hAnsi="Arial"/>
                <w:b/>
                <w:bCs/>
                <w:i w:val="false"/>
                <w:iCs w:val="false"/>
                <w:sz w:val="20"/>
                <w:szCs w:val="20"/>
              </w:rPr>
              <w:t xml:space="preserve">The tic is not the failure. The GABA gate was the failure. The tic is what escapes when the gate does not hold.</w:t>
            </w:r>
          </w:p>
        </w:tc>
      </w:tr>
    </w:tbl>
    <w:p>
      <w:pPr>
        <w:spacing w:before="40" w:after="40"/>
      </w:pPr>
      <w:r>
        <w:t xml:space="preserve"/>
      </w:r>
    </w:p>
    <w:p>
      <w:pPr>
        <w:pStyle w:val="Heading1"/>
        <w:spacing w:before="280" w:after="100"/>
      </w:pPr>
      <w:r>
        <w:rPr>
          <w:rFonts w:ascii="Arial" w:cs="Arial" w:eastAsia="Arial" w:hAnsi="Arial"/>
          <w:b/>
          <w:bCs/>
          <w:sz w:val="26"/>
          <w:szCs w:val="26"/>
        </w:rPr>
        <w:t xml:space="preserve">References</w:t>
      </w:r>
    </w:p>
    <w:p>
      <w:pPr>
        <w:spacing w:before="80" w:after="80"/>
        <w:jc w:val="left"/>
      </w:pPr>
      <w:r>
        <w:rPr>
          <w:rFonts w:ascii="Arial" w:cs="Arial" w:eastAsia="Arial" w:hAnsi="Arial"/>
          <w:b w:val="false"/>
          <w:bCs w:val="false"/>
          <w:i w:val="false"/>
          <w:iCs w:val="false"/>
          <w:color w:val="000000"/>
          <w:sz w:val="20"/>
          <w:szCs w:val="20"/>
        </w:rPr>
        <w:t xml:space="preserve">[Leckman02] J.F. Leckman et al., The role of neuronal circuits in the pathogenesis of Tourette syndrome, Arch Gen Psychiatry 59 (2002) 812. [Canonical TS review; CSTC circuit failure; dopamine D2 indirect pathway mechanism; premonitory urge; natural history; sex ratio]</w:t>
      </w:r>
    </w:p>
    <w:p>
      <w:pPr>
        <w:spacing w:before="80" w:after="80"/>
        <w:jc w:val="left"/>
      </w:pPr>
      <w:r>
        <w:rPr>
          <w:rFonts w:ascii="Arial" w:cs="Arial" w:eastAsia="Arial" w:hAnsi="Arial"/>
          <w:b w:val="false"/>
          <w:bCs w:val="false"/>
          <w:i w:val="false"/>
          <w:iCs w:val="false"/>
          <w:color w:val="000000"/>
          <w:sz w:val="20"/>
          <w:szCs w:val="20"/>
        </w:rPr>
        <w:t xml:space="preserve">[Piacentini10] J. Piacentini et al., Behavior therapy for children with Tourette disorder: a randomized controlled trial, JAMA 303 (2010) 1929. [CBIT RCT; behavioral intervention efficacy; habit reversal training; CBIT vs. psychoeducation; FQ3-targeted intervention]</w:t>
      </w:r>
    </w:p>
    <w:p>
      <w:pPr>
        <w:spacing w:before="80" w:after="80"/>
        <w:jc w:val="left"/>
      </w:pPr>
      <w:r>
        <w:rPr>
          <w:rFonts w:ascii="Arial" w:cs="Arial" w:eastAsia="Arial" w:hAnsi="Arial"/>
          <w:b w:val="false"/>
          <w:bCs w:val="false"/>
          <w:i w:val="false"/>
          <w:iCs w:val="false"/>
          <w:color w:val="000000"/>
          <w:sz w:val="20"/>
          <w:szCs w:val="20"/>
        </w:rPr>
        <w:t xml:space="preserve">[Albin89] R.L. Albin, A.B. Young &amp; J.B. Penney, The functional anatomy of basal ganglia disorders, Trends Neurosci 12 (1989) 366. [Canonical basal ganglia direct/indirect pathway model; GABA as inhibitory transmitter; glutamate at STN→GPi; Go/NoGo balance]</w:t>
      </w:r>
    </w:p>
    <w:p>
      <w:pPr>
        <w:spacing w:before="80" w:after="80"/>
        <w:jc w:val="left"/>
      </w:pPr>
      <w:r>
        <w:rPr>
          <w:rFonts w:ascii="Arial" w:cs="Arial" w:eastAsia="Arial" w:hAnsi="Arial"/>
          <w:b w:val="false"/>
          <w:bCs w:val="false"/>
          <w:i w:val="false"/>
          <w:iCs w:val="false"/>
          <w:color w:val="000000"/>
          <w:sz w:val="20"/>
          <w:szCs w:val="20"/>
        </w:rPr>
        <w:t xml:space="preserve">[Rapanelli17] M. Rapanelli, L.R. Frick &amp; C. Pittenger, The role of interneurons in autism and Tourette syndrome, Trends Neurosci 40 (2017) 397. [Histamine H3 receptors on striatal dopaminergic terminals; TMN-striatum DA interaction; interneuron pathology in TS; VMAT2 mechanism]</w:t>
      </w:r>
    </w:p>
    <w:p>
      <w:pPr>
        <w:spacing w:before="80" w:after="80"/>
        <w:jc w:val="left"/>
      </w:pPr>
      <w:r>
        <w:rPr>
          <w:rFonts w:ascii="Arial" w:cs="Arial" w:eastAsia="Arial" w:hAnsi="Arial"/>
          <w:b w:val="false"/>
          <w:bCs w:val="false"/>
          <w:i w:val="false"/>
          <w:iCs w:val="false"/>
          <w:color w:val="000000"/>
          <w:sz w:val="20"/>
          <w:szCs w:val="20"/>
        </w:rPr>
        <w:t xml:space="preserve">[Robertson00] M.M. Robertson, Tourette syndrome, associated conditions and the complexities of treatment, Brain 123 (2000) 425. [TS comorbidity rates; OCD, ADHD, anxiety co-occurrence; treatment complexity; natural history data]</w:t>
      </w:r>
    </w:p>
    <w:p>
      <w:pPr>
        <w:spacing w:before="80" w:after="80"/>
        <w:jc w:val="left"/>
      </w:pPr>
      <w:r>
        <w:rPr>
          <w:rFonts w:ascii="Arial" w:cs="Arial" w:eastAsia="Arial" w:hAnsi="Arial"/>
          <w:b w:val="false"/>
          <w:bCs w:val="false"/>
          <w:i w:val="false"/>
          <w:iCs w:val="false"/>
          <w:color w:val="000000"/>
          <w:sz w:val="20"/>
          <w:szCs w:val="20"/>
        </w:rPr>
        <w:t xml:space="preserve">[Botvinick01] M.M. Botvinick et al., Conflict monitoring and cognitive control, Psychol Rev 108 (2001) 624. [dACC conflict monitoring; cognitive control demand signal; ERN; dACC→dlPFC pathway; FQ3 detection in cognitive control]</w:t>
      </w:r>
    </w:p>
    <w:p>
      <w:pPr>
        <w:spacing w:before="80" w:after="80"/>
        <w:jc w:val="left"/>
      </w:pPr>
      <w:r>
        <w:rPr>
          <w:rFonts w:ascii="Arial" w:cs="Arial" w:eastAsia="Arial" w:hAnsi="Arial"/>
          <w:b w:val="false"/>
          <w:bCs w:val="false"/>
          <w:i w:val="false"/>
          <w:iCs w:val="false"/>
          <w:color w:val="000000"/>
          <w:sz w:val="20"/>
          <w:szCs w:val="20"/>
        </w:rPr>
        <w:t xml:space="preserve">[Schmahmann04] J.D. Schmahmann, Disorders of the cerebellum: ataxia, dysmetria of thought, and the cerebellar cognitive affective syndrome, J Neuropsychiatry Clin Neurosci 16 (2004) 367. [Cerebellar cognitive affective syndrome; non-motor cerebellar function; cerebellar projections to prefrontal and limbic cortex]</w:t>
      </w:r>
    </w:p>
    <w:p>
      <w:pPr>
        <w:spacing w:before="80" w:after="80"/>
        <w:jc w:val="left"/>
      </w:pPr>
      <w:r>
        <w:rPr>
          <w:rFonts w:ascii="Arial" w:cs="Arial" w:eastAsia="Arial" w:hAnsi="Arial"/>
          <w:b w:val="false"/>
          <w:bCs w:val="false"/>
          <w:i w:val="false"/>
          <w:iCs w:val="false"/>
          <w:color w:val="000000"/>
          <w:sz w:val="20"/>
          <w:szCs w:val="20"/>
        </w:rPr>
        <w:t xml:space="preserve">[Worbe15] Y. Worbe et al., Altered structural connectivity of cortico-striato-pallido-thalamic networks in Gilles de la Tourette syndrome, Brain 138 (2015) 472. [TS structural imaging; cerebellar abnormalities; cortico-striatal-cerebellar network alterations]</w:t>
      </w:r>
    </w:p>
    <w:p>
      <w:pPr>
        <w:spacing w:before="60" w:after="60"/>
      </w:pPr>
      <w:r>
        <w:rPr>
          <w:rFonts w:ascii="Arial" w:hAnsi="Arial"/>
          <w:sz w:val="20"/>
        </w:rPr>
        <w:t xml:space="preserve">[Berridge03] C.W. Berridge &amp; B.D. Waterhouse, The locus coeruleus-noradrenergic system: modulation of behavioral state and state-dependent cognitive processes, Brain Res Rev 42 (2003) 33–84. [Canonical LC-NE review; NE_tonic and arousal; LC inputs and outputs; sleep-wake regulation; cognitive gain modulation]</w:t>
      </w:r>
    </w:p>
    <w:p>
      <w:pPr>
        <w:spacing w:before="60" w:after="60"/>
      </w:pPr>
      <w:r>
        <w:rPr>
          <w:rFonts w:ascii="Arial" w:hAnsi="Arial"/>
          <w:sz w:val="20"/>
        </w:rPr>
        <w:t xml:space="preserve">[Arnsten20] A.F.T. Arnsten, Guanfacine’s mechanism of action in treating prefrontal cortical disorders: successful translation across species, Neurobiol Learn Mem 176 (2020) 107327. [Alpha-2A postsynaptic mechanism on dlPFC dendritic spines; guanfacine strengthens PFC network connectivity; alpha-2A selectivity vs clonidine]</w:t>
      </w:r>
    </w:p>
    <w:p>
      <w:pPr>
        <w:spacing w:before="60" w:after="60"/>
      </w:pPr>
      <w:r>
        <w:rPr>
          <w:rFonts w:ascii="Arial" w:hAnsi="Arial"/>
          <w:sz w:val="20"/>
        </w:rPr>
        <w:t xml:space="preserve">[Ito02] M. Ito, Historical review of the significance of the cerebellum and the role of Purkinje cells in motor learning, Ann N Y Acad Sci 978 (2002) 273–288. [Climbing fiber prediction error signal; LTD at parallel fiber-Purkinje synapse; cerebellar motor learning mechanism; inferior olive error detection]</w:t>
      </w:r>
    </w:p>
    <w:p>
      <w:pPr>
        <w:spacing w:before="60" w:after="60"/>
      </w:pPr>
      <w:r>
        <w:rPr>
          <w:rFonts w:ascii="Arial" w:hAnsi="Arial"/>
          <w:sz w:val="20"/>
        </w:rPr>
        <w:t xml:space="preserve">[Llinas99] R. Llinas et al., Thalamocortical dysrhythmia: a neurological and neuropsychiatric syndrome characterized by magnetoencephalography, Proc Natl Acad Sci 96 (1999) 15222–15227. [Thalamocortical dysrhythmia mechanism; thalamic gate failure and pathological oscillatory synchrony; shared oscillatory gate failure architecture across tinnitus, tremor, and tic disorders]</w:t>
      </w:r>
    </w:p>
    <w:p>
      <w:pPr>
        <w:spacing w:before="60" w:after="60"/>
      </w:pPr>
      <w:r>
        <w:rPr>
          <w:rFonts w:ascii="Arial" w:cs="Arial" w:eastAsia="Arial" w:hAnsi="Arial"/>
          <w:bCs/>
          <w:sz w:val="20"/>
          <w:szCs w:val="20"/>
        </w:rPr>
        <w:t xml:space="preserve">[Ricketts23] E.J. Ricketts et al., Sleep disturbance in Tourette’s disorder: potential underlying mechanisms, Curr Sleep Med Rep 9 (2023) 10–22. [Review of sleep disruption in TS; sleep deprivation affects CSTC regions including thalamus, basal ganglia, cerebellum, and PFC; sleep loss as antecedent to tic exacerbation]</w:t>
      </w:r>
    </w:p>
    <w:p>
      <w:pPr>
        <w:spacing w:before="60" w:after="60"/>
      </w:pPr>
      <w:r>
        <w:rPr>
          <w:rFonts w:ascii="Arial" w:cs="Arial" w:eastAsia="Arial" w:hAnsi="Arial"/>
          <w:bCs/>
          <w:sz w:val="20"/>
          <w:szCs w:val="20"/>
        </w:rPr>
        <w:t xml:space="preserve">[Keenan24] L. Keenan et al., Sleep and daytime functioning in children with Tourette syndrome: a two-week case-control study with actigraphy, Sleep Medicine 113 (2024) 313–327. [Actigraphy study; increased sleep onset latency, reduced sleep efficiency; 83% of TS children met clinical cut-off for sleep disorder]</w:t>
      </w:r>
    </w:p>
    <w:p>
      <w:pPr>
        <w:spacing w:before="60" w:after="60"/>
      </w:pPr>
      <w:r>
        <w:rPr>
          <w:rFonts w:ascii="Arial" w:cs="Arial" w:eastAsia="Arial" w:hAnsi="Arial"/>
          <w:sz w:val="20"/>
          <w:szCs w:val="20"/>
        </w:rPr>
        <w:t xml:space="preserve">[Gilbert23] D.L. Gilbert et al., Ecopipam for Tourette syndrome: a randomized trial, Pediatrics 151 (2023) e2022059574. [Phase 2b D1AMOND RCT; 30% tic reduction vs placebo; no antipsychotic-associated side effects; D1 receptor antagonism mechanism]</w:t>
      </w:r>
    </w:p>
    <w:p>
      <w:pPr>
        <w:spacing w:before="60" w:after="60"/>
      </w:pPr>
      <w:r>
        <w:rPr>
          <w:rFonts w:ascii="Arial" w:cs="Arial" w:eastAsia="Arial" w:hAnsi="Arial"/>
          <w:sz w:val="20"/>
          <w:szCs w:val="20"/>
        </w:rPr>
        <w:t xml:space="preserve">[D1AMOND25] Emalex Biosciences, Phase 3 D1AMOND study topline data press release, February 25, 2025. [Topline announcement only; full peer-reviewed publication pending. Time-to-relapse primary endpoint met p=0.0084; 41.9% ecopipam vs 68.1% placebo relapse rate; NDA submission planned 2025]</w:t>
      </w:r>
    </w:p>
    <w:p>
      <w:pPr>
        <w:spacing w:before="60" w:after="60"/>
      </w:pPr>
      <w:r>
        <w:rPr>
          <w:rFonts w:ascii="Arial" w:cs="Arial" w:eastAsia="Arial" w:hAnsi="Arial"/>
          <w:sz w:val="20"/>
          <w:szCs w:val="20"/>
        </w:rPr>
        <w:t xml:space="preserve">[Eapen22] V. Eapen et al., Comprehensive behavioural intervention for tics: a neurophysiological intervention, J Integr Neurosci 21 (2022) 89. doi:10.31083/j.jin2103089. [CBIT produces changes in motor cortical GABAergic inhibitory circuitry; CSP/MEP ratio increased post-CBIT; neurophysiological support for inhibitory circuit strengthening through CBIT]</w:t>
      </w:r>
    </w:p>
    <w:p>
      <w:pPr>
        <w:spacing w:before="60" w:after="60"/>
      </w:pPr>
      <w:r>
        <w:rPr>
          <w:rFonts w:ascii="Arial" w:hAnsi="Arial"/>
          <w:sz w:val="20"/>
        </w:rPr>
        <w:t xml:space="preserve">[Farber21] R.H. Farber et al., Clinical development of valbenazine for tics associated with Tourette syndrome, Expert Rev Neurother 21 (2021) 393–404. [Six TS trials completed; trend toward improvement but primary endpoint not met in any trial; valbenazine approved for tardive dyskinesia, not TS]</w:t>
      </w:r>
    </w:p>
    <w:p>
      <w:pPr>
        <w:spacing w:before="60" w:after="60"/>
      </w:pPr>
      <w:r>
        <w:rPr>
          <w:rFonts w:ascii="Arial" w:hAnsi="Arial"/>
          <w:sz w:val="20"/>
        </w:rPr>
        <w:t xml:space="preserve">[Niemann23] N. Niemann &amp; J. Jankovic, Real-world experience with VMAT2 inhibitors in Tourette syndrome, J Neurol 270 (2023) 4518–4522. [VMAT2 inhibitors effective and safe in real-world TS use; not FDA-approved for TS, used off-label]</w:t>
      </w:r>
    </w:p>
    <w:p>
      <w:pPr>
        <w:spacing w:before="80" w:after="80"/>
        <w:jc w:val="left"/>
      </w:pPr>
      <w:r>
        <w:rPr>
          <w:rFonts w:ascii="Arial" w:cs="Arial" w:eastAsia="Arial" w:hAnsi="Arial"/>
          <w:b w:val="false"/>
          <w:bCs w:val="false"/>
          <w:i w:val="false"/>
          <w:iCs w:val="false"/>
          <w:color w:val="000000"/>
          <w:sz w:val="20"/>
          <w:szCs w:val="20"/>
        </w:rPr>
        <w:t xml:space="preserve">[BrainBody] M. Finnegan, BrainBody_Unified_Reference_v1_3.docx, March 2026. [Unpublished — sleep-GABA connection; NREM sleep as GABAergic reset; adenosine-LC dynamics; NE_tonic and sleep architecture]</w:t>
      </w:r>
    </w:p>
    <w:p>
      <w:pPr>
        <w:spacing w:before="40" w:after="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Jc w:val="left"/>
      <w:pPr>
        <w:ind w:left="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sz w:val="26"/>
      <w:szCs w:val="26"/>
    </w:rPr>
  </w:style>
  <w:style w:type="paragraph" w:styleId="Heading2">
    <w:name w:val="Heading 2"/>
    <w:basedOn w:val="Normal"/>
    <w:next w:val="Normal"/>
    <w:qFormat/>
    <w:pPr>
      <w:spacing w:before="200" w:after="100"/>
      <w:outlineLvl w:val="1"/>
    </w:pPr>
    <w:rPr>
      <w:rFonts w:ascii="Arial" w:cs="Arial" w:eastAsia="Arial" w:hAnsi="Arial"/>
      <w:b/>
      <w:bCs/>
      <w:sz w:val="24"/>
      <w:szCs w:val="24"/>
    </w:rPr>
  </w:style>
  <w:style w:type="paragraph" w:styleId="Heading3">
    <w:name w:val="Heading 3"/>
    <w:basedOn w:val="Normal"/>
    <w:next w:val="Normal"/>
    <w:qFormat/>
    <w:pPr>
      <w:spacing w:before="16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2026-03-14T19:34:55.436Z</dcterms:created>
  <dcterms:modified xsi:type="dcterms:W3CDTF">2026-03-14T19:34:55.437Z</dcterms:modified>
</cp:coreProperties>
</file>

<file path=docProps/custom.xml><?xml version="1.0" encoding="utf-8"?>
<Properties xmlns="http://schemas.openxmlformats.org/officeDocument/2006/custom-properties" xmlns:vt="http://schemas.openxmlformats.org/officeDocument/2006/docPropsVTypes"/>
</file>