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The Immune and Integumentary Systems as an Integrated Barrier-and-Defense Architecture</w:t>
      </w:r>
    </w:p>
    <w:p>
      <w:pPr>
        <w:spacing w:after="120"/>
        <w:jc w:val="center"/>
      </w:pPr>
      <w:r>
        <w:rPr>
          <w:rFonts w:ascii="Arial" w:cs="Arial" w:eastAsia="Arial" w:hAnsi="Arial"/>
          <w:i/>
          <w:iCs/>
          <w:sz w:val="24"/>
          <w:szCs w:val="24"/>
        </w:rPr>
        <w:t xml:space="preserve">Innate-Adaptive Interface │ Skin Barrier │ Gut-Immune Axis │ Inflammaging Cascade</w:t>
      </w:r>
    </w:p>
    <w:p>
      <w:pPr>
        <w:spacing w:after="320"/>
        <w:jc w:val="center"/>
      </w:pPr>
      <w:r>
        <w:rPr>
          <w:rFonts w:ascii="Arial" w:cs="Arial" w:eastAsia="Arial" w:hAnsi="Arial"/>
          <w:b/>
          <w:bCs/>
          <w:sz w:val="22"/>
          <w:szCs w:val="22"/>
        </w:rPr>
        <w:t xml:space="preserve">M. Finnegan</w:t>
      </w:r>
      <w:r>
        <w:rPr>
          <w:rFonts w:ascii="Arial" w:cs="Arial" w:eastAsia="Arial" w:hAnsi="Arial"/>
          <w:sz w:val="22"/>
          <w:szCs w:val="22"/>
        </w:rPr>
        <w:t xml:space="preserve"> · ORCID: 0009-0009-4921-7722 · v0.8 — March 2026 · </w:t>
      </w:r>
      <w:r>
        <w:rPr>
          <w:rFonts w:ascii="Arial" w:cs="Arial" w:eastAsia="Arial" w:hAnsi="Arial"/>
          <w:i/>
          <w:iCs/>
          <w:sz w:val="22"/>
          <w:szCs w:val="22"/>
        </w:rPr>
        <w:t xml:space="preserve">Unpublished draft, not yet peer reviewed</w:t>
      </w:r>
    </w:p>
    <w:p>
      <w:pPr>
        <w:pBdr>
          <w:left w:val="single" w:color="2E75B6" w:sz="4" w:space="8"/>
        </w:pBdr>
        <w:spacing w:before="120" w:after="200"/>
        <w:ind w:left="720" w:right="720"/>
      </w:pPr>
      <w:r>
        <w:rPr>
          <w:b/>
          <w:bCs/>
        </w:rPr>
        <w:t xml:space="preserve">Article Scope and Companion References: </w:t>
      </w:r>
      <w:r>
        <w:t xml:space="preserve">This paper is an integrative review of the immune and integumentary systems analyzed as a coupled barrier-and-defense architecture. The two systems are treated together because their principal coupling axes — the epithelial barrier, the innate pattern-recognition layer, the adaptive specificity-and-memory layer, and the gut-immune regulatory interface — are shared, and their failure modes are bidirectional and mutually amplifying. The five-operation decomposition (Propagation, Gating, Detection, Accumulation, Refinement) is used as an analytical scaffold for locating control logic and identifying coupling points; it does not represent a theoretical claim beyond the established biology described. Neuroimmune interactions and psychoneuroimmunological axes are covered here at the systems level; detailed neurochemical mappings are in the companion Brain-Body Unified Reference (BrainBody v1.3). Evidence confidence tiers are specified at the end of §1.</w:t>
      </w:r>
    </w:p>
    <w:p>
      <w:pPr>
        <w:spacing w:after="80"/>
      </w:pPr>
      <w:r>
        <w:t xml:space="preserve"/>
      </w:r>
    </w:p>
    <w:p>
      <w:pPr>
        <w:pStyle w:val="Heading1"/>
      </w:pPr>
      <w:r>
        <w:rPr>
          <w:b/>
          <w:bCs/>
        </w:rPr>
        <w:t xml:space="preserve">Abstract</w:t>
      </w:r>
    </w:p>
    <w:p>
      <w:pPr>
        <w:spacing w:after="160"/>
      </w:pPr>
      <w:r>
        <w:t xml:space="preserve">The immune and integumentary systems form an integrated barrier-and-defense architecture coupled through four principal interfaces: the epithelial barrier, which provides the primary physical and chemical interface between the organism and its environment and whose failure converts local threats into systemic ones; the innate pattern-recognition layer, through which Toll-like receptors (TLRs), NOD-like receptors (NLRs), and complement detect pathogen-associated molecular patterns (PAMPs) and damage-associated molecular patterns (DAMPs) and initiate rapid non-specific responses; the adaptive specificity-and-memory layer, through which T and B lymphocytes generate antigen-specific responses and immunological memory calibrated to prior exposures; and the gut-immune regulatory interface, through which the intestinal microbiome continuously shapes systemic immune tone, Th1/Th2/Th17/T-regulatory balance, and inflammatory thresholds. These interfaces produce bidirectional failure modes — barrier disruption driving systemic inflammation, immune dysregulation amplifying barrier breakdown, and chronic inflammation accelerating tissue aging — that are not adequately modeled by treating each system in isolation.</w:t>
      </w:r>
    </w:p>
    <w:p>
      <w:pPr>
        <w:spacing w:after="160"/>
      </w:pPr>
      <w:r>
        <w:t xml:space="preserve">This paper applies a five-operation analytical decomposition (Propagation, Gating, Detection, Accumulation, Refinement) to each system and analyzes four failure cascades: the innate-to-adaptive transition failure (inadequate pathogen clearance and immunodeficiency), the immune dysregulation cascade (autoimmunity, allergy, and chronic inflammatory disease), the barrier failure cascade (atopic march, psoriatic cycle, and skin-gut axis), and the inflammaging cascade (chronic low-grade sterile inflammation driving accelerated tissue aging). Psychoneuroimmunological couplings — through which psychological stress suppresses adaptive immunity and activates innate inflammatory pathways via the HPA and sympathoadrenal axes — are analyzed as a proposed Tier B/C coupling. Evidence tiers (A: replicated, mechanistically confirmed; B: mechanistically supported; C: integrative synthesis) are assigned at point of use.</w:t>
      </w:r>
    </w:p>
    <w:p>
      <w:pPr>
        <w:spacing w:after="80"/>
      </w:pPr>
      <w:r>
        <w:t xml:space="preserve"/>
      </w:r>
    </w:p>
    <w:p>
      <w:pPr>
        <w:pStyle w:val="Heading1"/>
      </w:pPr>
      <w:r>
        <w:rPr>
          <w:b/>
          <w:bCs/>
        </w:rPr>
        <w:t xml:space="preserve">§1 — The Immune and Integumentary Systems as a Coupled Architecture</w:t>
      </w:r>
    </w:p>
    <w:p>
      <w:pPr>
        <w:spacing w:after="160"/>
      </w:pPr>
      <w:r>
        <w:t xml:space="preserve">The immune system and the skin are conventionally described as separate organ systems. This separation is appropriate for anatomical classification but understates the degree to which they function as a single integrated defense architecture. The skin is the immune system's primary interface with the environment: its barrier function — maintained by keratinocyte tight junctions, antimicrobial peptides (AMPs), and a resident immune cell population including Langerhans cells, dermal dendritic cells, and tissue-resident memory T cells — determines what reaches the systemic immune compartment. The gut epithelium performs an analogous function over a surface area approximately 100-fold larger than the skin, housing approximately 70% of the body's immune cells [16] and operating as a permanent negotiated interface with the 3.8 × 10¹³ bacterial ecosystem of the microbiome [1].</w:t>
      </w:r>
    </w:p>
    <w:p>
      <w:pPr>
        <w:spacing w:after="160"/>
      </w:pPr>
      <w:r>
        <w:t xml:space="preserve">The immune system itself is organized in two operationally distinct but mechanistically coupled layers. The innate immune layer provides rapid (minutes to hours), non-specific pattern recognition through germline-encoded receptors: TLR activation triggers NF-κB-driven cytokine production and phagocytosis within minutes of pathogen contact; the NLRP3 inflammasome assembles and activates IL-1β and IL-18 in response to DAMPs and PAMPs; the complement cascade opsonizes pathogens and recruits neutrophils within the same time window. The adaptive immune layer provides slow (days to weeks), antigen-specific responses through somatically rearranged receptors: T-cell receptor (TCR) and B-cell receptor (BCR) diversity generated by V(D)J recombination enables recognition of virtually any antigen; clonal expansion and differentiation generate effector populations; and immunological memory ensures faster, stronger responses to re-exposure [2].</w:t>
      </w:r>
    </w:p>
    <w:p>
      <w:pPr>
        <w:spacing w:after="160"/>
      </w:pPr>
      <w:r>
        <w:t xml:space="preserve">These layers fail together when they fail. Inadequate innate clearance means the adaptive system must compensate, exhausting its resources and selecting for immune escape variants. Inadequate adaptive regulation means innate responses persist, driving chronic tissue inflammation. Barrier failure at the skin or gut converts local inflammatory signals into systemic ones, contributing to the central paradox of modern immune disease: rates of autoimmune and allergic disease are rising precisely as rates of infectious disease fall, consistent with the hygiene hypothesis and its more mechanistically grounded successor, the old friends hypothesis [3].</w:t>
      </w:r>
    </w:p>
    <w:p>
      <w:pPr>
        <w:spacing w:after="160"/>
      </w:pPr>
      <w:r>
        <w:t xml:space="preserve">The five-operation decomposition used throughout this paper is an analytical scaffold for locating control logic and identifying coupling points. The coupling analysis in §3 identifies the shared interfaces; the failure cascade analysis in §4 shows how those interfaces amplify rather than correct failure when one layer is compromised.</w:t>
      </w:r>
    </w:p>
    <w:p>
      <w:pPr>
        <w:spacing w:after="160"/>
      </w:pPr>
      <w:r>
        <w:t xml:space="preserve">Sources for this review were drawn from primary peer-reviewed literature, prioritizing mechanistic studies with human tissue or clinical data, landmark trials, and recent literature in areas of active development (particularly gut-immune axis and psychoneuroimmunology). Evidence tiers were assigned operationally: Tier A requires human mechanistic confirmation or replicated RCT-level evidence; Tier B requires direct experimental support in human tissue or well-validated animal models with human correlates; Tier C designates integrative synthesis where individual mechanistic steps are supported but the cascade as a unified clinical pattern has not been directly demonstrated. Tier assignments are made at point of use throughout the text and are consolidated in the evidence tier box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5F8FF" w:val="clear"/>
            <w:tcMar>
              <w:top w:type="dxa" w:w="120"/>
              <w:left w:type="dxa" w:w="200"/>
              <w:bottom w:type="dxa" w:w="120"/>
              <w:right w:type="dxa" w:w="200"/>
            </w:tcMar>
          </w:tcPr>
          <w:p>
            <w:pPr>
              <w:spacing w:after="100"/>
            </w:pPr>
            <w:r>
              <w:rPr>
                <w:b/>
                <w:bCs/>
              </w:rPr>
              <w:t xml:space="preserve">Evidence Tiers — Scope and Confidence of Claims</w:t>
            </w:r>
          </w:p>
          <w:p>
            <w:pPr>
              <w:spacing w:after="120"/>
            </w:pPr>
            <w:r>
              <w:rPr>
                <w:i/>
                <w:iCs/>
              </w:rP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120"/>
            </w:pPr>
            <w:r>
              <w:rPr>
                <w:b/>
                <w:bCs/>
              </w:rPr>
              <w:t xml:space="preserve">Tier A — Established consensus (well-replicated, textbook-level): </w:t>
            </w:r>
            <w:r>
              <w:t xml:space="preserve">Skin barrier function (tight junctions + AMP + resident immune cells); TLR-NF-κB innate activation; complement cascade (classical, lectin, alternative pathways); V(D)J recombination generating TCR/BCR diversity; MHC class I (endogenous antigen → CD8+ T cells) and class II (exogenous antigen → CD4+ T cells) presentation; clonal selection and expansion; B-cell class switching (IgM → IgG/IgA/IgE) via AID; central and peripheral tolerance (thymic negative selection; Tregs); IgE-mediated type I hypersensitivity (mast cell degranulation); type IV delayed-type hypersensitivity (Th1/CTL); gut-associated lymphoid tissue (GALT) as primary adaptive sampling site; secretory IgA as primary mucosal antibody.</w:t>
            </w:r>
          </w:p>
          <w:p>
            <w:pPr>
              <w:spacing w:after="120"/>
            </w:pPr>
            <w:r>
              <w:rPr>
                <w:b/>
                <w:bCs/>
              </w:rPr>
              <w:t xml:space="preserve">Tier A (clinical trial and surveillance outcomes): </w:t>
            </w:r>
            <w:r>
              <w:t xml:space="preserve">mRNA vaccine immunogenicity (COVID-19 NEJM trials 2020–2021 [4][5]); checkpoint inhibitor immune-related adverse events (irAEs) as proof of tolerance mechanism dependence; dupilumab (IL-4Rα blockade, blocking IL-4 and IL-13) for atopic dermatitis [6]; tralokinumab (IL-13 blockade, FDA 2021) and lebrikizumab (IL-13 blockade, FDA September 2024) as additional approved type 2 biologics validating the IL-13 axis independently; secukinumab (IL-17A blockade) for psoriasis [7].</w:t>
            </w:r>
          </w:p>
          <w:p>
            <w:pPr>
              <w:spacing w:after="120"/>
            </w:pPr>
            <w:r>
              <w:rPr>
                <w:b/>
                <w:bCs/>
              </w:rPr>
              <w:t xml:space="preserve">Tier B — Mechanisms with direct experimental support: </w:t>
            </w:r>
            <w:r>
              <w:t xml:space="preserve">NLRP3 inflammasome → IL-1β/IL-18 as sterile inflammation driver (human tissue confirmed); Th17/IL-17 axis in psoriasis and autoimmune disease; T-regulatory cell (Treg) suppression via IL-10/TGF-β (human data); microbiome colonization → Treg induction in neonatal period (Tier B; human correlate); gut dysbiosis → systemic Th1/Th17 skewing (human IBD + animal model); atopic march (atopic dermatitis → asthma → allergic rhinitis) as sequential sensitization (epidemiological + mechanistic data); HPA axis cortisol → lymphocyte redistribution and NK suppression (human data); barrier filaggrin loss-of-function → atopic dermatitis susceptibility.</w:t>
            </w:r>
          </w:p>
          <w:p>
            <w:pPr>
              <w:spacing w:after="60"/>
            </w:pPr>
            <w:r>
              <w:rPr>
                <w:b/>
                <w:bCs/>
              </w:rPr>
              <w:t xml:space="preserve">Tier C — Integrative syntheses or emerging findings: </w:t>
            </w:r>
            <w:r>
              <w:t xml:space="preserve">Psychoneuroimmunology: stress → HPA → cortisol + sympathoadrenal → IL-6/TNF-α skew → immune suppression cascade (each step B; unified clinical program C); inflammaging: chronic low-grade sterile inflammation → multi-tissue accelerated aging (SASP, senescent cell burden, telomere attrition — each link B; coordinated program C); gut microbiome → CNS immune tone via gut-brain axis (preclinical dominant; human correlate emerging).</w:t>
            </w:r>
          </w:p>
        </w:tc>
      </w:tr>
    </w:tbl>
    <w:p>
      <w:pPr>
        <w:spacing w:after="80"/>
      </w:pPr>
      <w:r>
        <w:t xml:space="preserve"/>
      </w:r>
    </w:p>
    <w:p>
      <w:pPr>
        <w:pStyle w:val="Heading1"/>
      </w:pPr>
      <w:r>
        <w:rPr>
          <w:b/>
          <w:bCs/>
        </w:rPr>
        <w:t xml:space="preserve">§2 — Detection Architecture of Each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5F8FF" w:val="clear"/>
            <w:tcMar>
              <w:top w:type="dxa" w:w="120"/>
              <w:left w:type="dxa" w:w="200"/>
              <w:bottom w:type="dxa" w:w="120"/>
              <w:right w:type="dxa" w:w="200"/>
            </w:tcMar>
          </w:tcPr>
          <w:p>
            <w:pPr>
              <w:spacing w:after="100"/>
            </w:pPr>
            <w:r>
              <w:rPr>
                <w:b/>
                <w:bCs/>
              </w:rPr>
              <w:t xml:space="preserve">Five-Operation Decomposition — Definition of Terms</w:t>
            </w:r>
          </w:p>
          <w:p>
            <w:pPr>
              <w:spacing w:after="80"/>
            </w:pPr>
            <w:r>
              <w:rPr>
                <w:b/>
                <w:bCs/>
              </w:rPr>
              <w:t xml:space="preserve">Propagation: </w:t>
            </w:r>
            <w:r>
              <w:t xml:space="preserve">The mechanism by which a signal or state change is transmitted from one component to the next within or between systems.</w:t>
            </w:r>
          </w:p>
          <w:p>
            <w:pPr>
              <w:spacing w:after="80"/>
            </w:pPr>
            <w:r>
              <w:rPr>
                <w:b/>
                <w:bCs/>
              </w:rPr>
              <w:t xml:space="preserve">Gating: </w:t>
            </w:r>
            <w:r>
              <w:t xml:space="preserve">The control mechanism that determines whether a signal passes, accumulates, or is blocked; the threshold or valve function that separates quiescent from active states.</w:t>
            </w:r>
          </w:p>
          <w:p>
            <w:pPr>
              <w:spacing w:after="80"/>
            </w:pPr>
            <w:r>
              <w:rPr>
                <w:b/>
                <w:bCs/>
              </w:rPr>
              <w:t xml:space="preserve">Detection: </w:t>
            </w:r>
            <w:r>
              <w:t xml:space="preserve">The sensing mechanism that measures deviation from a setpoint and generates an error signal; the molecular sensor or organ that monitors system state.</w:t>
            </w:r>
          </w:p>
          <w:p>
            <w:pPr>
              <w:spacing w:after="80"/>
            </w:pPr>
            <w:r>
              <w:rPr>
                <w:b/>
                <w:bCs/>
              </w:rPr>
              <w:t xml:space="preserve">Accumulation: </w:t>
            </w:r>
            <w:r>
              <w:t xml:space="preserve">The time-integrated process by which repeated or sustained activations produce structural or functional change; the state that builds incrementally toward irreversibility.</w:t>
            </w:r>
          </w:p>
          <w:p>
            <w:pPr>
              <w:spacing w:after="60"/>
            </w:pPr>
            <w:r>
              <w:rPr>
                <w:b/>
                <w:bCs/>
              </w:rPr>
              <w:t xml:space="preserve">Refinement: </w:t>
            </w:r>
            <w:r>
              <w:t xml:space="preserve">The adaptive mechanism that updates setpoints, receptor densities, or circuit gain in response to chronic inputs; the system's capacity for recalibration.</w:t>
            </w:r>
          </w:p>
        </w:tc>
      </w:tr>
    </w:tbl>
    <w:p>
      <w:pPr>
        <w:spacing w:after="80"/>
      </w:pPr>
      <w:r>
        <w:t xml:space="preserve"/>
      </w:r>
    </w:p>
    <w:p>
      <w:pPr>
        <w:spacing w:after="160"/>
      </w:pPr>
      <w:r>
        <w:t xml:space="preserve">Each system is analyzed below using these five operations as an organizational scaffold. Tier A claims are established consensus; Tier B claims have direct experimental support as noted; Tier C findings are flagged at point of use.</w:t>
      </w:r>
    </w:p>
    <w:p>
      <w:pPr>
        <w:spacing w:after="80"/>
      </w:pPr>
      <w:r>
        <w:t xml:space="preserve"/>
      </w:r>
    </w:p>
    <w:p>
      <w:pPr>
        <w:pStyle w:val="Heading2"/>
      </w:pPr>
      <w:r>
        <w:rPr>
          <w:b/>
          <w:bCs/>
        </w:rPr>
        <w:t xml:space="preserve">§2.1 — The Immune System</w:t>
      </w:r>
    </w:p>
    <w:p>
      <w:pPr>
        <w:spacing w:after="160"/>
      </w:pPr>
      <w:r>
        <w:rPr>
          <w:b/>
          <w:bCs/>
        </w:rPr>
        <w:t xml:space="preserve">Propagation. </w:t>
      </w:r>
      <w:r>
        <w:t xml:space="preserve">The immune system transmits threat signals through two kinetically distinct cascades. Innate propagation (minutes to hours): pathogen-associated molecular patterns (PAMPs) — LPS, flagellin, viral dsRNA, CpG DNA — bind Toll-like receptors (TLRs) on macrophages, dendritic cells, and neutrophils, activating MyD88 → NF-κB → transcription of TNF-α, IL-6, IL-12, and type I interferons. Complement is activated in parallel via three pathways (classical: antibody-antigen complexes; lectin: mannose-binding lectin on pathogen surfaces; alternative: spontaneous C3 hydrolysis) converging on C3 convertase → C3b opsonization → membrane attack complex (MAC) lysis and C5a chemotaxis. Adaptive propagation (days to weeks): antigen-presenting cells (APCs) process exogenous antigens into peptides presented on MHC class II to CD4+ T helper cells, and endogenous or cross-presented antigens on MHC class I to CD8+ cytotoxic T cells. B cells receive T-cell help (CD40L-CD40 + IL-4/IL-21) to undergo somatic hypermutation (SHM) and affinity maturation in germinal centers, producing high-affinity antibodies [2].</w:t>
      </w:r>
    </w:p>
    <w:p>
      <w:pPr>
        <w:spacing w:after="160"/>
      </w:pPr>
      <w:r>
        <w:rPr>
          <w:b/>
          <w:bCs/>
        </w:rPr>
        <w:t xml:space="preserve">Gating. </w:t>
      </w:r>
      <w:r>
        <w:t xml:space="preserve">The immune system operates two complementary gating architectures. Activation gating: T-cell activation requires a two-signal threshold — TCR-MHC peptide engagement (signal 1) plus co-stimulatory CD28-B7 engagement (signal 2); signal 1 alone drives anergy rather than activation. B-cell activation similarly requires dual signals: BCR crosslinking plus T-cell help or innate co-stimulation. Tolerance gating: central tolerance is enforced by thymic negative selection (autoreactive T cells expressing self-peptide-MHC with high affinity are deleted; AIRE (autoimmune regulator) in medullary thymic epithelial cells drives ectopic expression of peripheral tissue antigens, enabling deletion of organ-specific autoreactive clones that would otherwise escape to the periphery); peripheral tolerance is enforced by T-regulatory cells (Tregs: CD4+CD25+FoxP3+) secreting IL-10, TGF-β, and IL-35, and by co-inhibitory receptors (CTLA-4, PD-1) that raise the activation threshold for self-reactive clones [2]. The two-signal requirement and Treg-mediated suppression together form the gate that separates appropriate immune activation from autoimmunity and allergy.</w:t>
      </w:r>
    </w:p>
    <w:p>
      <w:pPr>
        <w:spacing w:after="160"/>
      </w:pPr>
      <w:r>
        <w:rPr>
          <w:b/>
          <w:bCs/>
        </w:rPr>
        <w:t xml:space="preserve">Detection. </w:t>
      </w:r>
      <w:r>
        <w:t xml:space="preserve">Pattern recognition is the primary detection architecture of the innate system. TLR1/2/4/5/6 operate on the cell surface detecting bacterial components; TLR3/7/8/9 operate in endosomes detecting nucleic acids. NOD1 and NOD2 detect bacterial peptidoglycan fragments (muramyl dipeptide for NOD2) in the cytoplasm — loss-of-function NOD2 mutations are the strongest known genetic risk factor for Crohn's disease [8]. The NLRP3 inflammasome detects cytoplasmic danger signals (ATP, uric acid crystals, cholesterol crystals, asbestos, amyloid) via a two-hit mechanism: priming (NF-κB activation → NLRP3 transcription) and activation (DAMP binding → NLRP3 oligomerization → caspase-1 activation → IL-1β/IL-18 cleavage + gasdermin D pore formation → pyroptosis). The adaptive system detects antigens through the combinatorial diversity of TCR and BCR: V(D)J recombination generates ≥10¹⁵ possible receptor sequences, enabling recognition of virtually any foreign antigen [2].</w:t>
      </w:r>
    </w:p>
    <w:p>
      <w:pPr>
        <w:spacing w:after="160"/>
      </w:pPr>
      <w:r>
        <w:rPr>
          <w:b/>
          <w:bCs/>
        </w:rPr>
        <w:t xml:space="preserve">Accumulation. </w:t>
      </w:r>
      <w:r>
        <w:t xml:space="preserve">Immunological memory is the central accumulation mechanism of the adaptive system. Following primary infection, long-lived plasma cells migrate to bone marrow niches and sustain antibody production for decades; central memory T cells (CD44ʰⁱCD62Lʰⁱ) circulate in lymphoid tissue and proliferate rapidly on re-exposure; tissue-resident memory T cells (T_RM, defined as CD69+CD103+) persist in barrier tissues (skin, gut, lung) and provide immediate frontline recall. Memory accumulation is antigen-dose and inflammatory context-dependent: infections that drive strong innate activation (IL-12, type I IFN) generate superior memory compared to antigen alone. Pathological accumulation: in chronic inflammatory disease, antigen-experienced effector T cells and plasma cells producing autoreactive antibodies persist and expand, converting an acute response into a self-sustaining inflammatory program [2].</w:t>
      </w:r>
    </w:p>
    <w:p>
      <w:pPr>
        <w:spacing w:after="160"/>
      </w:pPr>
      <w:r>
        <w:rPr>
          <w:b/>
          <w:bCs/>
        </w:rPr>
        <w:t xml:space="preserve">Refinement. </w:t>
      </w:r>
      <w:r>
        <w:t xml:space="preserve">The immune system refines specificity through somatic hypermutation (SHM) and affinity maturation in germinal centers: activation-induced cytidine deaminase (AID) introduces point mutations into BCR variable regions; B cells compete for limiting antigen on follicular dendritic cells; high-affinity variants are selected for continued proliferation while low-affinity variants undergo apoptosis. Affinity maturation produces antibodies with up to 10,000-fold higher affinity than the germline sequence [2]. At the population level, repeated microbial exposures calibrate Th1/Th2/Th17/Treg balance; the old friends hypothesis proposes that reduced childhood exposure to diverse co-evolved microbial organisms impairs Treg induction and calibration of inflammatory thresholds, skewing the immune system toward Th2 (allergic) and Th17 (autoimmune) responses [3].</w:t>
      </w:r>
    </w:p>
    <w:p>
      <w:pPr>
        <w:spacing w:after="80"/>
      </w:pPr>
      <w:r>
        <w:t xml:space="preserve"/>
      </w:r>
    </w:p>
    <w:p>
      <w:pPr>
        <w:pStyle w:val="Heading2"/>
      </w:pPr>
      <w:r>
        <w:rPr>
          <w:b/>
          <w:bCs/>
        </w:rPr>
        <w:t xml:space="preserve">§2.2 — The Integumentary System</w:t>
      </w:r>
    </w:p>
    <w:p>
      <w:pPr>
        <w:spacing w:after="160"/>
      </w:pPr>
      <w:r>
        <w:rPr>
          <w:b/>
          <w:bCs/>
        </w:rPr>
        <w:t xml:space="preserve">Propagation. </w:t>
      </w:r>
      <w:r>
        <w:t xml:space="preserve">The skin transmits immunological and barrier signals through three architecturally distinct layers. The epidermis propagates danger signals via keratinocyte-derived cytokines: IL-33, TSLP (thymic stromal lymphopoietin), and IL-25 are released upon barrier disruption, allergen exposure, or physical damage, and act on resident dendritic cells, mast cells, and innate lymphoid cells (ILC2s) to initiate the type 2 inflammatory cascade [9]. The dermis propagates adaptive signals via Langerhans cells (LC) in the epidermis and dermal dendritic cells (dDC) that capture antigen, mature, and migrate to draining lymph nodes to prime T cells. The skin-draining lymph nodes return activated T cells, which home back to the skin via homing receptors (CLA, CCR4, CCR10) guided by skin-derived chemokines [10]. The skin also propagates systemic inflammatory signals via the dermis-vasculature interface: barrier failure → systemic IL-6/IL-13/IL-31 release → amplification of systemic Th2 tone and IgE class switching [9].</w:t>
      </w:r>
    </w:p>
    <w:p>
      <w:pPr>
        <w:spacing w:after="160"/>
      </w:pPr>
      <w:r>
        <w:rPr>
          <w:b/>
          <w:bCs/>
        </w:rPr>
        <w:t xml:space="preserve">Gating. </w:t>
      </w:r>
      <w:r>
        <w:t xml:space="preserve">The epidermis operates as a two-component physical and chemical barrier. The physical gate is formed by the stratum corneum: corneocytes (terminally differentiated, anucleate keratinocytes) embedded in a lamellar lipid matrix (ceramides, free fatty acids, cholesterol) form a low-permeability diffusion barrier that limits transepidermal water loss (TEWL) and penetration of allergens and pathogens. The cornified envelope is cross-linked by transglutaminases; filaggrin (encoded by FLG) is the major structural protein aggregating keratin filaments in the stratum corneum — FLG loss-of-function mutations are the single largest genetic risk factor for atopic dermatitis (OR 3–4), present in approximately 8–10% of Europeans [11]. The chemical gate consists of antimicrobial peptides (AMPs): cathelicidin (LL-37) and defensins (β-defensin 1/2/3) are constitutively expressed or inducible, providing broad-spectrum antimicrobial coverage and, critically, modulating the skin microbiome composition to maintain colonization by commensal Staphylococcus epidermidis while suppressing Staphylococcus aureus [10].</w:t>
      </w:r>
    </w:p>
    <w:p>
      <w:pPr>
        <w:spacing w:after="160"/>
      </w:pPr>
      <w:r>
        <w:rPr>
          <w:b/>
          <w:bCs/>
        </w:rPr>
        <w:t xml:space="preserve">Detection. </w:t>
      </w:r>
      <w:r>
        <w:t xml:space="preserve">The skin detects threat and homeostatic deviation through three sensor populations. Langerhans cells (LCs) are the primary antigen-sampling sensors in the epidermis: their dendrites extend between keratinocytes to sample the epidermal environment continuously, internalizing antigens via pattern recognition receptors (CLRs, TLRs) and haptens via covalent binding. Dermal dendritic cell subsets (CD103+ and CD11b+) perform analogous sampling in the dermis. Mast cells, resident in the dermis and perivascular spaces, function as the primary detection sensor for IgE-mediated threat: FcεRI on mast cells captures IgE antibodies; antigen crosslinking of IgE-FcεRI complexes triggers degranulation (histamine, tryptase, prostaglandins, leukotrienes) within seconds — the primary effector mechanism of type I hypersensitivity. Nociceptors in the skin (C-fibers, Aδ-fibers expressing TRPV1 and TRPA1) detect chemical, thermal, and mechanical stimuli and communicate bidirectionally with the immune system via neuropeptide release (substance P, CGRP) that modulates local mast cell activity and vasodilation [10].</w:t>
      </w:r>
    </w:p>
    <w:p>
      <w:pPr>
        <w:spacing w:after="160"/>
      </w:pPr>
      <w:r>
        <w:rPr>
          <w:b/>
          <w:bCs/>
        </w:rPr>
        <w:t xml:space="preserve">Accumulation. </w:t>
      </w:r>
      <w:r>
        <w:t xml:space="preserve">Chronic barrier disruption drives progressive remodeling of both the physical and immune architecture. Repeated allergen penetration through a disrupted barrier → sustained TSLP/IL-33/IL-25 release → persistent ILC2 and Th2 activation → IL-4/IL-13-driven suppression of FLG and other barrier gene expression → further barrier weakening (a positive feedback loop). This loop underlies the pathological architecture of atopic dermatitis (AD): IL-4/IL-13 directly suppress FLG transcription, explaining why treating the immune component with dupilumab (IL-4Rα blockade) also restores barrier gene expression [6]. The accumulation of allergen-specific IgE, tissue-resident effector memory T cells, and sensitized mast cells over months to years converts a barrier defect into a fixed inflammatory program that persists even when the triggering allergen is removed [6].</w:t>
      </w:r>
    </w:p>
    <w:p>
      <w:pPr>
        <w:spacing w:after="160"/>
      </w:pPr>
      <w:r>
        <w:rPr>
          <w:b/>
          <w:bCs/>
        </w:rPr>
        <w:t xml:space="preserve">Refinement. </w:t>
      </w:r>
      <w:r>
        <w:t xml:space="preserve">The skin microbiome continuously calibrates the immunological environment. Commensal Staphylococcus epidermidis produces lantibiotics that suppress S. aureus; its surface components activate TLR2 on keratinocytes to prime AMP production; and its metabolites directly stimulate Treg induction in the skin, establishing immune tolerance to commensal antigens [12]. In atopic dermatitis, dysbiosis dominated by S. aureus produces serine proteases (V8 protease, staphopain) that cleave FLG directly, releasing allergens from the skin surface while simultaneously activating protease-activated receptor 2 (PAR-2) on keratinocytes to amplify TSLP secretion. The therapeutic implication is that restoring microbiome diversity may be a route to refinement-level correction of the atopic program, independent of allergen avoidance [12].</w:t>
      </w:r>
    </w:p>
    <w:p>
      <w:pPr>
        <w:spacing w:after="80"/>
      </w:pPr>
      <w:r>
        <w:t xml:space="preserve"/>
      </w:r>
    </w:p>
    <w:p>
      <w:pPr>
        <w:pStyle w:val="Heading1"/>
      </w:pPr>
      <w:r>
        <w:rPr>
          <w:b/>
          <w:bCs/>
        </w:rPr>
        <w:t xml:space="preserve">§3 — The Immune-Integumentary Coupling Network</w:t>
      </w:r>
    </w:p>
    <w:p>
      <w:pPr>
        <w:spacing w:after="160"/>
      </w:pPr>
      <w:r>
        <w:t xml:space="preserve">The immune and integumentary systems share four coupling interfaces. Table 1 summarizes the primary mechanisms.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400"/>
        <w:gridCol w:w="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Coupling interface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Primary signal</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Immune effect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Integumentary effect</w:t>
            </w:r>
          </w:p>
        </w:tc>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Epithelial barrier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TSLP, IL-33, IL-25 (keratinocyte alarm cytokines)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ILC2 activation → Th2 skew; mast cell priming; IgE class switching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Barrier gene suppression (IL-4/IL-13 → FLG ↓); AMP induction; LC maturation</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Innate-adaptive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Cytokine milieu (IL-12 → Th1; IL-4 → Th2; IL-6+TGF-β → Th17 differentiation; IL-23 → Th17 stabilization; IL-10/TGF-β → Treg)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CD4+ T helper subset polarization; clonal expansion; memory 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Skin homing of effector/memory T cells; Th1 → psoriasis; Th2 → atopic dermatitis</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Gut-immune regulatory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Microbiome metabolites (SCFAs, bile acids); microbial antigens; segmented filamentous bacteria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Treg induction; IgA secretion; Th1/Th17 calibration; systemic inflammatory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Skin microbiome; gut-skin axis: gut dysbiosis → systemic Th2/Th17 skew → AD/psoriasis risk</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Psychoneuroimmune axis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CRH → cortisol (HPA); catecholamines (SAM); neuropeptides (substance P, CGRP)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Acute: NK/CTL mobilization; Chronic: lymphocyte redistribution, IL-6↑, NK↓, Treg↓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Mast cell activation by substance P/CRH; barrier permeability ↑ under stress; AD flares with stress</w:t>
            </w:r>
          </w:p>
        </w:tc>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B/C</w:t>
            </w:r>
          </w:p>
        </w:tc>
      </w:tr>
    </w:tbl>
    <w:p>
      <w:pPr>
        <w:spacing w:before="80" w:after="200"/>
      </w:pPr>
      <w:r>
        <w:rPr>
          <w:i/>
          <w:iCs/>
        </w:rPr>
        <w:t xml:space="preserve">Table 1. Primary immune-integumentary coupling interfaces.</w:t>
      </w:r>
    </w:p>
    <w:p>
      <w:pPr>
        <w:spacing w:after="80"/>
      </w:pPr>
      <w:r>
        <w:t xml:space="preserve"/>
      </w:r>
    </w:p>
    <w:p>
      <w:pPr>
        <w:pStyle w:val="Heading2"/>
      </w:pPr>
      <w:r>
        <w:rPr>
          <w:b/>
          <w:bCs/>
        </w:rPr>
        <w:t xml:space="preserve">§3.1 — The Epithelial Barrier Interface</w:t>
      </w:r>
    </w:p>
    <w:p>
      <w:pPr>
        <w:spacing w:after="160"/>
      </w:pPr>
      <w:r>
        <w:t xml:space="preserve">The epidermis and gut epithelium function as continuous immunological sampling surfaces, actively transducing barrier state into immune system instructions rather than serving as passive physical barriers. The primary alarm cytokines — TSLP, IL-33, and IL-25 — are constitutively produced at low levels by keratinocytes and enterocytes and released in large quantities upon barrier disruption, allergen exposure, protease activity, or physical damage [9]. These cytokines act directly on ILC2s (innate lymphoid cells type 2), mast cells, basophils, and dendritic cells to initiate type 2 inflammation before adaptive immunity is engaged, providing a rapid pre-primed inflammatory state that shapes the subsequent adaptive response.</w:t>
      </w:r>
    </w:p>
    <w:p>
      <w:pPr>
        <w:spacing w:after="160"/>
      </w:pPr>
      <w:r>
        <w:t xml:space="preserve">The feedback loop between immune activation and barrier gene expression is a central pathological mechanism of atopic disease. IL-4 and IL-13 — the canonical Th2 cytokines and the primary targets of dupilumab — directly suppress FLG, loricrin, and involucrin transcription in keratinocytes, reducing barrier protein abundance and increasing TEWL. This creates a self-amplifying cycle: barrier disruption → TSLP/IL-33 → Th2 activation → IL-4/IL-13 → FLG suppression → further barrier disruption. Clinical evidence for this mechanism includes the observation that dupilumab (anti-IL-4Rα, blocking both IL-4 and IL-13 signaling) restores FLG expression and reduces TEWL in atopic dermatitis patients, not just the inflammatory symptoms [6]. The independent approval of tralokinumab and lebrikizumab, both targeting IL-13 specifically rather than the shared IL-4Rα, separately validates that IL-13 is a primary Th2 effector cytokine in atopic disease. Direct head-to-head comparisons across these agents are not yet available; indirect comparison data suggest broadly similar efficacy, with differences likely reflecting patient population and trial design rather than a settled mechanistic hierarchy.</w:t>
      </w:r>
    </w:p>
    <w:p>
      <w:pPr>
        <w:spacing w:after="160"/>
      </w:pPr>
      <w:r>
        <w:t xml:space="preserve">The gut-skin barrier interface extends this coupling systemically. The intestinal barrier and the epidermal barrier share structural logic (tight junction proteins, AMP defense, resident immune cells) and share alarm cytokines: elevated serum IL-33 and TSLP are found in both atopic dermatitis and inflammatory bowel disease, consistent with a systemic type 2 inflammatory program initiated at either barrier site [28]. The clinical correlation between atopic dermatitis, asthma, and food allergy — the atopic march — reflects sequential sensitization through both barrier surfaces operating in series [27].</w:t>
      </w:r>
    </w:p>
    <w:p>
      <w:pPr>
        <w:spacing w:after="80"/>
      </w:pPr>
      <w:r>
        <w:t xml:space="preserve"/>
      </w:r>
    </w:p>
    <w:p>
      <w:pPr>
        <w:pStyle w:val="Heading2"/>
      </w:pPr>
      <w:r>
        <w:rPr>
          <w:b/>
          <w:bCs/>
        </w:rPr>
        <w:t xml:space="preserve">§3.2 — The Innate-Adaptive Interface</w:t>
      </w:r>
    </w:p>
    <w:p>
      <w:pPr>
        <w:spacing w:after="160"/>
      </w:pPr>
      <w:r>
        <w:t xml:space="preserve">The transition from innate to adaptive immunity is governed by the cytokine milieu generated during innate activation, which polarizes naïve CD4+ T helper cells into functionally distinct effector subsets. This cytokine-context gating is one of the most consequential control points in immunology: the same antigen, presented under different inflammatory conditions, generates qualitatively different adaptive responses with different pathological potential [13].</w:t>
      </w:r>
    </w:p>
    <w:p>
      <w:pPr>
        <w:spacing w:after="160"/>
      </w:pPr>
      <w:r>
        <w:t xml:space="preserve">The four major T helper subsets and their drivers: Th1 (IL-12 + IFN-γ → T-bet → IFN-γ production → macrophage activation, intracellular pathogen clearance; excessive Th1 → organ-specific autoimmunity); Th2 (IL-4 → GATA3 → IL-4/IL-5/IL-13 production → mast cell/eosinophil activation, IgE class switching; excessive Th2 → allergic disease); Th17 (differentiation: IL-6 + TGF-β → RORγt; stabilization and pathogenicity: IL-23 → IL-17A/F + IL-22 production → neutrophil recruitment, mucosal defense; excessive Th17 → psoriasis, inflammatory bowel disease, multiple sclerosis); T-regulatory (TGF-β + IL-2 → FoxP3 → IL-10 + TGF-β + IL-35 secretion + CTLA-4 expression → immune suppression and tolerance maintenance) [2].</w:t>
      </w:r>
    </w:p>
    <w:p>
      <w:pPr>
        <w:spacing w:after="160"/>
      </w:pPr>
      <w:r>
        <w:t xml:space="preserve">The skin tropism of these subsets accounts for the distinct pathological programs of the two major chronic skin inflammatory diseases. Psoriasis is a Th17/Th1-dominated disease: IL-23 (produced by keratinocytes and dermal dendritic cells in response to microbial triggers or trauma) drives Th17 expansion → IL-17A/F → keratinocyte hyperproliferation, neutrophil recruitment, and formation of Munro microabscesses. The clinical efficacy of IL-17A blockade (secukinumab [7]) and IL-23 p19 blockade (guselkumab, risankizumab) directly validates this pathway. Atopic dermatitis is a Th2-dominated disease: the molecular basis for this distinct tropism lies in the barrier-alarm cytokine milieu (TSLP/IL-33 preferentially activate ILC2s and bias DCs toward Th2 priming) rather than in the antigen itself.</w:t>
      </w:r>
    </w:p>
    <w:p>
      <w:pPr>
        <w:spacing w:after="80"/>
      </w:pPr>
      <w:r>
        <w:t xml:space="preserve"/>
      </w:r>
    </w:p>
    <w:p>
      <w:pPr>
        <w:pStyle w:val="Heading2"/>
      </w:pPr>
      <w:r>
        <w:rPr>
          <w:b/>
          <w:bCs/>
        </w:rPr>
        <w:t xml:space="preserve">§3.3 — The Gut-Immune Regulatory Interface</w:t>
      </w:r>
    </w:p>
    <w:p>
      <w:pPr>
        <w:spacing w:after="160"/>
      </w:pPr>
      <w:r>
        <w:t xml:space="preserve">The intestinal microbiome continuously calibrates systemic immune tone, shaping Th1/Th2/Th17/Treg balance, systemic inflammatory thresholds, and the character of innate responses throughout the body. This regulatory function is mediated through three primary channels: microbial metabolites, microbial antigen presentation at GALT surfaces, and direct contact between specific bacterial species and mucosal immune cells [1].</w:t>
      </w:r>
    </w:p>
    <w:p>
      <w:pPr>
        <w:spacing w:after="160"/>
      </w:pPr>
      <w:r>
        <w:t xml:space="preserve">Short-chain fatty acids (SCFAs) — butyrate, propionate, and acetate produced by fermentation of dietary fiber — are the primary microbiome-derived immune modulators. Butyrate acts on colonic Treg precursors via HDAC inhibition and GPR109a signaling to promote FoxP3 expression and Treg differentiation; the resulting Tregs suppress Th17 and Th1 responses systemically (Tier B) [14]. This pathway explains why low-fiber diets, which reduce butyrate-producing species (Faecalibacterium prausnitzii, Roseburia spp., Eubacterium rectale), correlate with higher rates of inflammatory disease: the Treg induction signal is attenuated. Segmented filamentous bacteria (SFB), a commensal taxon extensively characterized in rodents with preliminary evidence for a human counterpart, colonize the ileal epithelium and drive Th17 differentiation and secretory IgA production — demonstrating that specific bacterial species, not just microbiome diversity in general, tune specific immune arms [15].</w:t>
      </w:r>
    </w:p>
    <w:p>
      <w:pPr>
        <w:spacing w:after="160"/>
      </w:pPr>
      <w:r>
        <w:t xml:space="preserve">The gut-skin axis extends this regulatory coupling to the integumentary system. Gut dysbiosis — reduced Bacteroidetes diversity, reduced butyrate producers, elevated Proteobacteria — is associated with atopic dermatitis and psoriasis in epidemiological studies, and germ-free mouse models show that colonization with specific microbiome configurations produces distinct skin immune phenotypes [23]. The proposed mechanism is systemic: gut dysbiosis → reduced Treg induction → elevated systemic Th2 or Th17 tone → lower threshold for skin barrier-alarm cytokines to trigger disease-level responses. Each individual link in this chain has epidemiological or mechanistic support, but they have not been demonstrated as a connected causal sequence in humans; the chain is a proposed synthesis, not a measured pathway. This cascade is accordingly Tier B for the individual gut-Treg link and Tier C as a unified gut-skin inflammatory program.</w:t>
      </w:r>
    </w:p>
    <w:p>
      <w:pPr>
        <w:spacing w:after="80"/>
      </w:pPr>
      <w:r>
        <w:t xml:space="preserve"/>
      </w:r>
    </w:p>
    <w:p>
      <w:pPr>
        <w:pStyle w:val="Heading2"/>
      </w:pPr>
      <w:r>
        <w:rPr>
          <w:b/>
          <w:bCs/>
        </w:rPr>
        <w:t xml:space="preserve">§3.4 — The Psychoneuroimmune Axis</w:t>
      </w:r>
    </w:p>
    <w:p>
      <w:pPr>
        <w:spacing w:after="160"/>
      </w:pPr>
      <w:r>
        <w:t xml:space="preserve">The psychoneuroimmune axis is a proposed Tier B/C coupling through which psychological stress modulates immune function bidirectionally: acute stress transiently enhances innate immune mobilization; chronic stress suppresses adaptive immunity and promotes chronic low-grade innate inflammation. The two primary neuroendocrine routes are the HPA axis (hypothalamus → CRH → pituitary → ACTH → adrenal cortex → cortisol) and the sympathoadrenal (SAM) axis (hypothalamus → SNS → adrenal medulla → epinephrine + norepinephrine, and direct sympathetic innervation of lymphoid organs) [17, 25].</w:t>
      </w:r>
    </w:p>
    <w:p>
      <w:pPr>
        <w:spacing w:after="160"/>
      </w:pPr>
      <w:r>
        <w:t xml:space="preserve">Acute stress (minutes to hours): catecholamine release → β-adrenergic receptor activation on NK cells and CD8+ T cells → rapid mobilization from bone marrow and lymph nodes into blood and peripheral tissues → transient increase in circulating effector cells. This acute mobilization may have evolved as a preparatory immune response to the physical injury that typically accompanied acute psychological threat. Cortisol at acute concentrations has anti-inflammatory and redistributive effects: lymphocytes are trafficked from blood into lymph nodes and tissue, reducing circulating counts; neutrophils are mobilized; and innate responses are primed for rapid deployment.</w:t>
      </w:r>
    </w:p>
    <w:p>
      <w:pPr>
        <w:spacing w:after="160"/>
      </w:pPr>
      <w:r>
        <w:t xml:space="preserve">Chronic stress (weeks to months, Tier B): sustained cortisol → glucocorticoid receptor (GR) downregulation and GR resistance in immune cells → reduced anti-inflammatory glucocorticoid signaling → paradoxical NF-κB activity increase → IL-6, TNF-α, and IL-1β elevation. Simultaneously, chronic sympathetic activation → norepinephrine on β2-AR on lymphocytes → Th2 skewing (via cAMP → GATA3 upregulation) and Treg suppression → impaired adaptive immunity with elevated innate inflammation. The net result is an immune profile that is simultaneously less capable of clearing intracellular pathogens (Th1 suppressed) and more prone to allergic and chronic inflammatory disease (Th2/Th17 elevated). NK cell cytotoxicity is also reduced, which has implications for tumor surveillance [17, 25]. It should be noted that these individual immune effects of chronic stress are each Tier B: separately supported by human data but not yet demonstrated as a unified cascade driving disease outcomes in a dose-dependent prospective study.</w:t>
      </w:r>
    </w:p>
    <w:p>
      <w:pPr>
        <w:spacing w:after="160"/>
      </w:pPr>
      <w:r>
        <w:t xml:space="preserve">The skin is a direct target of psychoneuroimmune signaling. Mast cells in the dermis express receptors for CRH and substance P; both neuropeptides directly trigger degranulation independently of IgE-FcεRI crosslinking, providing a route by which psychological stress drives skin inflammatory flares in atopic dermatitis and urticaria [10]. The bidirectional axis is clinically documented: atopic dermatitis flares correlate with psychological stress events in controlled studies, and psychological interventions (CBT, stress reduction) reduce flare frequency and severity [17]. As a unified cascade from psychological stress to systemic immune dysregulation to skin disease, this remains Tier C.</w:t>
      </w:r>
    </w:p>
    <w:p>
      <w:pPr>
        <w:spacing w:after="80"/>
      </w:pPr>
      <w:r>
        <w:t xml:space="preserve"/>
      </w:r>
    </w:p>
    <w:p>
      <w:pPr>
        <w:pStyle w:val="Heading1"/>
      </w:pPr>
      <w:r>
        <w:rPr>
          <w:b/>
          <w:bCs/>
        </w:rPr>
        <w:t xml:space="preserve">§4 — Multi-System Failure Cascades</w:t>
      </w:r>
    </w:p>
    <w:p>
      <w:pPr>
        <w:spacing w:after="160"/>
      </w:pPr>
      <w:r>
        <w:t xml:space="preserve">The following failure patterns emerge from the immune-integumentary coupling architecture. Each is an integrative synthesis: the component mechanisms are supported at the tier indicated, but the cascades as unified clinical patterns represent proposed connections between individually supported mechanisms rather than directly measured unified sequences. Tier designations follow the evidence tiers defined in §1.</w:t>
      </w:r>
    </w:p>
    <w:p>
      <w:pPr>
        <w:spacing w:after="80"/>
      </w:pPr>
      <w:r>
        <w:t xml:space="preserve"/>
      </w:r>
    </w:p>
    <w:p>
      <w:pPr>
        <w:pStyle w:val="Heading2"/>
      </w:pPr>
      <w:r>
        <w:rPr>
          <w:b/>
          <w:bCs/>
        </w:rPr>
        <w:t xml:space="preserve">§4.1 — Immunodeficiency and Inadequate Pathogen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7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Stage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Key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 Innate deficit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Pattern recognition failure: TLR signaling defects (MyD88, IRAK-4 mutations) → absent cytokine response to bacterial/viral PAMPs; complement deficiency (C3, C1q, MBL) → absent opsonization + impaired clearance → recurrent encapsulated bacterial infections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Casanova &amp; Abel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 Adaptive deficit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RAG1/2 mutations → absent V(D)J recombination → SCID (absent T + B cells); ADA deficiency → toxic deoxyadenosine → lymphocyte apoptosis. Secondary: HIV → CD4+ T cell depletion → progressive loss of Th help → opportunistic infections when CD4 &lt;200/μL [24]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Casanova &amp; Abel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 Phagocyte deficit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Chronic granulomatous disease (CGD): NADPH oxidase mutation → absent respiratory burst → catalase-positive organisms (Aspergillus, Staphylococcus) not killed after phagocytosis → granuloma formation; neutropenia (chemotherapy, agranulocytosis) → absent neutrophil barrier → bacteremia risk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Casanova &amp; Abel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4. Immune evasion accumulation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Pathogen immune evasion adaptations: SARS-CoV-2 ORF6 and ORF3b block type I IFN production via STAT1/STAT2 nuclear import inhibition [22]; S. aureus Protein A binds IgG Fc → blocks opsonization; Mycobacterium tuberculosis inhibits phagolysosome fusion via ESAT-6 → intracellular survival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Casanova &amp; Abel [18]</w:t>
            </w:r>
          </w:p>
        </w:tc>
      </w:tr>
    </w:tbl>
    <w:p>
      <w:pPr>
        <w:spacing w:after="80"/>
      </w:pPr>
      <w:r>
        <w:t xml:space="preserve"/>
      </w:r>
    </w:p>
    <w:p>
      <w:pPr>
        <w:pStyle w:val="Heading2"/>
      </w:pPr>
      <w:r>
        <w:rPr>
          <w:b/>
          <w:bCs/>
        </w:rPr>
        <w:t xml:space="preserve">§4.2 — Immune Dysregulation: Autoimmunity and Chronic Inflammation</w:t>
      </w:r>
    </w:p>
    <w:p>
      <w:pPr>
        <w:spacing w:after="160"/>
      </w:pPr>
      <w:r>
        <w:t xml:space="preserve">Immune dysregulation occurs when tolerance mechanisms fail to prevent self-reactive lymphocyte activation, or when appropriate immune responses fail to resolve and become self-sustaining. The failure of central tolerance (thymic deletion of autoreactive T cells) and peripheral tolerance (Treg suppression, co-inhibitory receptor engagement) determines whether antigen-specific responses are directed appropriately or turn on self [2].</w:t>
      </w:r>
    </w:p>
    <w:p>
      <w:pPr>
        <w:spacing w:after="160"/>
      </w:pPr>
      <w:r>
        <w:t xml:space="preserve">Type 1 diabetes (T1D) exemplifies organ-specific autoimmunity: autoreactive CD8+ T cells targeting β-cell antigens (proinsulin, GAD65, islet antigen-2 (IA-2)) escape thymic deletion, are primed by viral infection or environmental triggers, and mediate progressive insulitis over years before clinical diabetes onset. The HLA-DR3/DR4 haplotype confers the greatest genetic risk by presenting autoantigenic peptides with high affinity to autoreactive T cells; protective HLA alleles (DQB1*0602) present the same peptides poorly, explaining population-level risk differences [2, 26].</w:t>
      </w:r>
    </w:p>
    <w:p>
      <w:pPr>
        <w:spacing w:after="160"/>
      </w:pPr>
      <w:r>
        <w:t xml:space="preserve">Rheumatoid arthritis (RA) involves both T-cell and B-cell dysregulation: anti-citrullinated protein antibodies (ACPAs), generated by B cells in response to citrullination of self-proteins by PAD4 (an enzyme released during neutrophil extracellular trap (NET) formation and macrophage activation in the synovium), form immune complexes → complement activation → synovial FcR activation → macrophage TNF-α/IL-6 production → synovitis and joint destruction. The TNF-α axis is the dominant driver, validated by the transformative clinical efficacy of anti-TNF biologics (etanercept, adalimumab, infliximab) [19].</w:t>
      </w:r>
    </w:p>
    <w:p>
      <w:pPr>
        <w:spacing w:after="160"/>
      </w:pPr>
      <w:r>
        <w:t xml:space="preserve">Systemic lupus erythematosus (SLE) involves loss of tolerance to nuclear antigens (dsDNA, Smith antigen, Ro/La) driven by defective clearance of apoptotic debris: apoptotic cells releasing nuclear PAMPs (CpG DNA) activate TLR9 on plasmacytoid dendritic cells (pDCs) → massive type I IFN production → the IFN signature (elevated ISG15, MX1, OAS1) present in &gt;75% of SLE patients → B-cell hyperactivation and anti-dsDNA antibody production → glomerulonephritis, serositis, vasculitis. BAFF (B-cell activating factor) elevations in SLE maintain autoreactive B-cell survival; belimumab (anti-BAFF) reduces flares and serological markers [20].</w:t>
      </w:r>
    </w:p>
    <w:p>
      <w:pPr>
        <w:spacing w:after="80"/>
      </w:pPr>
      <w:r>
        <w:t xml:space="preserve"/>
      </w:r>
    </w:p>
    <w:p>
      <w:pPr>
        <w:pStyle w:val="Heading2"/>
      </w:pPr>
      <w:r>
        <w:rPr>
          <w:b/>
          <w:bCs/>
        </w:rPr>
        <w:t xml:space="preserve">§4.3 — Barrier Failure Cascade: The Atopic March and Psoriatic Cycle</w:t>
      </w:r>
    </w:p>
    <w:p>
      <w:pPr>
        <w:spacing w:after="160"/>
      </w:pPr>
      <w:r>
        <w:t xml:space="preserve">The atopic march describes the sequential progression of atopic disease through distinct but mechanistically linked clinical manifestations: atopic dermatitis (AD, onset typically 0–5 years) → food allergy (1–3 years) → asthma (3–6 years) → allergic rhinitis (5–10 years) [27]. The progression is not inevitable but is driven by transcutaneous sensitization: allergens penetrating a disrupted skin barrier prime Th2 responses and drive IgE production against food and aeroallergens, creating systemic sensitization before any mucosal exposure [9].</w:t>
      </w:r>
    </w:p>
    <w:p>
      <w:pPr>
        <w:spacing w:after="160"/>
      </w:pPr>
      <w:r>
        <w:t xml:space="preserve">The molecular mechanism of disease progression: the barrier disruption → TSLP/IL-33 → Th2 → IL-4/IL-13 → FLG suppression positive-feedback loop described in §3.1 drives transcutaneous sensitization: mast cell sensitization in skin and gut → food allergen ingestion triggers IgE-mediated degranulation → food allergy; subsequent aeroallergen inhalation triggers airway mast cell/eosinophil activation → asthma. The IgE-producing plasma cells and allergen-specific Th2 cells generated in the skin-draining lymph nodes migrate systemically, setting the sensitization state for all mucosal surfaces [9].</w:t>
      </w:r>
    </w:p>
    <w:p>
      <w:pPr>
        <w:spacing w:after="160"/>
      </w:pPr>
      <w:r>
        <w:t xml:space="preserve">The psoriatic cycle is a distinct positive feedback program driven by the Th17/IL-17 axis rather than Th2. Triggering events (infection, trauma, drugs, stress) → keratinocyte activation → IL-23 production → Th17/Tc17 expansion → IL-17A/F + IL-22 → keratinocyte hyperproliferation (psoriatic plaque formation) + AMP overproduction + neutrophil recruitment (Munro microabscesses) → further keratinocyte activation and IL-23 production (positive feedback). The cycle is self-sustaining because: IL-17A directly promotes keratinocyte survival and proliferation; IL-22 drives epidermal thickening independently; and tissue-resident memory Th17 cells in psoriatic plaques can re-initiate the cycle from local triggers even after systemic disease control. IL-17A blockade (secukinumab, ixekizumab) achieves &gt;90% skin clearance in clinical trials, confirming IL-17A as the proximal effector [7].</w:t>
      </w:r>
    </w:p>
    <w:p>
      <w:pPr>
        <w:spacing w:after="80"/>
      </w:pPr>
      <w:r>
        <w:t xml:space="preserve"/>
      </w:r>
    </w:p>
    <w:p>
      <w:pPr>
        <w:pStyle w:val="Heading2"/>
      </w:pPr>
      <w:r>
        <w:rPr>
          <w:b/>
          <w:bCs/>
        </w:rPr>
        <w:t xml:space="preserve">§4.4 — The Inflammaging Cascade</w:t>
      </w:r>
    </w:p>
    <w:p>
      <w:pPr>
        <w:spacing w:after="160"/>
      </w:pPr>
      <w:r>
        <w:t xml:space="preserve">Inflammaging (Tier B for individual links; Tier C as a unified cross-tissue program) describes the chronic low-grade sterile inflammation that accumulates with aging and drives accelerated tissue deterioration across multiple organs. It is mechanistically distinct from acute inflammation: there is no pathogen, no resolving phase, and no tissue repair endpoint. The primary drivers are three converging accumulation processes: cellular senescence, mitochondrial dysfunction, and innate immune activation by endogenous danger signals [21].</w:t>
      </w:r>
    </w:p>
    <w:p>
      <w:pPr>
        <w:spacing w:after="160"/>
      </w:pPr>
      <w:r>
        <w:t xml:space="preserve">Cellular senescence contributes via the senescence-associated secretory phenotype (SASP): senescent cells (growth-arrested but metabolically active, driven by telomere attrition, oxidative DNA damage, and oncogene activation) secrete IL-6, IL-8, IL-1α, MMP-3, and CCL2 constitutively, creating a persistent pro-inflammatory microenvironment that drives paracrine senescence in neighboring cells and systemic immune activation. Senescent cells accumulate with age in skin, liver, adipose tissue, and brain; their selective clearance with senolytics (dasatinib + quercetin) reduces inflammatory markers and improves function in animal models, with expanding human pilot trials showing feasibility, safety, and senescence biomarker reductions — though randomized efficacy data at scale remain pending [21].</w:t>
      </w:r>
    </w:p>
    <w:p>
      <w:pPr>
        <w:spacing w:after="160"/>
      </w:pPr>
      <w:r>
        <w:t xml:space="preserve">Mitochondrial dysfunction contributes via mitochondrial DNA (mtDNA) release: damaged mitochondria release mtDNA into the cytoplasm, where it activates two parallel innate pathways: the cGAS-STING pathway (cGAS senses cytoplasmic mtDNA → cGAMP → STING → TBK1 → IRF3 → type I IFN) and the NLRP3 inflammasome (oxidized mtDNA directly activates NLRP3 → IL-1β/IL-18). These pathways are self-amplifying: inflammaging-driven oxidative stress damages mitochondria → mtDNA release → cGAS-STING + NLRP3 → type I IFN + NF-κB + IL-1β → further oxidative stress.</w:t>
      </w:r>
    </w:p>
    <w:p>
      <w:pPr>
        <w:spacing w:after="160"/>
      </w:pPr>
      <w:r>
        <w:t xml:space="preserve">Immune aging (immunosenescence) contributes by altering the composition of the immune compartment: progressive thymic involution (beginning at puberty, substantially advanced by the 5th decade) reduces naïve T-cell output, leading to oligoclonal expansion of terminally differentiated effector memory T cells (TEMRA: CD45RA+CCR7−) that produce large amounts of TNF-α and IFN-γ but have poor proliferative capacity; the resulting immune profile is simultaneously less able to respond to new pathogens and vaccines and more pro-inflammatory. The accumulation of CMV-specific T cells (CMV seropositivity drives major clonal expansions of anti-CMV CD8+ T cells that crowd out the naïve compartment) is a major contributor to this skewing in CMV-seropositive individuals [21].</w:t>
      </w:r>
    </w:p>
    <w:p>
      <w:pPr>
        <w:spacing w:after="160"/>
      </w:pPr>
      <w:r>
        <w:t xml:space="preserve">The clinical consequences of inflammaging span all major age-associated diseases: cardiovascular (IL-6 → CRP → atherosclerotic plaque instability); neurological (microglial NLRP3 activation → IL-1β → tau phosphorylation and neurodegeneration); metabolic (TNF-α → IRS-1 Ser307 → insulin resistance, as analyzed in the MetabolicGut paper); and musculoskeletal (IL-6 → sarcopenia via muscle protein catabolism) [21]. The connections between inflammaging and each of these disease domains are individually supported, but the framing of a single coordinated multi-tissue program driven by one inflammaging cascade involves an inferential step beyond the available evidence. The cascade as a unified program is Tier C: the individual tissue-level links are Tier B, but coordinated cross-tissue deterioration has not been directly demonstrated prospectively.</w:t>
      </w:r>
    </w:p>
    <w:p>
      <w:pPr>
        <w:spacing w:after="80"/>
      </w:pPr>
      <w:r>
        <w:t xml:space="preserve"/>
      </w:r>
    </w:p>
    <w:p>
      <w:pPr>
        <w:pStyle w:val="Heading1"/>
      </w:pPr>
      <w:r>
        <w:rPr>
          <w:b/>
          <w:bCs/>
        </w:rPr>
        <w:t xml:space="preserve">§5 — The Integrated Immune-Integumentary System</w:t>
      </w:r>
    </w:p>
    <w:p>
      <w:pPr>
        <w:spacing w:after="160"/>
      </w:pPr>
      <w:r>
        <w:t xml:space="preserve">The immune and integumentary systems form an integrated barrier-and-defense architecture with four shared coupling interfaces:</w:t>
      </w:r>
    </w:p>
    <w:p>
      <w:pPr>
        <w:pStyle w:val="ListParagraph"/>
        <w:numPr>
          <w:ilvl w:val="0"/>
          <w:numId w:val="2"/>
        </w:numPr>
        <w:spacing w:after="100"/>
      </w:pPr>
      <w:r>
        <w:rPr>
          <w:b/>
          <w:bCs/>
        </w:rPr>
        <w:t xml:space="preserve">Epithelial barrier: </w:t>
      </w:r>
      <w:r>
        <w:t xml:space="preserve">alarm cytokines (TSLP/IL-33/IL-25) convert barrier state into immune instructions; IL-4/IL-13 suppress barrier genes creating positive feedback; barrier restoration (dupilumab, microbiome normalization) corrects both immune and structural components simultaneously</w:t>
      </w:r>
    </w:p>
    <w:p>
      <w:pPr>
        <w:pStyle w:val="ListParagraph"/>
        <w:numPr>
          <w:ilvl w:val="0"/>
          <w:numId w:val="2"/>
        </w:numPr>
        <w:spacing w:after="100"/>
      </w:pPr>
      <w:r>
        <w:rPr>
          <w:b/>
          <w:bCs/>
        </w:rPr>
        <w:t xml:space="preserve">Innate-adaptive interface: </w:t>
      </w:r>
      <w:r>
        <w:t xml:space="preserve">cytokine milieu during innate activation polarizes naïve Th cells; IL-12 → Th1 (psoriasis/autoimmunity risk), IL-4 → Th2 (allergy/AD risk), IL-6+TGF-β → Th17 differentiation; IL-23 → Th17 stabilization/pathogenicity (psoriasis/IBD risk), TGF-β+IL-2 → Treg (tolerance maintenance); T helper subset tropism determines which skin inflammatory program is expressed</w:t>
      </w:r>
    </w:p>
    <w:p>
      <w:pPr>
        <w:pStyle w:val="ListParagraph"/>
        <w:numPr>
          <w:ilvl w:val="0"/>
          <w:numId w:val="2"/>
        </w:numPr>
        <w:spacing w:after="100"/>
      </w:pPr>
      <w:r>
        <w:rPr>
          <w:b/>
          <w:bCs/>
        </w:rPr>
        <w:t xml:space="preserve">Gut-immune regulatory interface: </w:t>
      </w:r>
      <w:r>
        <w:t xml:space="preserve">microbiome continuously calibrates Treg/Th17 balance and systemic inflammatory threshold; SCFAs → Treg induction (Tier B); dysbiosis → systemic Th2/Th17 skew → skin disease amplification; gut-skin axis remains Tier C as unified cascade</w:t>
      </w:r>
    </w:p>
    <w:p>
      <w:pPr>
        <w:pStyle w:val="ListParagraph"/>
        <w:numPr>
          <w:ilvl w:val="0"/>
          <w:numId w:val="2"/>
        </w:numPr>
        <w:spacing w:after="100"/>
      </w:pPr>
      <w:r>
        <w:rPr>
          <w:b/>
          <w:bCs/>
        </w:rPr>
        <w:t xml:space="preserve">Psychoneuroimmune axis: </w:t>
      </w:r>
      <w:r>
        <w:t xml:space="preserve">HPA and SAM axes transduce psychological state into immune modulation; acute stress → innate mobilization; chronic stress → GR resistance + IL-6↑ + Treg↓ + NK↓; substance P/CRH directly activate dermal mast cells; unified cascade Tier C</w:t>
      </w:r>
    </w:p>
    <w:p>
      <w:pPr>
        <w:spacing w:after="80"/>
      </w:pPr>
      <w:r>
        <w:t xml:space="preserve"/>
      </w:r>
    </w:p>
    <w:p>
      <w:pPr>
        <w:spacing w:after="160"/>
      </w:pPr>
      <w:r>
        <w:t xml:space="preserve">When one node fails, the coupling architecture amplifies rather than corrects: barrier disruption → TSLP/IL-33 → Th2 activation → IL-4/IL-13 → FLG suppression → further barrier disruption; dysbiosis → Treg deficiency → lower activation threshold → stronger response to barrier alarm cytokines → more severe atopic disease; chronic stress → mast cell priming + Th2 skew + barrier permeability increase → amplified skin and gut inflammatory responses to otherwise subthreshold stimuli. Interventions that engage the coupling architecture directly — cytokine blockade (dupilumab, secukinumab), microbiome restoration (dietary fiber, FMT), stress reduction, barrier repair (emollients + FLG supplementation strategies) — show benefit across multiple coupling points, consistent with the multi-mechanism architecture described in this paper.</w:t>
      </w:r>
    </w:p>
    <w:p>
      <w:pPr>
        <w:spacing w:after="80"/>
      </w:pPr>
      <w:r>
        <w:t xml:space="preserve"/>
      </w:r>
    </w:p>
    <w:p>
      <w:pPr>
        <w:pStyle w:val="Heading1"/>
      </w:pPr>
      <w:r>
        <w:rPr>
          <w:b/>
          <w:bCs/>
        </w:rPr>
        <w:t xml:space="preserve">§6 — Scope, Limitations, and Companion References</w:t>
      </w:r>
    </w:p>
    <w:p>
      <w:pPr>
        <w:spacing w:after="160"/>
      </w:pPr>
      <w:r>
        <w:t xml:space="preserve">This paper proposes a coupled regulatory framework for the immune and integumentary systems organized around four shared coupling interfaces. Three limitations apply.</w:t>
      </w:r>
    </w:p>
    <w:p>
      <w:pPr>
        <w:spacing w:after="160"/>
      </w:pPr>
      <w:r>
        <w:t xml:space="preserve">First, evidence confidence varies substantially across the paper. The innate-adaptive interface, central and peripheral tolerance mechanisms, and Th subset polarization are among the best-established frameworks in immunology (Tier A). The gut-immune-skin axis and SCFA-Treg coupling are Tier B — directionally consistent and mechanistically supported but the specific human evidence chain linking gut microbiome composition to skin disease severity through Treg levels is not complete. The psychoneuroimmune cascade as a unified clinical program and the inflammaging program as a coordinated multi-tissue deterioration are Tier C. Readers should apply those tiers when evaluating clinical implications.</w:t>
      </w:r>
    </w:p>
    <w:p>
      <w:pPr>
        <w:spacing w:after="160"/>
      </w:pPr>
      <w:r>
        <w:t xml:space="preserve">Second, several important areas are outside the scope of this paper: the detailed mucosal immunology of the GI tract (covered in MetabolicGut v1.1, §3.3), the neuroimmune axis at the level of microglial biology and neuroinflammation (covered in the companion brain maps), and the detailed pharmacology of immunosuppressive therapy beyond the biologics mentioned as mechanism validators.</w:t>
      </w:r>
    </w:p>
    <w:p>
      <w:pPr>
        <w:spacing w:after="160"/>
      </w:pPr>
      <w:r>
        <w:t xml:space="preserve">Third, the failure cascades in §4 are integrative syntheses. Each component mechanism is supported at the tier indicated; the cascades as unified clinical patterns are proposed rather than directly measured. They are intended to identify the shared mechanistic architecture underlying immune and skin disease, not to substitute for clinical guidelines on their management.</w:t>
      </w:r>
    </w:p>
    <w:p>
      <w:pPr>
        <w:spacing w:after="80"/>
      </w:pPr>
      <w:r>
        <w:t xml:space="preserve"/>
      </w:r>
    </w:p>
    <w:p>
      <w:pPr>
        <w:spacing w:before="160" w:after="80"/>
      </w:pPr>
      <w:r>
        <w:rPr>
          <w:b/>
          <w:bCs/>
        </w:rPr>
        <w:t xml:space="preserve">Integration target</w:t>
      </w:r>
    </w:p>
    <w:p>
      <w:pPr>
        <w:spacing w:after="160"/>
      </w:pPr>
      <w:r>
        <w:t xml:space="preserve">This paper is designed to merge into the Brain-Body Unified Reference as its immune-integumentary architecture component once the full system map series is complete. At that point, §2 (system detection architectures) merges with the Organ System Maps into BrainBody §2; §3 (coupling network) merges into BrainBody §3; §4 (failure cascades) feeds into the disease paper series (autoimmunity, allergy, chronic inflammatory disease papers). The simulation appendix table migrates with the merge.</w:t>
      </w:r>
    </w:p>
    <w:p>
      <w:pPr>
        <w:spacing w:after="80"/>
      </w:pPr>
      <w:r>
        <w:t xml:space="preserve"/>
      </w:r>
    </w:p>
    <w:p>
      <w:pPr>
        <w:pStyle w:val="Heading1"/>
      </w:pPr>
      <w:r>
        <w:rPr>
          <w:b/>
          <w:bCs/>
        </w:rPr>
        <w:t xml:space="preserve">Appendix — Simulation Role Classification</w:t>
      </w:r>
    </w:p>
    <w:p>
      <w:pPr>
        <w:spacing w:after="160"/>
      </w:pPr>
      <w:r>
        <w:t xml:space="preserve">Each coupling mechanism is classified below according to its recommended role in a body-brain simulation. Core Rule: Tier A consensus; encode as baseline system behavior. Supported Modifier: Tier B; directly supported but may rest on inference or single-modality data — encode as conditional, can be toggled. Hypothesis Layer: Tier C or inference chain — optional provisional module, not baseline.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
        <w:gridCol w:w="1500"/>
        <w:gridCol w:w="2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Mechanism</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System</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Tier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Simulation role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TLR-NF-κB innate activation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PAMPs → cytokine cascade; baseline innate response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MHC class I/II antigen presentation → T-cell activation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Two-signal requirement; co-stimulation gating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Th1/Th2/Th17/Treg polarization by cytokine milieu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Cytokine context determines effector program; IL-12/IL-4/IL-6+TGF-β [13]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B-cell somatic hypermutation + affinity maturation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Germinal center selection; memory antibody quality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Skin barrier (FLG + tight junctions + AMPs)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Integumentary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Primary physical gate; FLG LOF → barrier failure [11]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TSLP/IL-33/IL-25 alarm cytokines → type 2 cascade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Integumentary/Immune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Barrier-state-to-immune-instruction transducer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IgE-mast cell degranulation (type I hypersensitivity)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FcεRI crosslinking → histamine/LT; baseline allergy mechanism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IL-4/IL-13 → FLG suppression → barrier breakdown feedback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Immune/Integumentary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Core Rule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Validated by dupilumab restoring FLG expression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NLRP3 inflammasome → IL-1β/IL-18 + pyroptosis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DAMP sensor; human tissue confirmed; encode as sterile inflammation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Treg (FoxP3+) → IL-10/TGF-β → immune suppression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Peripheral tolerance; human data; encode as activation threshold modifier [2]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Gut microbiome SCFAs → Treg induction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Butyrate-HDAC-FoxP3 pathway; human correlate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IL-17A/F → keratinocyte hyperproliferation (psoriatic 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Immune/Integumentary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Secukinumab clinical validation; encode as Th17-driven skin program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HPA cortisol → lymphocyte redistribution + GR resistance under chronic stress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Neuroimmune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Supported Modifier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Human data; encode as chronic-stress immune modifier [17]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Psychoneuroimmune cascade: stress → IL-6↑ + Treg↓ + NK↓ as unified program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Neuroimmune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step B; unified clinical cascade C. Encode components separately [17]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Inflammaging: senescence + mtDNA + immunosenescence → multi-tissue deterioration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Immune/Systemic</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Each mechanism B; coordinated cross-tissue program C [21]. Encode components separately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Gut-skin axis: dysbiosis → Th2/Th17 → amplified atopic/psoriatic disease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GI/Integumentary</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Hypothesis Layer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Epidemiological + animal data; human interventional chain not complete [23]</w:t>
            </w:r>
          </w:p>
        </w:tc>
      </w:tr>
    </w:tbl>
    <w:p>
      <w:pPr>
        <w:spacing w:before="80" w:after="200"/>
      </w:pPr>
      <w:r>
        <w:rPr>
          <w:i/>
          <w:iCs/>
        </w:rPr>
        <w:t xml:space="preserve">Appendix Table. Simulation role classification of immune-integumentary coupling mechanisms.</w:t>
      </w:r>
    </w:p>
    <w:p>
      <w:pPr>
        <w:spacing w:after="80"/>
      </w:pPr>
      <w:r>
        <w:t xml:space="preserve"/>
      </w:r>
    </w:p>
    <w:p>
      <w:pPr>
        <w:pStyle w:val="Heading1"/>
      </w:pPr>
      <w:r>
        <w:rPr>
          <w:b/>
          <w:bCs/>
        </w:rPr>
        <w:t xml:space="preserve">References</w:t>
      </w:r>
    </w:p>
    <w:p>
      <w:pPr>
        <w:spacing w:after="160"/>
      </w:pPr>
      <w:r>
        <w:t xml:space="preserve">[1] Sonnenburg JL &amp; Bäckhed F. Diet-microbiota interactions as moderators of human metabolism. Nature 535 (2016) 56–64.</w:t>
      </w:r>
    </w:p>
    <w:p>
      <w:pPr>
        <w:spacing w:after="160"/>
      </w:pPr>
      <w:r>
        <w:t xml:space="preserve">[2] Murphy K &amp; Weaver C. Janeway’s Immunobiology. 9th ed. Garland Science, 2017.</w:t>
      </w:r>
    </w:p>
    <w:p>
      <w:pPr>
        <w:spacing w:after="160"/>
      </w:pPr>
      <w:r>
        <w:t xml:space="preserve">[3] Rook GAW. Regulation of the immune system by biodiversity from the natural environment: an ecosystem service essential to health. Proc Natl Acad Sci USA 110 (2013) 18360–18367.</w:t>
      </w:r>
    </w:p>
    <w:p>
      <w:pPr>
        <w:spacing w:after="160"/>
      </w:pPr>
      <w:r>
        <w:t xml:space="preserve">[4] Polack FP et al. Safety and efficacy of the BNT162b2 mRNA COVID-19 vaccine. N Engl J Med 383 (2020) 2603–2615.</w:t>
      </w:r>
    </w:p>
    <w:p>
      <w:pPr>
        <w:spacing w:after="160"/>
      </w:pPr>
      <w:r>
        <w:t xml:space="preserve">[5] Baden LR et al. Efficacy and safety of the mRNA-1273 SARS-CoV-2 vaccine. N Engl J Med 384 (2021) 403–416.</w:t>
      </w:r>
    </w:p>
    <w:p>
      <w:pPr>
        <w:spacing w:after="160"/>
      </w:pPr>
      <w:r>
        <w:t xml:space="preserve">[6] Beck LA et al. Dupilumab treatment in adults with moderate-to-severe atopic dermatitis. N Engl J Med 371 (2014) 130–139.</w:t>
      </w:r>
    </w:p>
    <w:p>
      <w:pPr>
        <w:spacing w:after="160"/>
      </w:pPr>
      <w:r>
        <w:t xml:space="preserve">[7] Langley RG et al. Secukinumab in plaque psoriasis — results of two phase 3 trials. N Engl J Med 371 (2014) 326–338.</w:t>
      </w:r>
    </w:p>
    <w:p>
      <w:pPr>
        <w:spacing w:after="160"/>
      </w:pPr>
      <w:r>
        <w:t xml:space="preserve">[8] Hugot JP et al. Association of NOD2 leucine-rich repeat variants with susceptibility to Crohn’s disease. Nature 411 (2001) 599–603.</w:t>
      </w:r>
    </w:p>
    <w:p>
      <w:pPr>
        <w:spacing w:after="160"/>
      </w:pPr>
      <w:r>
        <w:t xml:space="preserve">[9] Gallo RL &amp; Hooper LV. Epithelial antimicrobial defence of the skin and intestine. Nat Rev Immunol 12 (2012) 503–516.</w:t>
      </w:r>
    </w:p>
    <w:p>
      <w:pPr>
        <w:spacing w:after="160"/>
      </w:pPr>
      <w:r>
        <w:t xml:space="preserve">[10] Kabashima K et al. The immunological anatomy of the skin. Nat Rev Immunol 19 (2019) 19–30.</w:t>
      </w:r>
    </w:p>
    <w:p>
      <w:pPr>
        <w:spacing w:after="160"/>
      </w:pPr>
      <w:r>
        <w:t xml:space="preserve">[11] Palmer CN et al. Common loss-of-function variants of the epidermal barrier protein filaggrin are a major predisposing factor for atopic dermatitis. Nat Genet 38 (2006) 441–446.</w:t>
      </w:r>
    </w:p>
    <w:p>
      <w:pPr>
        <w:spacing w:after="160"/>
      </w:pPr>
      <w:r>
        <w:t xml:space="preserve">[12] Naik S et al. Compartmentalized control of skin immunity by resident commensals. Science 337 (2012) 1115–1119.</w:t>
      </w:r>
    </w:p>
    <w:p>
      <w:pPr>
        <w:spacing w:after="160"/>
      </w:pPr>
      <w:r>
        <w:t xml:space="preserve">[13] Zhu J &amp; Paul WE. CD4 T cells: fates, functions, and faults. Blood 112 (2008) 1557–1569.</w:t>
      </w:r>
    </w:p>
    <w:p>
      <w:pPr>
        <w:spacing w:after="160"/>
      </w:pPr>
      <w:r>
        <w:t xml:space="preserve">[14] Arpaia N et al. Metabolites produced by commensal bacteria promote peripheral regulatory T-cell generation. Nature 504 (2013) 451–455.</w:t>
      </w:r>
    </w:p>
    <w:p>
      <w:pPr>
        <w:spacing w:after="160"/>
      </w:pPr>
      <w:r>
        <w:t xml:space="preserve">[15] Ivanov II et al. Induction of intestinal Th17 cells by segmented filamentous bacteria. Cell 139 (2009) 485–498.</w:t>
      </w:r>
    </w:p>
    <w:p>
      <w:pPr>
        <w:spacing w:after="160"/>
      </w:pPr>
      <w:r>
        <w:t xml:space="preserve">[16] Mowat AM &amp; Agace WW. Regional specialization within the intestinal immune system. Nat Rev Immunol 14 (2014) 667–685.</w:t>
      </w:r>
    </w:p>
    <w:p>
      <w:pPr>
        <w:spacing w:after="160"/>
      </w:pPr>
      <w:r>
        <w:t xml:space="preserve">[17] Slavich GM &amp; Irwin MR. From stress to inflammation and major depressive disorder: a social signal transduction theory of depression. Psychol Bull 140 (2014) 774–815.</w:t>
      </w:r>
    </w:p>
    <w:p>
      <w:pPr>
        <w:spacing w:after="160"/>
      </w:pPr>
      <w:r>
        <w:t xml:space="preserve">[18] Casanova JL &amp; Abel L. Human genetics of infectious diseases: unique insights into immunological redundancy. Semin Immunol 18 (2006) 388–400.</w:t>
      </w:r>
    </w:p>
    <w:p>
      <w:pPr>
        <w:spacing w:after="160"/>
      </w:pPr>
      <w:r>
        <w:t xml:space="preserve">[19] Smolen JS et al. Rheumatoid arthritis. Nat Rev Dis Primers 4 (2018) 18001.</w:t>
      </w:r>
    </w:p>
    <w:p>
      <w:pPr>
        <w:spacing w:after="160"/>
      </w:pPr>
      <w:r>
        <w:t xml:space="preserve">[20] Furie R et al. Two-year, randomized, controlled trial of belimumab in lupus nephritis. N Engl J Med 383 (2020) 1117–1128.</w:t>
      </w:r>
    </w:p>
    <w:p>
      <w:pPr>
        <w:spacing w:after="160"/>
      </w:pPr>
      <w:r>
        <w:t xml:space="preserve">[21] López-Otín C et al. Hallmarks of aging: an expanding universe. Cell 186 (2023) 243–278.</w:t>
      </w:r>
    </w:p>
    <w:p>
      <w:pPr>
        <w:spacing w:after="160"/>
      </w:pPr>
      <w:r>
        <w:t xml:space="preserve">[22] Xia H et al. Evasion of type I interferon by SARS-CoV-2. Cell Rep 33 (2020) 108234.</w:t>
      </w:r>
    </w:p>
    <w:p>
      <w:pPr>
        <w:spacing w:after="160"/>
      </w:pPr>
      <w:r>
        <w:t xml:space="preserve">[23] De Pessemier B et al. Gut-skin axis: current knowledge of the interrelationship between microbial dysbiosis and skin conditions. Microorganisms 9 (2021) 353.</w:t>
      </w:r>
    </w:p>
    <w:p>
      <w:pPr>
        <w:spacing w:after="160"/>
      </w:pPr>
      <w:r>
        <w:t xml:space="preserve">[24] Levy JA. HIV and the Pathogenesis of AIDS. 3rd ed. ASM Press, 2007.</w:t>
      </w:r>
    </w:p>
    <w:p>
      <w:pPr>
        <w:spacing w:after="160"/>
      </w:pPr>
      <w:r>
        <w:t xml:space="preserve">[25] Glaser R &amp; Kiecolt-Glaser JK. Stress-induced immune dysfunction: implications for health. Nat Rev Immunol 5 (2005) 243–251.</w:t>
      </w:r>
    </w:p>
    <w:p>
      <w:pPr>
        <w:spacing w:after="160"/>
      </w:pPr>
      <w:r>
        <w:t xml:space="preserve">[26] Atkinson MA et al. Type 1 diabetes. Lancet 383 (2014) 69–82.</w:t>
      </w:r>
    </w:p>
    <w:p>
      <w:pPr>
        <w:spacing w:after="160"/>
      </w:pPr>
      <w:r>
        <w:t xml:space="preserve">[27] Spergel JM. From atopic dermatitis to asthma: the atopic march. Ann Allergy Asthma Immunol 105 (2010) 99–106.</w:t>
      </w:r>
    </w:p>
    <w:p>
      <w:pPr>
        <w:spacing w:after="160"/>
      </w:pPr>
      <w:r>
        <w:t xml:space="preserve">[28] Cayrol C &amp; Girard JP. Interleukin-33 (IL-33): a nuclear cytokine from the IL-1 family. Immunol Rev 281 (2018) 154–168.</w:t>
      </w:r>
    </w:p>
    <w:p>
      <w:pPr>
        <w:spacing w:after="80"/>
      </w:pPr>
      <w:r>
        <w:t xml:space="preserve"/>
      </w:r>
    </w:p>
    <w:p>
      <w:pPr>
        <w:spacing w:after="160"/>
      </w:pPr>
      <w:r>
        <w:rPr>
          <w:i/>
          <w:iCs/>
        </w:rPr>
        <w:t xml:space="preserve">All papers in this series are unpublished drafts. Not yet peer reviewed. Internal reference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Finnegan · Immunological System v0.8 · Unpublished draft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2026-03-15T23:30:13.299Z</dcterms:created>
  <dcterms:modified xsi:type="dcterms:W3CDTF">2026-03-15T23:30:13.300Z</dcterms:modified>
</cp:coreProperties>
</file>

<file path=docProps/custom.xml><?xml version="1.0" encoding="utf-8"?>
<Properties xmlns="http://schemas.openxmlformats.org/officeDocument/2006/custom-properties" xmlns:vt="http://schemas.openxmlformats.org/officeDocument/2006/docPropsVTypes"/>
</file>