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The Upper Airway and Pulmonary Systems as an Integrated Respiratory Architecture</w:t>
      </w:r>
    </w:p>
    <w:p>
      <w:pPr>
        <w:spacing w:after="120"/>
        <w:jc w:val="center"/>
      </w:pPr>
      <w:r>
        <w:rPr>
          <w:rFonts w:ascii="Arial" w:cs="Arial" w:eastAsia="Arial" w:hAnsi="Arial"/>
          <w:i/>
          <w:iCs/>
          <w:sz w:val="24"/>
          <w:szCs w:val="24"/>
        </w:rPr>
        <w:t xml:space="preserve">Mucociliary Clearance │ Bronchomotor Gating │ Gas Exchange Threshold │ Brainstem Respiratory Control</w:t>
      </w:r>
    </w:p>
    <w:p>
      <w:pPr>
        <w:spacing w:after="320"/>
        <w:jc w:val="center"/>
      </w:pPr>
      <w:r>
        <w:rPr>
          <w:rFonts w:ascii="Arial" w:cs="Arial" w:eastAsia="Arial" w:hAnsi="Arial"/>
          <w:b/>
          <w:bCs/>
          <w:sz w:val="22"/>
          <w:szCs w:val="22"/>
        </w:rPr>
        <w:t xml:space="preserve">M. Finnegan</w:t>
      </w:r>
      <w:r>
        <w:rPr>
          <w:rFonts w:ascii="Arial" w:cs="Arial" w:eastAsia="Arial" w:hAnsi="Arial"/>
          <w:sz w:val="22"/>
          <w:szCs w:val="22"/>
        </w:rPr>
        <w:t xml:space="preserve"> · ORCID: 0009-0009-4921-7722 · v1.2 — March 2026 · </w:t>
      </w:r>
      <w:r>
        <w:rPr>
          <w:rFonts w:ascii="Arial" w:cs="Arial" w:eastAsia="Arial" w:hAnsi="Arial"/>
          <w:i/>
          <w:iCs/>
          <w:sz w:val="22"/>
          <w:szCs w:val="22"/>
        </w:rPr>
        <w:t xml:space="preserve">Unpublished draft, not yet peer reviewed</w:t>
      </w:r>
    </w:p>
    <w:p>
      <w:pPr>
        <w:pBdr>
          <w:left w:val="single" w:color="2E75B6" w:sz="4" w:space="8"/>
        </w:pBdr>
        <w:spacing w:before="120" w:after="200"/>
        <w:ind w:left="720" w:right="720"/>
      </w:pPr>
      <w:r>
        <w:rPr>
          <w:b/>
          <w:bCs/>
        </w:rPr>
        <w:t xml:space="preserve">Article Scope and Companion References: </w:t>
      </w:r>
      <w:r>
        <w:t xml:space="preserve">This paper is an integrative review of the upper airway and pulmonary systems analyzed as a coupled respiratory architecture. The two systems are treated together because their principal coupling axes — the unified mucociliary escalator, shared bronchomotor and vasomotor autonomic control, the airway immune continuum from nasal mucosa to alveolar macrophage, and the brainstem respiratory pattern generator — are shared, and their failure modes propagate bidirectionally along the airway column. The five-operation decomposition (Propagation, Gating, Detection, Accumulation, Refinement) is used as an analytical scaffold for locating control logic and identifying coupling points; it does not represent a theoretical claim beyond the established biology described. Neurological control of breathing is covered at the systems level; detailed brainstem circuit mappings are in the companion Brain-Body Unified Reference (BrainBody v1.3). Evidence confidence tiers are specified at the end of §1.</w:t>
      </w:r>
    </w:p>
    <w:p>
      <w:pPr>
        <w:spacing w:after="80"/>
      </w:pPr>
      <w:r>
        <w:t xml:space="preserve"/>
      </w:r>
    </w:p>
    <w:p>
      <w:pPr>
        <w:pStyle w:val="Heading1"/>
      </w:pPr>
      <w:r>
        <w:rPr>
          <w:b/>
          <w:bCs/>
        </w:rPr>
        <w:t xml:space="preserve">Abstract</w:t>
      </w:r>
    </w:p>
    <w:p>
      <w:pPr>
        <w:spacing w:after="160"/>
      </w:pPr>
      <w:r>
        <w:t xml:space="preserve">The upper airway and pulmonary systems form an integrated respiratory architecture coupled through four principal interfaces: the unified mucociliary escalator, which moves particulate matter, pathogens, and debris from the nasal cavity through the trachea and bronchi to the pharynx for clearance; bronchomotor and vasomotor autonomic control, through which the parasympathetic and sympathetic nervous systems regulate airway caliber, secretion, and mucosal blood flow from the nose to the terminal bronchioles; the airway immune continuum, through which a functional gradient of innate and adaptive immune surveillance runs from the nasal-associated lymphoid tissue (NALT) and turbinate epithelium to the bronchus-associated lymphoid tissue (BALT) and alveolar macrophage layer; and brainstem respiratory pattern generation, through which the pre-Bötzinger complex and ventral respiratory group generate the automatic breathing rhythm and integrate chemoreceptor, mechanoreceptor, and higher cortical inputs. These interfaces produce bidirectional failure modes — upper airway obstruction increasing lower airway work, pulmonary disease elevating chemoreceptor drive and disrupting sleep, and chronic airway inflammation sensitizing the entire mucosal column — that are not adequately modeled by treating each anatomical compartment in isolation.</w:t>
      </w:r>
    </w:p>
    <w:p>
      <w:pPr>
        <w:spacing w:after="160"/>
      </w:pPr>
      <w:r>
        <w:t xml:space="preserve">This paper applies a five-operation analytical decomposition (Propagation, Gating, Detection, Accumulation, Refinement) to each system and analyzes four failure cascades: obstructive airway disease (asthma and COPD as airway gating failures), the unified airway hypothesis (upper-lower airway inflammatory continuum), sleep-disordered breathing (sleep apnea as a gating-detection failure in brainstem-upper airway coupling), and the gut-lung axis (microbiome-mediated airway immune tone). The sleep-breathing axis and gut-lung axis are Tier C integrative syntheses, explicitly flagged as such throughout. The neurological control of breathing is Tier A for the brainstem pattern generator and Tier B for higher cortical and chemoreceptor integration. Evidence tiers (A: replicated, mechanistically confirmed; B: mechanistically supported; C: integrative synthesis) are assigned at point of use.</w:t>
      </w:r>
    </w:p>
    <w:p>
      <w:pPr>
        <w:spacing w:after="80"/>
      </w:pPr>
      <w:r>
        <w:t xml:space="preserve"/>
      </w:r>
    </w:p>
    <w:p>
      <w:pPr>
        <w:pStyle w:val="Heading1"/>
      </w:pPr>
      <w:r>
        <w:rPr>
          <w:b/>
          <w:bCs/>
        </w:rPr>
        <w:t xml:space="preserve">§1 — The Upper Airway and Pulmonary Systems as a Coupled Architecture</w:t>
      </w:r>
    </w:p>
    <w:p>
      <w:pPr>
        <w:spacing w:after="160"/>
      </w:pPr>
      <w:r>
        <w:t xml:space="preserve">The nose, sinuses, pharynx, larynx, trachea, bronchi, and alveoli are anatomically distinct structures that textbooks routinely address in separate chapters on upper and lower respiratory disease. This separation is appropriate for clinical triage but understates the degree to which the entire airway column functions as a single integrated mucosal system [1]. Every breath filtered through the nasal turbinates conditions inhaled air — warming, humidifying, and partially decontaminating it — before it reaches the lower airways. The mucociliary escalator operates as a continuous conveyor from the sinonasal epithelium through the trachea and bronchi, clearing debris proximally in a coordinated rhythmic wave. Inflammatory signals initiated in the nasal mucosa by allergen, pollutant, or infection propagate along the mucosal column and prime airway immune cells distally [1].</w:t>
      </w:r>
    </w:p>
    <w:p>
      <w:pPr>
        <w:spacing w:after="160"/>
      </w:pPr>
      <w:r>
        <w:t xml:space="preserve">The brainstem respiratory centers integrate mechanical, chemical, and behavioral signals to generate the automatic breathing pattern: the pre-Bötzinger complex in the ventral medulla generates the inspiratory rhythm; the Pontine respiratory group (Kölliker-Fuse nucleus and parabrachial complex) modulates inspiratory-expiratory switching; and the ventral respiratory group (VRG) coordinates output to the diaphragm, intercostals, and upper airway dilator muscles simultaneously [2]. This simultaneous central drive to upper and lower airway musculature means that sleep-induced changes in central motor tone affect airway patency at both levels. Obstructive sleep apnea (OSA) is, at its core, a failure of pharyngeal dilator muscle activation to match the negative intraluminal pressure generated by the diaphragm during sleep — a failure in the coupling between brainstem output to upper and lower airway musculature [3].</w:t>
      </w:r>
    </w:p>
    <w:p>
      <w:pPr>
        <w:spacing w:after="160"/>
      </w:pPr>
      <w:r>
        <w:t xml:space="preserve">The airway immune system operates as a functional gradient, not as two isolated compartments. Nasal-associated lymphoid tissue (NALT), turbinate goblet cells, and sinonasal mucosal mast cells form the first sampling layer. Tracheal and bronchial epithelium provides the intermediate layer, with ciliated cells, club cells (formerly Clara cells), and subepithelial dendritic cells presenting antigen to bronchus-associated lymphoid tissue (BALT). Alveolar macrophages form the deepest layer, cleared of surfactant-coated particles by mucociliary transport or phagocytosis. Asthma and chronic rhinosinusitis (CRS) share type 2 inflammatory signatures (IL-4, IL-5, IL-13, eosinophilia) and are epidemiologically and mechanistically linked as expressions of the same airway mucosal disease at different anatomical levels — the unified airway hypothesis [1].</w:t>
      </w:r>
    </w:p>
    <w:p>
      <w:pPr>
        <w:spacing w:after="160"/>
      </w:pPr>
      <w:r>
        <w:t xml:space="preserve">The five-operation decomposition used throughout this paper is an analytical scaffold for locating control logic and identifying coupling points. The coupling analysis in §3 identifies the shared interfaces; the failure cascade analysis in §4 shows how those interfaces amplify rather than correct failure when one airway compartment is compromised.</w:t>
      </w:r>
    </w:p>
    <w:p>
      <w:pPr>
        <w:spacing w:after="160"/>
      </w:pPr>
      <w:r>
        <w:t xml:space="preserve">Sources for this review were drawn from primary peer-reviewed literature, prioritizing mechanistic studies, landmark clinical trials, and recent literature in areas of active development (particularly sleep-disordered breathing and gut-lung axis). Evidence tiers were assigned operationally: Tier A requires human mechanistic confirmation or replicated RCT-level evidence; Tier B requires direct experimental support in human tissue or well-validated animal models with human correlates; Tier C designates integrative synthesis where individual steps are supported but the cascade as a unified clinical pattern has not been directly demonstrated. Tier assignments are made at point of use and are consolidated in the evidence tier box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5F8FF" w:val="clear"/>
            <w:tcMar>
              <w:top w:type="dxa" w:w="120"/>
              <w:left w:type="dxa" w:w="200"/>
              <w:bottom w:type="dxa" w:w="120"/>
              <w:right w:type="dxa" w:w="200"/>
            </w:tcMar>
          </w:tcPr>
          <w:p>
            <w:pPr>
              <w:spacing w:after="100"/>
            </w:pPr>
            <w:r>
              <w:rPr>
                <w:b/>
                <w:bCs/>
              </w:rPr>
              <w:t xml:space="preserve">Evidence Tiers — Scope and Confidence of Claims</w:t>
            </w:r>
          </w:p>
          <w:p>
            <w:pPr>
              <w:spacing w:after="120"/>
            </w:pPr>
            <w:r>
              <w:rPr>
                <w:i/>
                <w:iCs/>
              </w:rPr>
              <w:t xml:space="preserve">Note: These tiers reflect the confidence with which claims are used within this review. They are not a formal evidence-grading system (e.g., GRADE) and should not be read as one. Reviewers may reasonably disagree on individual assignments.</w:t>
            </w:r>
          </w:p>
          <w:p>
            <w:pPr>
              <w:spacing w:after="120"/>
            </w:pPr>
            <w:r>
              <w:rPr>
                <w:b/>
                <w:bCs/>
              </w:rPr>
              <w:t xml:space="preserve">Tier A — Established consensus (well-replicated, textbook-level): </w:t>
            </w:r>
            <w:r>
              <w:t xml:space="preserve">Nasal conditioning of inhaled air (warming, humidification, filtration); mucociliary escalator from sinonasal epithelium to trachea-bronchi; surfactant (SP-A/B/C/D) reducing alveolar surface tension; type I/II pneumocyte gas exchange architecture; pre-Bötzinger complex as inspiratory rhythm generator; central and peripheral chemoreceptors (carotid body O₂/CO₂/pH; medullary CO₂/pH) regulating ventilation; Hering-Breuer reflex (pulmonary stretch receptors → inspiratory termination); bronchomotor tone (parasympathetic M3 → bronchoconstriction; sympathetic β2-AR → bronchodilation); forced expiratory volume (FEV₁) and FEV₁/FVC as airway obstruction measures.</w:t>
            </w:r>
          </w:p>
          <w:p>
            <w:pPr>
              <w:spacing w:after="120"/>
            </w:pPr>
            <w:r>
              <w:rPr>
                <w:b/>
                <w:bCs/>
              </w:rPr>
              <w:t xml:space="preserve">Tier A (clinical trial outcomes): </w:t>
            </w:r>
            <w:r>
              <w:t xml:space="preserve">Inhaled corticosteroids (ICS) for asthma controller therapy [4]; long-acting β₂-agonists (LABA) for bronchodilation [4]; CPAP for OSA improving daytime sleepiness and nocturnal oximetry [31]; dupilumab (IL-4Rα blockade) for severe asthma with type 2 inflammation [6]; mepolizumab (anti-IL-5) for eosinophilic asthma [7]; dupilumab for eosinophilic COPD (FDA September 2024, BOREAS/NOTUS trials) [15]; mepolizumab for eosinophilic COPD (2025) [18]; tirzepatide (GLP-1/GIP dual agonist) for moderate-to-severe OSA with obesity (FDA December 2024, SURMOUNT-OSA trial) [19].</w:t>
            </w:r>
          </w:p>
          <w:p>
            <w:pPr>
              <w:spacing w:after="120"/>
            </w:pPr>
            <w:r>
              <w:rPr>
                <w:b/>
                <w:bCs/>
              </w:rPr>
              <w:t xml:space="preserve">Tier B — Mechanisms with direct experimental support: </w:t>
            </w:r>
            <w:r>
              <w:t xml:space="preserve">Eosinophil/mast cell/Th2 axis in atopic asthma (human bronchial biopsy data); IL-17A/neutrophil axis in non-atopic and severe asthma; nasal-bronchial reflex (nasal allergen challenge → bronchial hyperresponsiveness, human data); unified airway: CRS + asthma epidemiological + bronchoscopy evidence; CFTR dysfunction → thick mucus → chronic airway infection in CF (human + functional data); surfactant deficiency in premature infants (human + therapeutic validation); upper airway dilator muscle hypotonia in OSA during sleep (polysomnography + EMG); gut dysbiosis → altered airway Treg/Th2 tone (animal data dominant; human correlate in neonatal microbiome studies).</w:t>
            </w:r>
          </w:p>
          <w:p>
            <w:pPr>
              <w:spacing w:after="60"/>
            </w:pPr>
            <w:r>
              <w:rPr>
                <w:b/>
                <w:bCs/>
              </w:rPr>
              <w:t xml:space="preserve">Tier C — Integrative syntheses or emerging findings: </w:t>
            </w:r>
            <w:r>
              <w:t xml:space="preserve">Sleep-breathing axis: circadian rhythm disruption → ventilatory control instability → OSA severity modulation (each step B; coordinated program C); gut-lung axis: gut microbiome → systemic Treg calibration → airway inflammatory threshold (each link B; unified clinical cascade C); brainstem neurological control integration: cortical-limbic inputs modulating automatic breathing pattern (Tier B for individual inputs; integrated behavioral respiratory control Tier B/C).</w:t>
            </w:r>
          </w:p>
        </w:tc>
      </w:tr>
    </w:tbl>
    <w:p>
      <w:pPr>
        <w:spacing w:after="80"/>
      </w:pPr>
      <w:r>
        <w:t xml:space="preserve"/>
      </w:r>
    </w:p>
    <w:p>
      <w:pPr>
        <w:pStyle w:val="Heading1"/>
      </w:pPr>
      <w:r>
        <w:rPr>
          <w:b/>
          <w:bCs/>
        </w:rPr>
        <w:t xml:space="preserve">§2 — Detection Architecture of Each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5F8FF" w:val="clear"/>
            <w:tcMar>
              <w:top w:type="dxa" w:w="120"/>
              <w:left w:type="dxa" w:w="200"/>
              <w:bottom w:type="dxa" w:w="120"/>
              <w:right w:type="dxa" w:w="200"/>
            </w:tcMar>
          </w:tcPr>
          <w:p>
            <w:pPr>
              <w:spacing w:after="100"/>
            </w:pPr>
            <w:r>
              <w:rPr>
                <w:b/>
                <w:bCs/>
              </w:rPr>
              <w:t xml:space="preserve">Five-Operation Decomposition — Definition of Terms</w:t>
            </w:r>
          </w:p>
          <w:p>
            <w:pPr>
              <w:spacing w:after="80"/>
            </w:pPr>
            <w:r>
              <w:rPr>
                <w:b/>
                <w:bCs/>
              </w:rPr>
              <w:t xml:space="preserve">Propagation: </w:t>
            </w:r>
            <w:r>
              <w:t xml:space="preserve">The mechanism by which a signal or state change is transmitted from one component to the next within or between systems.</w:t>
            </w:r>
          </w:p>
          <w:p>
            <w:pPr>
              <w:spacing w:after="80"/>
            </w:pPr>
            <w:r>
              <w:rPr>
                <w:b/>
                <w:bCs/>
              </w:rPr>
              <w:t xml:space="preserve">Gating: </w:t>
            </w:r>
            <w:r>
              <w:t xml:space="preserve">The control mechanism that determines whether a signal passes, accumulates, or is blocked; the threshold or valve function that separates quiescent from active states.</w:t>
            </w:r>
          </w:p>
          <w:p>
            <w:pPr>
              <w:spacing w:after="80"/>
            </w:pPr>
            <w:r>
              <w:rPr>
                <w:b/>
                <w:bCs/>
              </w:rPr>
              <w:t xml:space="preserve">Detection: </w:t>
            </w:r>
            <w:r>
              <w:t xml:space="preserve">The sensing mechanism that measures deviation from a setpoint and generates an error signal; the molecular sensor or organ that monitors system state.</w:t>
            </w:r>
          </w:p>
          <w:p>
            <w:pPr>
              <w:spacing w:after="80"/>
            </w:pPr>
            <w:r>
              <w:rPr>
                <w:b/>
                <w:bCs/>
              </w:rPr>
              <w:t xml:space="preserve">Accumulation: </w:t>
            </w:r>
            <w:r>
              <w:t xml:space="preserve">The time-integrated process by which repeated or sustained activations produce structural or functional change; the state that builds incrementally toward irreversibility.</w:t>
            </w:r>
          </w:p>
          <w:p>
            <w:pPr>
              <w:spacing w:after="60"/>
            </w:pPr>
            <w:r>
              <w:rPr>
                <w:b/>
                <w:bCs/>
              </w:rPr>
              <w:t xml:space="preserve">Refinement: </w:t>
            </w:r>
            <w:r>
              <w:t xml:space="preserve">The adaptive mechanism that updates setpoints, receptor densities, or circuit gain in response to chronic inputs; the system's capacity for recalibration.</w:t>
            </w:r>
          </w:p>
        </w:tc>
      </w:tr>
    </w:tbl>
    <w:p>
      <w:pPr>
        <w:spacing w:after="80"/>
      </w:pPr>
      <w:r>
        <w:t xml:space="preserve"/>
      </w:r>
    </w:p>
    <w:p>
      <w:pPr>
        <w:spacing w:after="160"/>
      </w:pPr>
      <w:r>
        <w:t xml:space="preserve">Each system is analyzed below using these five operations as an organizational scaffold. Tier A claims are established consensus; Tier B claims have direct experimental support as noted; Tier C findings are flagged at point of use.</w:t>
      </w:r>
    </w:p>
    <w:p>
      <w:pPr>
        <w:spacing w:after="80"/>
      </w:pPr>
      <w:r>
        <w:t xml:space="preserve"/>
      </w:r>
    </w:p>
    <w:p>
      <w:pPr>
        <w:pStyle w:val="Heading2"/>
      </w:pPr>
      <w:r>
        <w:rPr>
          <w:b/>
          <w:bCs/>
        </w:rPr>
        <w:t xml:space="preserve">§2.1 — The Upper Airway System</w:t>
      </w:r>
    </w:p>
    <w:p>
      <w:pPr>
        <w:spacing w:after="160"/>
      </w:pPr>
      <w:r>
        <w:rPr>
          <w:b/>
          <w:bCs/>
        </w:rPr>
        <w:t xml:space="preserve">Propagation. </w:t>
      </w:r>
      <w:r>
        <w:t xml:space="preserve">The upper airway propagates both the gas column and inflammatory signals. The nasal turbinates present a large vascular mucosal surface (total area approximately 160 cm²) that warms inhaled air to near body temperature and humidifies it to near 100% relative humidity within the nasopharynx, protecting the lower airways from desiccation and thermal injury [8]. Inspired particles are impacted onto the mucous layer: particles &gt;10 μm are captured in the nose; 2–10 μm in the tracheobronchial tree; &lt;2 μm (respirable fraction) reach the alveoli [14]. Olfactory receptor neurons in the superior turbinate transduce chemical signals to the olfactory bulb. Sinonasal goblet cells and submucosal glands secrete a biphasic mucus layer: a sol phase (periciliary liquid, PCL) in which cilia beat, and a gel phase that traps particles and is propelled toward the nasopharynx at approximately 5–10 mm/min [14]. Inflammatory mediators released in the nasal mucosa — particularly histamine, leukotrienes, and cytokines — enter the venous circulation and can prime bronchial mast cells and eosinophils via systemic and local nasal-bronchial neural reflexes [1].</w:t>
      </w:r>
    </w:p>
    <w:p>
      <w:pPr>
        <w:spacing w:after="160"/>
      </w:pPr>
      <w:r>
        <w:rPr>
          <w:b/>
          <w:bCs/>
        </w:rPr>
        <w:t xml:space="preserve">Gating. </w:t>
      </w:r>
      <w:r>
        <w:t xml:space="preserve">The upper airway operates two functional gates. The nasal valve (the narrowest cross-section of the nasal passage, at the internal nasal valve angle of approximately 10–15° [24]) provides approximately 50% of total airway resistance [8] and acts as the primary resistance gate for nasal breathing: its caliber is regulated by sympathetic α-adrenergic vasoconstriction (reducing mucosal congestion) and parasympathetic vasodilation (increasing congestion). Nasal congestion sufficient to collapse the nasal valve redirects breathing to the oral route, bypassing nasal conditioning. The pharyngeal airway is gated by the balance between intraluminal negative pressure (generated by diaphragmatic contraction during inspiration) and upper airway dilator muscle activation (tensor palatini, genioglossus, geniohyoid): when dilator tone is insufficient to resist the inspiratory vacuum, the pharyngeal wall collapses — the mechanism of OSA [3].</w:t>
      </w:r>
    </w:p>
    <w:p>
      <w:pPr>
        <w:spacing w:after="160"/>
      </w:pPr>
      <w:r>
        <w:rPr>
          <w:b/>
          <w:bCs/>
        </w:rPr>
        <w:t xml:space="preserve">Detection. </w:t>
      </w:r>
      <w:r>
        <w:t xml:space="preserve">The upper airway epithelium is densely innervated with sensory receptors detecting mechanical, thermal, and chemical stimuli. Nasal trigeminal fibers detect airflow (cold thermoreceptors), irritants (TRPV1, TRPA1 channels on C-fibers), and pressure. Laryngeal mechanoreceptors detect subglottic pressure and are critical for the cough reflex (cough receptors: rapidly adapting receptors (RARs) in the laryngeal and tracheal epithelium detecting irritants and mechanical stimulation → afferent via vagus → NTS relay → brainstem cough pattern generator → efferent motor output to expiratory muscles and glottis). The laryngeal chemoreflex (LCR) is a critical airway-protective reflex: fluid or chemical stimulation of the laryngeal mucosa (particularly the superior laryngeal nerve territory) triggers reflex apnea, bradycardia, and laryngospasm — the primary airway-protective response to aspiration, particularly in infants; in adults the reflex is attenuated and typically manifests as cough and bronchospasm rather than frank apnea [9].</w:t>
      </w:r>
    </w:p>
    <w:p>
      <w:pPr>
        <w:spacing w:after="160"/>
      </w:pPr>
      <w:r>
        <w:rPr>
          <w:b/>
          <w:bCs/>
        </w:rPr>
        <w:t xml:space="preserve">Accumulation. </w:t>
      </w:r>
      <w:r>
        <w:t xml:space="preserve">Chronic upper airway inflammation produces progressive structural remodeling. In allergic rhinitis, repeated allergen exposure → IgE-mediated mast cell degranulation → histamine + tryptase + leukotrienes → goblet cell hyperplasia, submucosal edema, and turbinate hypertrophy [20]. In chronic rhinosinusitis with nasal polyps (CRSwNP), sustained type 2 inflammation (IL-5, IL-13, IgE) drives eosinophilic infiltration, epithelial barrier disruption, fibrin deposition, and polyp formation — a largely irreversible structural change requiring surgical intervention at advanced stages [24]. In OSA, the combination of intermittent hypoxia and mechanical trauma from repetitive airway collapse induces pharyngeal tissue edema, sensory nerve damage in the upper airway mucosa (impairing dilator muscle reflexes), and gradually progressive upper airway anatomical narrowing [3].</w:t>
      </w:r>
    </w:p>
    <w:p>
      <w:pPr>
        <w:spacing w:after="160"/>
      </w:pPr>
      <w:r>
        <w:rPr>
          <w:b/>
          <w:bCs/>
        </w:rPr>
        <w:t xml:space="preserve">Refinement. </w:t>
      </w:r>
      <w:r>
        <w:t xml:space="preserve">The upper airway retains substantial capacity for adaptive recalibration. Nasal cycle alternation — the normal alternating congestion and decongestion of nasal turbinates on a 2–4 hour cycle regulated by the hypothalamus via sympathetic tone — ensures periodic rest of each nasal passage and prevents mucosal drying [8]. Intranasal corticosteroids reduce turbinate hypertrophy and nasal polyp volume by suppressing eosinophil and mast cell activity (Tier A for allergic rhinitis [20]). Mandibular advancement devices and continuous positive airway pressure (CPAP) mechanically splint the pharyngeal airway, bypassing the gating failure in OSA. Tirzepatide (FDA approved December 2024 for OSA with obesity) addresses the anatomical and metabolic drivers of pharyngeal collapsibility rather than bypassing them [19]. Upper airway muscle training (myofunctional therapy) can increase baseline genioglossus tone and reduce OSA severity in mild-moderate disease [22].</w:t>
      </w:r>
    </w:p>
    <w:p>
      <w:pPr>
        <w:spacing w:after="80"/>
      </w:pPr>
      <w:r>
        <w:t xml:space="preserve"/>
      </w:r>
    </w:p>
    <w:p>
      <w:pPr>
        <w:pStyle w:val="Heading2"/>
      </w:pPr>
      <w:r>
        <w:rPr>
          <w:b/>
          <w:bCs/>
        </w:rPr>
        <w:t xml:space="preserve">§2.2 — The Pulmonary System</w:t>
      </w:r>
    </w:p>
    <w:p>
      <w:pPr>
        <w:spacing w:after="160"/>
      </w:pPr>
      <w:r>
        <w:rPr>
          <w:b/>
          <w:bCs/>
        </w:rPr>
        <w:t xml:space="preserve">Propagation. </w:t>
      </w:r>
      <w:r>
        <w:t xml:space="preserve">The pulmonary system propagates gas, pressure waves, and inflammatory signals. Tidal breathing delivers approximately 500 mL per breath at rest (6–10 L/min total ventilation) to approximately 480 million alveoli (traditional estimate 300 million; updated stereological count: Ochs et al. 2004 [26]) presenting a gas exchange surface of approximately 70 m². The alveolar surface is lined by type I pneumocytes (95% of surface area; thin for gas diffusion) and type II pneumocytes (5% of surface area; produce surfactant, serve as progenitor cells for type I repair). Surfactant — a phospholipid-protein complex containing SP-A, SP-B, SP-C, and SP-D — reduces alveolar surface tension from approximately 70 mN/m to near 0 at end-expiration, preventing alveolar collapse (atelectasis) and substantially reducing the work of breathing [10]. Pulmonary circulation delivers the entire cardiac output (≈5 L/min) through a low-resistance, low-pressure system (mean PAP ≈15 mmHg [28]) that optimizes ventilation-perfusion (V/Q) matching via hypoxic pulmonary vasoconstriction (HPV): local alveolar hypoxia → pulmonary arteriolar constriction → redirecting blood flow to better-ventilated alveoli [11].</w:t>
      </w:r>
    </w:p>
    <w:p>
      <w:pPr>
        <w:spacing w:after="160"/>
      </w:pPr>
      <w:r>
        <w:rPr>
          <w:b/>
          <w:bCs/>
        </w:rPr>
        <w:t xml:space="preserve">Gating. </w:t>
      </w:r>
      <w:r>
        <w:t xml:space="preserve">The bronchomotor system is the primary gating mechanism of the lower airway. Bronchial smooth muscle tone is set by the balance of: parasympathetic M3 muscarinic receptor activation (ACh → bronchoconstriction + mucus secretion) and β2-adrenergic receptor activation (epinephrine, β2-agonists → bronchodilation + mucociliary clearance enhancement). The threshold for bronchoconstriction is set by the degree of airway inflammation: eosinophilic inflammation sensitizes airway sensory nerves and smooth muscle, lowering the threshold for bronchospasm (airway hyperresponsiveness, AHR). The alveolar-capillary barrier gates solute and fluid movement: endothelial tight junctions and epithelial tight junctions together restrict fluid accumulation in the alveolar space; when hydrostatic pressure (cardiogenic edema) or permeability (ARDS) exceeds this gate, alveolar flooding → acute hypoxemic respiratory failure [33]. Hypoxic pulmonary vasoconstriction (HPV) gates blood flow distribution: local PO₂ &lt;60 mmHg triggers arteriolar vasoconstriction, serving as a V/Q matching gate [11].</w:t>
      </w:r>
    </w:p>
    <w:p>
      <w:pPr>
        <w:spacing w:after="160"/>
      </w:pPr>
      <w:r>
        <w:rPr>
          <w:b/>
          <w:bCs/>
        </w:rPr>
        <w:t xml:space="preserve">Detection. </w:t>
      </w:r>
      <w:r>
        <w:t xml:space="preserve">The pulmonary system employs three parallel sensor architectures. Chemical detection: peripheral chemoreceptors — carotid bodies (primary PO₂ sensors; also CO₂/pH) and aortic bodies (minor contribution in adults) — detect arterial hypoxemia (PaO₂ &lt;60 mmHg activates glomus cells via inhibition of O₂-sensitive K⁺ channels and mitochondrial signaling → afferent via glossopharyngeal nerve → NTS → increased ventilatory drive) [27]. Central chemoreceptors in the medullary ventral surface (retrotrapezoid nucleus, RTN) detect PCO₂/pH via proton-sensitive channels (TASK-2, GPR4) → primary CO₂ drive for resting ventilation [25]. Mechanical detection: pulmonary stretch receptors in bronchial smooth muscle → slowly adapting receptors (SARs, Hering-Breuer reflex) limit inspiratory volume; rapidly adapting receptors (RARs) in bronchial epithelium detect irritants, inflation-deflation → cough, bronchospasm, and hyperpnea; C-fiber juxtacapillary receptors (J-receptors) detect pulmonary vascular engorgement and inflammatory mediators → dyspnea sensation and rapid shallow breathing [2]. Immune detection: alveolar macrophages (AM) sample inhaled antigens and particles, serving as the innate immune sentinels of the gas exchange surface: surfactant proteins SP-A and SP-D opsonize pathogens for AM phagocytosis; AM produce TNF-α, IL-6, IL-12 in response to PAMPs; and BALT (bronchus-associated lymphoid tissue) provides the adaptive antigen-sampling architecture for the lower airway [10].</w:t>
      </w:r>
    </w:p>
    <w:p>
      <w:pPr>
        <w:spacing w:after="160"/>
      </w:pPr>
      <w:r>
        <w:rPr>
          <w:b/>
          <w:bCs/>
        </w:rPr>
        <w:t xml:space="preserve">Accumulation. </w:t>
      </w:r>
      <w:r>
        <w:t xml:space="preserve">Repeated or sustained injury drives progressive pulmonary structural remodeling. In asthma: persistent eosinophilic inflammation → subepithelial fibrosis (TGF-β → myofibroblast activation → basement membrane thickening), smooth muscle hypertrophy, goblet cell metaplasia, and mucus gland hyperplasia → fixed airflow obstruction in severe disease [4]. In COPD: cigarette smoke → oxidative stress + neutrophilic inflammation → protease-antiprotease imbalance (neutrophil elastase + MMP-9 excess over α1-antitrypsin, secretory leukocyte protease inhibitor (SLPI)) → alveolar wall destruction (emphysema) + small airway fibrosis (chronic bronchitis) → air trapping and dynamic hyperinflation [12]. In pulmonary fibrosis (IPF): repeated alveolar epithelial injury → senescent type II pneumocyte SASP → TGF-β → fibroblast-to-myofibroblast transition → collagen I/III deposition → progressive loss of gas exchange surface; irreversibility is driven by the self-amplifying SASP loop [13, 34].</w:t>
      </w:r>
    </w:p>
    <w:p>
      <w:pPr>
        <w:spacing w:after="160"/>
      </w:pPr>
      <w:r>
        <w:rPr>
          <w:b/>
          <w:bCs/>
        </w:rPr>
        <w:t xml:space="preserve">Refinement. </w:t>
      </w:r>
      <w:r>
        <w:t xml:space="preserve">The pulmonary system retains refinement capacity through several adaptive mechanisms. Hypoxic pulmonary vasoconstriction (HPV) is the primary acute V/Q refinement mechanism, redirecting perfusion away from underventilated alveoli within seconds to minutes. Surfactant synthesis by type II pneumocytes is upregulated by stretch (mechanical ventilation) and by glucocorticoids (antenatal corticosteroids in preterm birth [35]). Alveolar macrophage polarization shifts from pro-inflammatory (M1) to resolution-phase (M2) in response to efferocytosis of apoptotic neutrophils, clearing the inflammatory response [32]. Inhaled corticosteroids reduce eosinophilic airway inflammation and AHR in asthma, partially reversing the accumulation trajectory. Smoking cessation halts the accelerated FEV₁ decline in COPD, though does not reverse established emphysema [12].</w:t>
      </w:r>
    </w:p>
    <w:p>
      <w:pPr>
        <w:spacing w:after="80"/>
      </w:pPr>
      <w:r>
        <w:t xml:space="preserve"/>
      </w:r>
    </w:p>
    <w:p>
      <w:pPr>
        <w:pStyle w:val="Heading1"/>
      </w:pPr>
      <w:r>
        <w:rPr>
          <w:b/>
          <w:bCs/>
        </w:rPr>
        <w:t xml:space="preserve">§3 — The Respiratory Coupling Network</w:t>
      </w:r>
    </w:p>
    <w:p>
      <w:pPr>
        <w:spacing w:after="160"/>
      </w:pPr>
      <w:r>
        <w:t xml:space="preserve">The upper airway and pulmonary systems share four coupling interfaces. Table 1 summarizes the primary mechanisms.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600"/>
        <w:gridCol w:w="3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Coupling interface</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Primary signal</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Upper airway effect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Pulmonary effect</w:t>
            </w:r>
          </w:p>
        </w:tc>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Mucociliary escalator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Ciliary beat frequency (CBF), mucus viscosity, mucociliary transport 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Sinonasal clearance; postnasal drip; nasal bacterial colonization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Bronchial clearance; secretion accumulation; bacterial colonization in COPD/CF</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Bronchomotor / autonomic control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ACh (M3 → bronchoconstriction); β2-AR (bronchodilation); VIP/NO (relaxation)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Nasal congestion/decongestion; nasal-bronchial reflex; sneeze reflex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Bronchial smooth muscle tone; AHR threshold; mucus secretion rate</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Airway immune continuum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IL-4/IL-5/IL-13 (type 2); IL-17A (type 3); IFN-γ (type 1); IgA; IgE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NALT/turbinate immune surveillance; CRS; nasal polyps; allergen sensitization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BALT; alveolar macrophage layer; AHR; asthma; COPD; pneumonia susceptibility</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A/B</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Brainstem respiratory control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Pre-Bötzinger complex rhythm; chemoreceptor drive (PO₂, PCO₂, pH); mechanoreceptor feedback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Upper airway dilator muscle activation (genioglossus, tensor palatini); OSA coupling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Diaphragm/intercostal motor output; tidal volume; respiratory rate; Hering-Breuer reflex</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A/B</w:t>
            </w:r>
          </w:p>
        </w:tc>
      </w:tr>
    </w:tbl>
    <w:p>
      <w:pPr>
        <w:spacing w:before="80" w:after="200"/>
      </w:pPr>
      <w:r>
        <w:rPr>
          <w:i/>
          <w:iCs/>
        </w:rPr>
        <w:t xml:space="preserve">Table 1. Primary upper airway-pulmonary coupling interfaces.</w:t>
      </w:r>
    </w:p>
    <w:p>
      <w:pPr>
        <w:spacing w:after="80"/>
      </w:pPr>
      <w:r>
        <w:t xml:space="preserve"/>
      </w:r>
    </w:p>
    <w:p>
      <w:pPr>
        <w:pStyle w:val="Heading2"/>
      </w:pPr>
      <w:r>
        <w:rPr>
          <w:b/>
          <w:bCs/>
        </w:rPr>
        <w:t xml:space="preserve">§3.1 — The Mucociliary Escalator</w:t>
      </w:r>
    </w:p>
    <w:p>
      <w:pPr>
        <w:spacing w:after="160"/>
      </w:pPr>
      <w:r>
        <w:t xml:space="preserve">The mucociliary escalator is the primary continuous mechanical coupling between the upper and lower airways, operating as a single directional transport system from the sinonasal epithelium to the trachea and bronchi. Ciliated pseudostratified columnar epithelium lines the entire airway column from the nasal turbinates to the terminal bronchioles; the escalator transports mucus-entrapped particles and pathogens toward the larynx for swallowing or expectoration at a rate of approximately 5–10 mm/min in the nose and 10–20 mm/min in the trachea [14].</w:t>
      </w:r>
    </w:p>
    <w:p>
      <w:pPr>
        <w:spacing w:after="160"/>
      </w:pPr>
      <w:r>
        <w:t xml:space="preserve">Effective mucociliary clearance requires three coordinated components: ciliary beat frequency (CBF, normally 10–15 Hz, driven by axonemal dynein ATPase), appropriate periciliary liquid (PCL) depth (7–10 μm, maintained by the balance of CFTR-mediated Cl⁻ secretion and ENaC-mediated Na⁺ absorption), and appropriate mucus viscoelasticity (MUC5B and MUC5AC gel-forming mucins). Disruption of any component impairs clearance: primary ciliary dyskinesia (PCD) — mutations in dynein arm components (DNAI1, DNAH5) — eliminates directional ciliary beating; CF — CFTR loss-of-function — depletes PCL depth, compressing cilia and causing mucus adhesion to the epithelium; dehydration and low-humidity environments reduce mucus fluidity and slow transport [14].</w:t>
      </w:r>
    </w:p>
    <w:p>
      <w:pPr>
        <w:spacing w:after="160"/>
      </w:pPr>
      <w:r>
        <w:t xml:space="preserve">Sinonasal inflammation directly impairs lower airway mucociliary function through two mechanisms. First, inflammatory mediators, particularly IL-13, reduce ciliary beat frequency (CBF) and alter mucin gene expression in bronchial epithelium; histamine and TNF-α contribute additional effects on mucociliary transport — a direct inflammatory coupling along the airway column [14]. Second, postnasal drip from sinusitis or rhinitis introduces bacteria-laden mucus into the lower airways, which can seed bronchial colonization and amplify lower airway inflammation. The clinical consequence is that CRS is an independent risk factor for asthma exacerbations, and treating the upper airway component reduces lower airway event frequency — mechanistic evidence for the unified airway hypothesis (Tier B epidemiological and interventional data) [29].</w:t>
      </w:r>
    </w:p>
    <w:p>
      <w:pPr>
        <w:spacing w:after="80"/>
      </w:pPr>
      <w:r>
        <w:t xml:space="preserve"/>
      </w:r>
    </w:p>
    <w:p>
      <w:pPr>
        <w:pStyle w:val="Heading2"/>
      </w:pPr>
      <w:r>
        <w:rPr>
          <w:b/>
          <w:bCs/>
        </w:rPr>
        <w:t xml:space="preserve">§3.2 — Bronchomotor and Autonomic Control</w:t>
      </w:r>
    </w:p>
    <w:p>
      <w:pPr>
        <w:spacing w:after="160"/>
      </w:pPr>
      <w:r>
        <w:t xml:space="preserve">The parasympathetic and sympathetic nervous systems regulate airway caliber throughout the airway column through parallel but anatomically distinct routes. Parasympathetic preganglionic fibers travel in the vagus nerve to intramural ganglia in the airway wall; postganglionic fibers release ACh onto airway smooth muscle M3 receptors and submucosal glands, producing bronchoconstriction and increased mucus secretion. The nasal mucosa receives particularly dense parasympathetic innervation (vidian nerve, from the pterygopalatine ganglion), driving vasodilation and glandular secretion. Sympathetic tone (via β2-adrenergic receptors on airway smooth muscle) produces bronchodilation and reduces mucosal blood flow; these receptors are the pharmacological targets of β2-agonists (salbutamol, salmeterol, formoterol) [4].</w:t>
      </w:r>
    </w:p>
    <w:p>
      <w:pPr>
        <w:spacing w:after="160"/>
      </w:pPr>
      <w:r>
        <w:t xml:space="preserve">The nasal-bronchial reflex is a direct functional coupling between the upper and lower airways mediated by vagal afferents and efferents: nasal allergen or cold air challenge → trigeminal nerve activation → vagal reflex arc → bronchial smooth muscle contraction and increased bronchial secretion, independently of systemic allergen exposure. This reflex explains why nasal congestion and rhinitis exacerbate asthma, and why nasal treatment reduces bronchial hyperresponsiveness in patients with allergic rhinitis-asthma comorbidity (Tier B, human challenge studies) [30]. Non-adrenergic non-cholinergic (NANC) neurotransmitters — VIP (bronchodilation, anti-inflammatory) and substance P (bronchoconstriction, mucus secretion, mast cell activation) — modulate bronchomotor tone and contribute to neurogenic airway inflammation [23].</w:t>
      </w:r>
    </w:p>
    <w:p>
      <w:pPr>
        <w:spacing w:after="80"/>
      </w:pPr>
      <w:r>
        <w:t xml:space="preserve"/>
      </w:r>
    </w:p>
    <w:p>
      <w:pPr>
        <w:pStyle w:val="Heading2"/>
      </w:pPr>
      <w:r>
        <w:rPr>
          <w:b/>
          <w:bCs/>
        </w:rPr>
        <w:t xml:space="preserve">§3.3 — The Airway Immune Continuum</w:t>
      </w:r>
    </w:p>
    <w:p>
      <w:pPr>
        <w:spacing w:after="160"/>
      </w:pPr>
      <w:r>
        <w:t xml:space="preserve">The airway immune system operates as a continuous functional gradient from the nasal mucosa to the alveolus, with overlapping innate and adaptive sampling layers at each anatomical level. The unified airway hypothesis proposes that allergic and inflammatory airway disease reflects a single mucosal inflammatory process expressing at different levels of the airway column, rather than representing two anatomically independent conditions [1]. The epidemiological evidence is strong: approximately 80% of asthma patients have concurrent allergic rhinitis [20]; CRS with nasal polyps is present in approximately 20–50% of severe asthmatic patients depending on population and severity definition [24]; and treating the upper airway (intranasal corticosteroids, allergen immunotherapy) reduces asthma exacerbation frequency and bronchial hyperresponsiveness [20].</w:t>
      </w:r>
    </w:p>
    <w:p>
      <w:pPr>
        <w:spacing w:after="160"/>
      </w:pPr>
      <w:r>
        <w:t xml:space="preserve">The shared type 2 inflammatory signature links upper and lower airway disease mechanistically. IgE-mediated sensitization occurs at the nasal mucosa and bronchial mucosa simultaneously via shared IgE class switching driven by IL-4 (from Th2 cells and ILC2s); allergen-specific IgE on mast cells at both mucosal surfaces predisposes the entire airway column to rapid degranulation upon allergen exposure. IL-5, the primary eosinophil survival and recruitment cytokine, drives eosinophilic infiltration of both nasal polyp tissue and bronchial submucosa — explaining why anti-IL-5 therapy (mepolizumab [7]) reduces both asthma exacerbations and nasal polyp burden. Type 2 biologics that target the shared cytokine mediators (dupilumab [6] blocking IL-4/IL-13, mepolizumab [7] blocking IL-5) therefore address the upper and lower airway disease simultaneously.</w:t>
      </w:r>
    </w:p>
    <w:p>
      <w:pPr>
        <w:spacing w:after="160"/>
      </w:pPr>
      <w:r>
        <w:t xml:space="preserve">The type 3 (IL-17A/neutrophil) axis is the dominant inflammatory signature in non-atopic asthma, COPD, and severe refractory asthma. Bacterial colonization of the lower airways (in COPD, CF, and bronchiectasis) drives persistent neutrophilic inflammation via TLR4/NF-κB → IL-8 → neutrophil recruitment → proteolytic tissue damage [12]. In the upper airway, chronic bacterial rhinosinusitis produces a similar type 3 signature, and the two compartments can sustain each other through postnasal drip colonization seeding the lower airways. The immune tier distinction between the upper and lower compartments is therefore one of degree rather than kind: the alveolar space is more aggressively defended against residual contamination by alveolar macrophages and surfactant opsonins, while the upper airway tolerates a much higher bacterial load.</w:t>
      </w:r>
    </w:p>
    <w:p>
      <w:pPr>
        <w:spacing w:after="80"/>
      </w:pPr>
      <w:r>
        <w:t xml:space="preserve"/>
      </w:r>
    </w:p>
    <w:p>
      <w:pPr>
        <w:pStyle w:val="Heading2"/>
      </w:pPr>
      <w:r>
        <w:rPr>
          <w:b/>
          <w:bCs/>
        </w:rPr>
        <w:t xml:space="preserve">§3.4 — Brainstem Respiratory Control</w:t>
      </w:r>
    </w:p>
    <w:p>
      <w:pPr>
        <w:spacing w:after="160"/>
      </w:pPr>
      <w:r>
        <w:t xml:space="preserve">The brainstem respiratory pattern generator coordinates upper and lower airway mechanics through simultaneous motor output, making it a true coupling interface rather than merely a controller of pulmonary mechanics. The pre-Bötzinger complex (pre-BötC) in the rostral ventrolateral medulla generates the automatic inspiratory rhythm through recurrent excitatory connections among rhythm-generating interneurons; this rhythm drives the ventral respiratory group (VRG), which distributes motor output to the phrenic nerve (diaphragm), intercostal motor neurons, and — critically — the hypoglossal nucleus (genioglossus activation) and other upper airway dilator motor nuclei [2]. The synchronous activation of upper airway dilators and the diaphragm is the normal coupling that maintains pharyngeal patency during inspiration; the selective loss of upper airway dilator tone during sleep is the pathophysiological foundation of OSA.</w:t>
      </w:r>
    </w:p>
    <w:p>
      <w:pPr>
        <w:spacing w:after="160"/>
      </w:pPr>
      <w:r>
        <w:t xml:space="preserve">Chemoreceptor integration provides the gain control of the respiratory pattern generator. Peripheral chemoreceptors (carotid bodies) provide the primary hypoxic drive and the fast CO₂ response component; central chemoreceptors (RTN, retrotrapezoid nucleus) provide the sustained CO₂/pH drive that sets resting ventilation [25]. The CO₂/H⁺ sensitivity of the RTN is modulated by serotonin (from raphe nuclei → RTN) and norepinephrine (from the LC → RTN), providing the neurochemical basis for the reduced ventilatory drive in REM sleep (when raphe and LC neurons are nearly silent) and the associated vulnerability to apnea. This is a Tier B mechanism: the cell-level receptor physiology is well established; the integrated behavioral consequence as a unified OSA pathogenesis program is Tier B/C.</w:t>
      </w:r>
    </w:p>
    <w:p>
      <w:pPr>
        <w:spacing w:after="160"/>
      </w:pPr>
      <w:r>
        <w:t xml:space="preserve">Cortical and limbic inputs to the brainstem respiratory centers provide the voluntary and emotional modulation of breathing, including the ability to voluntarily override the automatic pattern (speaking, singing, breath-holding) and the emotional acceleration of breathing (anxiety, panic). The perception of dyspnea is generated by a mismatch between central motor command and afferent respiratory feedback, processed in the anterior insula and anterior cingulate cortex. In chronic obstructive and interstitial lung disease, progressive reduction in gas exchange and mechanical disadvantage (hyperinflation in COPD, reduced compliance in IPF) increase the efferent drive required to maintain normocapnia, generating chronic dyspnea that itself impairs quality of life and exercise capacity — a coupling between pulmonary mechanics and limbic-cortical distress processing. This integrated behavioral respiratory control loop is Tier B/C: individual components are well characterized; the coordinated program from brainstem to limbic distress is a proposed synthesis.</w:t>
      </w:r>
    </w:p>
    <w:p>
      <w:pPr>
        <w:spacing w:after="80"/>
      </w:pPr>
      <w:r>
        <w:t xml:space="preserve"/>
      </w:r>
    </w:p>
    <w:p>
      <w:pPr>
        <w:pStyle w:val="Heading1"/>
      </w:pPr>
      <w:r>
        <w:rPr>
          <w:b/>
          <w:bCs/>
        </w:rPr>
        <w:t xml:space="preserve">§4 — Multi-System Failure Cascades</w:t>
      </w:r>
    </w:p>
    <w:p>
      <w:pPr>
        <w:spacing w:after="160"/>
      </w:pPr>
      <w:r>
        <w:t xml:space="preserve">The following failure patterns emerge from the respiratory coupling architecture. Each is an integrative synthesis: the component mechanisms are supported at the tier indicated, but the cascades as unified clinical patterns represent proposed connections between individually supported mechanisms rather than directly measured unified sequences. Tier designations follow the evidence tiers defined in §1.</w:t>
      </w:r>
    </w:p>
    <w:p>
      <w:pPr>
        <w:spacing w:after="80"/>
      </w:pPr>
      <w:r>
        <w:t xml:space="preserve"/>
      </w:r>
    </w:p>
    <w:p>
      <w:pPr>
        <w:pStyle w:val="Heading2"/>
      </w:pPr>
      <w:r>
        <w:rPr>
          <w:b/>
          <w:bCs/>
        </w:rPr>
        <w:t xml:space="preserve">§4.1 — Obstructive Airway Disease: Asthma and COPD as Gating Failures</w:t>
      </w:r>
    </w:p>
    <w:p>
      <w:pPr>
        <w:spacing w:after="160"/>
      </w:pPr>
      <w:r>
        <w:t xml:space="preserve">Asthma and COPD are Tier A failure cascades: the mechanistic links are established consensus and the gating failure model is directly supported by spirometric, biopsy, and clinical trial evidence. Asthma and COPD share a common functional deficit — expiratory airflow obstruction — but differ in mechanism, reversibility, and inflammatory signature, representing distinct gating failure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000"/>
        <w:gridCol w:w="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Feature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Asthma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COPD</w:t>
            </w:r>
          </w:p>
        </w:tc>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Primary mechanism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Bronchial smooth muscle contraction (reversible) + airway wall inflammation + AHR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Emphysema (alveolar wall destruction) + small airway fibrosis + mucus hypersecretion</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Inflammatory signature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Type 2 (eosinophil/Th2/ILC2/IL-4/IL-5/IL-13) in atopic; type 3 (neutrophil/IL-17A) in non-atopic severe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Neutrophil/CD8+ T cell/macrophage dominant; protease-antiprotease imbalance</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Gating mechanism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M3 muscarinic + IgE-mast cell → bronchospasm; AHR lowers threshold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Small airway fibrosis → fixed obstruction; dynamic hyperinflation traps air</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Reversibility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Bronchodilator response &gt;12% FEV₁; near-complete reversal with treatment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Minimal bronchodilator response; emphysema irreversible</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Primary driver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Allergen/irritant sensitization; atopic predisposition; viral triggers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Cigarette smoke (90%) [12]; air pollution; α1-antitrypsin deficiency (rare)</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Validated treatment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ICS + LABA [4]; dupilumab for severe type 2 [6]; mepolizumab for eosinophilic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LAMA + LABA; smoking cessation; pulmonary rehabilitation; dupilumab (IL-4Rα blockade) for eosinophilic phenotype (blood eos ≥300 cells/μL), FDA approved September 2024 (BOREAS/NOTUS trials) [15]; mepolizumab (anti-IL-5) for eosinophilic COPD, approved 2025 [18]</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bl>
    <w:p>
      <w:pPr>
        <w:spacing w:after="80"/>
      </w:pPr>
      <w:r>
        <w:t xml:space="preserve"/>
      </w:r>
    </w:p>
    <w:p>
      <w:pPr>
        <w:spacing w:after="160"/>
      </w:pPr>
      <w:r>
        <w:t xml:space="preserve">The T2/T3 distinction in asthma has direct therapeutic implications: type 2 (eosinophilic/atopic) asthma responds to biologics targeting IL-4Rα (dupilumab), IL-5 (mepolizumab, benralizumab [anti-IL-5Rα]), and IL-33/TSLP (tezepelumab [approved]; itepekimab [investigational, phase 3]); non-atopic T3-dominant severe asthma is less responsive to these agents and may respond to bronchial thermoplasty (reducing smooth muscle mass) or anti-IL-17A approaches. The distinction is not always clean: severe asthma often has mixed T2/T3 signatures [4].</w:t>
      </w:r>
    </w:p>
    <w:p>
      <w:pPr>
        <w:spacing w:after="80"/>
      </w:pPr>
      <w:r>
        <w:t xml:space="preserve"/>
      </w:r>
    </w:p>
    <w:p>
      <w:pPr>
        <w:pStyle w:val="Heading2"/>
      </w:pPr>
      <w:r>
        <w:rPr>
          <w:b/>
          <w:bCs/>
        </w:rPr>
        <w:t xml:space="preserve">§4.2 — The Unified Airway Hypothesis: CRS-Asthma Cascade</w:t>
      </w:r>
    </w:p>
    <w:p>
      <w:pPr>
        <w:spacing w:after="160"/>
      </w:pPr>
      <w:r>
        <w:t xml:space="preserve">The unified airway hypothesis is Tier B for the mechanistic causal links and Tier A for the biologic treatment evidence: the shared type 2 biology is mechanistically supported by bronchoscopy and biopsy studies [6], and validated by dupilumab resolving disease at both anatomical levels simultaneously. The unified airway hypothesis proposes that CRS and asthma, when they co-occur, reflect a single mucosal inflammatory disease distributed along the airway column rather than two coincident but pathologically independent conditions [1]. The cascade runs in both directions: upper-to-lower (CRS → asthma exacerbations) and lower-to-upper (asthma inflammation priming nasal hyperresponsiveness), with the type 2 cytokine milieu as the shared driver.</w:t>
      </w:r>
    </w:p>
    <w:p>
      <w:pPr>
        <w:spacing w:after="160"/>
      </w:pPr>
      <w:r>
        <w:t xml:space="preserve">CRS with nasal polyps (CRSwNP) is defined by eosinophilic type 2 inflammation and polyp formation in the sinus mucosa; approximately 50% of CRSwNP patients have concurrent asthma, compared with approximately 5–10% of the general population [24]. The mechanism: persistent sinonasal IL-5 and IL-13 production → eosinophil recruitment to both nasal and bronchial submucosa → shared eosinophilic airway disease. Surgical treatment of CRS (functional endoscopic sinus surgery, FESS) improves asthma control in a substantial fraction of patients, providing interventional evidence for the causal upper-to-lower coupling (Tier B, controlled observational data; no RCT with lung function primary endpoint) [29].</w:t>
      </w:r>
    </w:p>
    <w:p>
      <w:pPr>
        <w:spacing w:after="160"/>
      </w:pPr>
      <w:r>
        <w:t xml:space="preserve">Dupilumab (anti-IL-4Rα) simultaneously reduces nasal polyp burden and asthma exacerbation frequency in patients with both conditions, providing the most direct available clinical validation of the shared type 2 pathway: a single cytokine axis blocker resolves disease at both anatomical levels [6]. The magnitude of upper-to-lower benefit is variable and the directionality of causation at the individual patient level is not always clear — this is Tier B for the individual mechanistic links and Tier A for the biologic treatment evidence, while the specific causal chain of upper-airway-inflammation-driving-lower-airway-disease remains an integrative model rather than a directly measured sequence.</w:t>
      </w:r>
    </w:p>
    <w:p>
      <w:pPr>
        <w:spacing w:after="80"/>
      </w:pPr>
      <w:r>
        <w:t xml:space="preserve"/>
      </w:r>
    </w:p>
    <w:p>
      <w:pPr>
        <w:pStyle w:val="Heading2"/>
      </w:pPr>
      <w:r>
        <w:rPr>
          <w:b/>
          <w:bCs/>
        </w:rPr>
        <w:t xml:space="preserve">§4.3 — Sleep-Disordered Breathing and the Brainstem-Upper Airway Coupling Failure</w:t>
      </w:r>
    </w:p>
    <w:p>
      <w:pPr>
        <w:spacing w:after="160"/>
      </w:pPr>
      <w:r>
        <w:t xml:space="preserve">Obstructive sleep apnea (OSA) is the most prevalent sleep-disordered breathing disorder, affecting approximately 30% of adult men and 15% of adult women at an apnea-hypopnea index (AHI) ≥5 events/hour, with severe disease (AHI ≥30) present in approximately 10% of adults [5]. OSA is a gating-detection failure in the brainstem-upper airway coupling: the pharyngeal airway collapses repetitively during sleep because upper airway dilator muscle activation (primarily genioglossus) is insufficient to maintain patency against the negative inspiratory pressure generated by the diaphragm.</w:t>
      </w:r>
    </w:p>
    <w:p>
      <w:pPr>
        <w:spacing w:after="160"/>
      </w:pPr>
      <w:r>
        <w:t xml:space="preserve">The four-factor pathophysiological model (Eckert 2013) identifies the determinants of OSA severity: (1) upper airway anatomy — the critical closing pressure (Pcrit) of the pharynx, determined by soft tissue volume (fat deposition, tongue size, tonsil hypertrophy, retrognathia); a more collapsible upper airway has a higher Pcrit; (2) upper airway dilator muscle responsiveness — the degree to which pharyngeal muscles activate in response to negative airway pressure during sleep; (3) arousal threshold — the PCO₂ or negative pressure level required to wake from sleep; a low arousal threshold produces frequent arousals that fragment sleep without clearing apneas; (4) loop gain — the ventilatory control instability index, where high loop gain (reflecting elevated chemoreceptor sensitivity, lung plant gain, and circulatory mixing delay) predisposes to periodic breathing and central apnea [3]. Each factor can be targeted therapeutically, informing the shift from CPAP-first to phenotype-based OSA management [3].</w:t>
      </w:r>
    </w:p>
    <w:p>
      <w:pPr>
        <w:spacing w:after="160"/>
      </w:pPr>
      <w:r>
        <w:t xml:space="preserve">Pharmacological treatment of OSA has advanced significantly since 2024: tirzepatide (Zepbound, GLP-1/GIP dual agonist) received FDA approval in December 2024 as the first medication specifically indicated for OSA, in adults with concurrent obesity (SURMOUNT-OSA trial; reduced AHI by approximately 25 events/hour; approximately 50% of patients achieving AHI remission (&lt;5 events/hour) at one year) [19]. This represents a shift toward targeting the anatomical and metabolic drivers of OSA — upper airway fat deposition and loop gain — rather than mechanically bypassing the gating failure with CPAP. The sleep-breathing axis (Tier C as a unified cascade): circadian clock disruption (shift work, jet lag, social jet lag (chronic discrepancy between biological and social clocks)) destabilizes ventilatory control loop gain by altering the circadian modulation of chemoreceptor sensitivity and upper airway muscle tone — SCN → clock gene outputs → serotonin/norepinephrine release pattern → RTN sensitivity → loop gain. Each individual link has mechanistic support, but they have not been demonstrated as a connected causal sequence; the cascade from circadian disruption to OSA severity modulation is a proposed synthesis, not a measured pathway, and is accordingly Tier C. The bidirectionality of OSA and sleep disruption — OSA causing sleep fragmentation which worsens metabolic and cardiovascular disease, while metabolic disease worsens upper airway anatomy and loop gain — creates a self-amplifying cycle that is well supported epidemiologically but whose causal structure is Tier B/C [3].</w:t>
      </w:r>
    </w:p>
    <w:p>
      <w:pPr>
        <w:spacing w:after="80"/>
      </w:pPr>
      <w:r>
        <w:t xml:space="preserve"/>
      </w:r>
    </w:p>
    <w:p>
      <w:pPr>
        <w:pStyle w:val="Heading2"/>
      </w:pPr>
      <w:r>
        <w:rPr>
          <w:b/>
          <w:bCs/>
        </w:rPr>
        <w:t xml:space="preserve">§4.4 — The Gut-Lung Axis</w:t>
      </w:r>
    </w:p>
    <w:p>
      <w:pPr>
        <w:spacing w:after="160"/>
      </w:pPr>
      <w:r>
        <w:t xml:space="preserve">The gut-lung axis (Tier B for individual mechanistic links; Tier C as a unified clinical cascade) describes the bidirectional relationship between intestinal microbiome composition and airway immune tone, mediated by systemic immune calibration and metabolite signaling. The hypothesis is supported by large prospective epidemiological data: a population-based cohort of 7,115 adults followed for up to 15 years found that gut microbiome composition at baseline predicted incident asthma and COPD independently of conventional risk factors [16]. Animal studies demonstrating that germ-free mice have hyperresponsive airways correctable by microbial colonization further confirm directional gut-to-lung causality, though human interventional chain evidence remains limited.</w:t>
      </w:r>
    </w:p>
    <w:p>
      <w:pPr>
        <w:spacing w:after="160"/>
      </w:pPr>
      <w:r>
        <w:t xml:space="preserve">The primary proposed mechanism runs through the same SCFA-Treg axis characterized in the gut-immune paper: gut microbiome fermentation of dietary fiber → butyrate + propionate → Treg induction in the intestinal lamina propria → systemic Treg expansion → reduced Th2 and ILC2 activation in airway mucosa → lower AHR and eosinophilic burden. This chain is a proposed synthesis: each link has independent support, but the links have not been demonstrated as a connected causal sequence from gut microbiome composition to human airway hyperresponsiveness in prospective interventional studies. Each link is individually supported at Tier B (SCFA-Treg: Arpaia et al. [17]; gut microbiome-airway Th2: neonatal mouse colonization studies; human correlate: neonatal microbiome diversity predicting asthma risk [21]). The cascade as a unified predictive model for human asthma remains Tier C: direct interventional evidence connecting microbiome manipulation to asthma outcomes in adults is limited.</w:t>
      </w:r>
    </w:p>
    <w:p>
      <w:pPr>
        <w:spacing w:after="160"/>
      </w:pPr>
      <w:r>
        <w:t xml:space="preserve">The reverse gut-lung axis also operates: airway inflammatory disease → swallowed secretions + systemic cytokines + antibiotic exposure → gut microbiome disruption → reduced butyrate production → further immune dysregulation. Children with severe asthma have measurably altered gut microbiome composition — reduced abundance of butyrate-producing genera (Faecalibacterium prausnitzii, Roseburia spp.) — compared with controls, consistent with bidirectional reinforcement [21]. Note that overall gut microbiome alpha-diversity (Shannon index) does not differ significantly between asthma patients and controls in recent meta-analyses; the distinguishing feature is compositional shift rather than gross diversity loss. Each individual link in this reverse chain has observational support, but demonstrating it as a causal bidirectional loop with clinical magnitude in humans requires interventional data that does not yet exist at the scale needed. The cascade therefore remains Tier C as a unified program.</w:t>
      </w:r>
    </w:p>
    <w:p>
      <w:pPr>
        <w:spacing w:after="80"/>
      </w:pPr>
      <w:r>
        <w:t xml:space="preserve"/>
      </w:r>
    </w:p>
    <w:p>
      <w:pPr>
        <w:pStyle w:val="Heading1"/>
      </w:pPr>
      <w:r>
        <w:rPr>
          <w:b/>
          <w:bCs/>
        </w:rPr>
        <w:t xml:space="preserve">§5 — The Integrated Respiratory System</w:t>
      </w:r>
    </w:p>
    <w:p>
      <w:pPr>
        <w:spacing w:after="160"/>
      </w:pPr>
      <w:r>
        <w:t xml:space="preserve">The upper airway and pulmonary systems form an integrated respiratory architecture with four shared coupling interfaces:</w:t>
      </w:r>
    </w:p>
    <w:p>
      <w:pPr>
        <w:pStyle w:val="ListParagraph"/>
        <w:numPr>
          <w:ilvl w:val="0"/>
          <w:numId w:val="2"/>
        </w:numPr>
        <w:spacing w:after="100"/>
      </w:pPr>
      <w:r>
        <w:rPr>
          <w:b/>
          <w:bCs/>
        </w:rPr>
        <w:t xml:space="preserve">Mucociliary escalator: </w:t>
      </w:r>
      <w:r>
        <w:t xml:space="preserve">continuous directional transport from sinonasal epithelium to trachea-bronchi clears pathogens and debris; sinonasal inflammation directly impairs bronchial CBF via inflammatory mediators; CRS-driven postnasal drip seeds lower airway colonization</w:t>
      </w:r>
    </w:p>
    <w:p>
      <w:pPr>
        <w:pStyle w:val="ListParagraph"/>
        <w:numPr>
          <w:ilvl w:val="0"/>
          <w:numId w:val="2"/>
        </w:numPr>
        <w:spacing w:after="100"/>
      </w:pPr>
      <w:r>
        <w:rPr>
          <w:b/>
          <w:bCs/>
        </w:rPr>
        <w:t xml:space="preserve">Bronchomotor and autonomic control: </w:t>
      </w:r>
      <w:r>
        <w:t xml:space="preserve">parasympathetic M3 (bronchoconstriction/secretion) and β2-AR (bronchodilation) regulate the entire airway column; nasal-bronchial reflex couples upper airway irritant detection to lower airway bronchomotor response; CPAP and mandibular advancement devices bypass upper airway gating failure</w:t>
      </w:r>
    </w:p>
    <w:p>
      <w:pPr>
        <w:pStyle w:val="ListParagraph"/>
        <w:numPr>
          <w:ilvl w:val="0"/>
          <w:numId w:val="2"/>
        </w:numPr>
        <w:spacing w:after="100"/>
      </w:pPr>
      <w:r>
        <w:rPr>
          <w:b/>
          <w:bCs/>
        </w:rPr>
        <w:t xml:space="preserve">Airway immune continuum: </w:t>
      </w:r>
      <w:r>
        <w:t xml:space="preserve">shared type 2 signature (IL-4/IL-5/IL-13/IgE/eosinophil) drives both CRS and asthma; type 2 biologics (dupilumab, mepolizumab) resolve both simultaneously; alveolar macrophage + surfactant opsonin layer provides deepest innate surveillance</w:t>
      </w:r>
    </w:p>
    <w:p>
      <w:pPr>
        <w:pStyle w:val="ListParagraph"/>
        <w:numPr>
          <w:ilvl w:val="0"/>
          <w:numId w:val="2"/>
        </w:numPr>
        <w:spacing w:after="100"/>
      </w:pPr>
      <w:r>
        <w:rPr>
          <w:b/>
          <w:bCs/>
        </w:rPr>
        <w:t xml:space="preserve">Brainstem respiratory control: </w:t>
      </w:r>
      <w:r>
        <w:t xml:space="preserve">pre-BötC drives upper airway dilators and diaphragm simultaneously; sleep-induced reduction of dilator tone relative to diaphragmatic drive creates OSA; chemoreceptor loop gain determines apnea susceptibility; RTN modulated by serotonin and NE from brainstem nuclei whose firing rate drops in sleep</w:t>
      </w:r>
    </w:p>
    <w:p>
      <w:pPr>
        <w:spacing w:after="80"/>
      </w:pPr>
      <w:r>
        <w:t xml:space="preserve"/>
      </w:r>
    </w:p>
    <w:p>
      <w:pPr>
        <w:spacing w:after="160"/>
      </w:pPr>
      <w:r>
        <w:t xml:space="preserve">When one node fails, the coupling architecture amplifies rather than corrects: upper airway obstruction (nasal congestion or pharyngeal collapse) increases lower airway work and amplifies CO₂ retention; lower airway obstruction (asthma, COPD) elevates chemoreceptor drive and disrupts sleep architecture; chronic type 2 airway inflammation sensitizes both nasal and bronchial mucosa simultaneously, lowering the threshold for exacerbation at both levels. Interventions that engage the coupling architecture — ICS reducing the shared type 2 mucosal signature, dupilumab resolving the shared IL-4/IL-13 pathway at both mucosal surfaces, CPAP stabilizing the brainstem-upper airway coupling during sleep, dietary fiber supporting gut-lung immune calibration — show benefit across multiple compartments consistent with the integrated architecture described in this paper.</w:t>
      </w:r>
    </w:p>
    <w:p>
      <w:pPr>
        <w:spacing w:after="80"/>
      </w:pPr>
      <w:r>
        <w:t xml:space="preserve"/>
      </w:r>
    </w:p>
    <w:p>
      <w:pPr>
        <w:pStyle w:val="Heading1"/>
      </w:pPr>
      <w:r>
        <w:rPr>
          <w:b/>
          <w:bCs/>
        </w:rPr>
        <w:t xml:space="preserve">§6 — Scope, Limitations, and Companion References</w:t>
      </w:r>
    </w:p>
    <w:p>
      <w:pPr>
        <w:spacing w:after="160"/>
      </w:pPr>
      <w:r>
        <w:t xml:space="preserve">This paper proposes a coupled regulatory framework for the upper airway and pulmonary systems organized around four shared coupling interfaces. Three limitations apply.</w:t>
      </w:r>
    </w:p>
    <w:p>
      <w:pPr>
        <w:spacing w:after="160"/>
      </w:pPr>
      <w:r>
        <w:t xml:space="preserve">First, evidence confidence varies substantially across the paper. The mucociliary escalator, bronchomotor control, and gas exchange architecture are Tier A — among the most thoroughly characterized mechanisms in respiratory physiology. The airway immune continuum and unified airway hypothesis are Tier A for the biologic treatment evidence and Tier B for the mechanistic causal chain. The brainstem respiratory control integration is Tier A for the pattern generator and peripheral chemoreceptor mechanics, and Tier B/C for the integrated behavioral-emotional respiratory program. The gut-lung axis and circadian-OSA coupling are Tier C. Readers should apply those tiers when evaluating clinical implications.</w:t>
      </w:r>
    </w:p>
    <w:p>
      <w:pPr>
        <w:spacing w:after="160"/>
      </w:pPr>
      <w:r>
        <w:t xml:space="preserve">Second, several important areas are outside the scope of this paper: the detailed mechanics of pulmonary hypertension and right heart failure (covered in CardiovascularRenal v1.3), the immune-integumentary coupling at the level of atopic march (covered in Immunological v0.8), and the detailed pharmacology of respiratory disease management beyond the biologics and classes mentioned as mechanism validators.</w:t>
      </w:r>
    </w:p>
    <w:p>
      <w:pPr>
        <w:spacing w:after="160"/>
      </w:pPr>
      <w:r>
        <w:t xml:space="preserve">Third, the failure cascades in §4 are integrative syntheses. Each component mechanism is supported at the tier indicated; the cascades as unified clinical patterns are proposed rather than directly measured. They are intended to identify the shared mechanistic architecture underlying respiratory disease, not to substitute for clinical guidelines on its management.</w:t>
      </w:r>
    </w:p>
    <w:p>
      <w:pPr>
        <w:spacing w:after="80"/>
      </w:pPr>
      <w:r>
        <w:t xml:space="preserve"/>
      </w:r>
    </w:p>
    <w:p>
      <w:pPr>
        <w:spacing w:before="160" w:after="80"/>
      </w:pPr>
      <w:r>
        <w:rPr>
          <w:b/>
          <w:bCs/>
        </w:rPr>
        <w:t xml:space="preserve">Integration target</w:t>
      </w:r>
    </w:p>
    <w:p>
      <w:pPr>
        <w:spacing w:after="160"/>
      </w:pPr>
      <w:r>
        <w:t xml:space="preserve">This paper is designed to merge into the Brain-Body Unified Reference as its respiratory architecture component once the full system map series is complete. At that point, §2 (system detection architectures) merges with the Organ System Maps into BrainBody §2; §3 (coupling network) merges into BrainBody §3; §4 (failure cascades) feeds into the disease paper series. The simulation appendix table migrates with the merge.</w:t>
      </w:r>
    </w:p>
    <w:p>
      <w:pPr>
        <w:spacing w:after="80"/>
      </w:pPr>
      <w:r>
        <w:t xml:space="preserve"/>
      </w:r>
    </w:p>
    <w:p>
      <w:pPr>
        <w:pStyle w:val="Heading1"/>
      </w:pPr>
      <w:r>
        <w:rPr>
          <w:b/>
          <w:bCs/>
        </w:rPr>
        <w:t xml:space="preserve">Appendix — Simulation Role Classification</w:t>
      </w:r>
    </w:p>
    <w:p>
      <w:pPr>
        <w:spacing w:after="160"/>
      </w:pPr>
      <w:r>
        <w:t xml:space="preserve">Each coupling mechanism is classified below according to its recommended role in a body-brain simulation. Core Rule: Tier A consensus; encode as baseline system behavior. Supported Modifier: Tier B; directly supported but may rest on inference — encode as conditional, can be toggled. Hypothesis Layer: Tier C — optional provisional module, not baseline.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
        <w:gridCol w:w="1500"/>
        <w:gridCol w:w="2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Mechanism</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System</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Simulation role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Mucociliary escalator (CBF + PCL + mucin)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Upper/Lower airway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Baseline airway clearance; impaired by inflammation, CF, PCD [14]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Surfactant (SP-A/B/C/D) → surface tension reduction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Pulmonary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Alveolar stability; baseline gas exchange prerequisite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Chemoreceptors (carotid body PO₂; RTN PCO₂/pH) → ventilatory drive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Brainstem/Pulmonary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Primary respiratory control feedback; set resting VE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Bronchomotor tone (M3 bronchoconstriction; β2-AR bronchodilation)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Airway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Airway caliber gate; baseline smooth muscle set point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Pre-BötC inspiratory rhythm → diaphragm + upper airway dilators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Brainstem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Automatic breathing pattern; simultaneous upper+lower airway drive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Hering-Breuer reflex (pulmonary SARs → inspiratory termination)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Pulmonary/Brainstem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Volume feedback loop; limits tidal volume overexpansion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Hypoxic pulmonary vasoconstriction (HPV)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Pulmonary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V/Q matching gate; local PO₂ → arteriolar constriction [11]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Unified airway type 2 inflammation (IL-4/IL-5/IL-13/IgE)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Airway 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Validated by dupilumab/mepolizumab resolving both CRS and asthma [6][7]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Upper airway dilator muscle hypotonia during sleep → OSA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Brainstem/Upper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EMG + polysomnography data; encode as sleep-state modifier of upper airway gate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Nasal-bronchial reflex (nasal irritation → bronchospasm)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Upper/Lower airway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Human challenge data; encode as upper-to-lower coupling signal [30]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Protease-antiprotease imbalance → emphysema (COPD)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Pulmonary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Neutrophil elastase + MMP-9 ÷ α1-AT; encode as irreversible accumulation [12]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RTN serotonin/NE modulation → sleep-state ventilatory gain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Brainstem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Raphe/LC silence in REM → reduced RTN drive; encode as sleep-state modifier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Circadian disruption → loop gain increase → OSA severity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Brainstem/Sleep</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Each step B; coordinated cascade C. Encode SCN output as modifier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Gut-lung axis: SCFA → Treg → reduced airway Th2/AHR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GI/Airway 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Large human cohort data [16]; SCFA-Treg mechanism [17]; unified interventional cascade incomplete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Brainstem-limbic dyspnea loop: motor command mismatch → insula/ACC distress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Brainstem/Cortical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Individual components B; integrated behavioral program B/C [2]</w:t>
            </w:r>
          </w:p>
        </w:tc>
      </w:tr>
    </w:tbl>
    <w:p>
      <w:pPr>
        <w:spacing w:before="80" w:after="200"/>
      </w:pPr>
      <w:r>
        <w:rPr>
          <w:i/>
          <w:iCs/>
        </w:rPr>
        <w:t xml:space="preserve">Appendix Table. Simulation role classification of respiratory coupling mechanisms.</w:t>
      </w:r>
    </w:p>
    <w:p>
      <w:pPr>
        <w:spacing w:after="80"/>
      </w:pPr>
      <w:r>
        <w:t xml:space="preserve"/>
      </w:r>
    </w:p>
    <w:p>
      <w:pPr>
        <w:pStyle w:val="Heading1"/>
      </w:pPr>
      <w:r>
        <w:rPr>
          <w:b/>
          <w:bCs/>
        </w:rPr>
        <w:t xml:space="preserve">References</w:t>
      </w:r>
    </w:p>
    <w:p>
      <w:pPr>
        <w:spacing w:after="160"/>
      </w:pPr>
      <w:r>
        <w:t xml:space="preserve">[1] Passalacqua G &amp; Canonica GW. Impact of rhinitis on quality of life and the unified airway: implications for management. Clin Exp Allergy 41 (2011) 1218–1228.</w:t>
      </w:r>
    </w:p>
    <w:p>
      <w:pPr>
        <w:spacing w:after="160"/>
      </w:pPr>
      <w:r>
        <w:t xml:space="preserve">[2] Feldman JL &amp; Del Negro CA. Looking for inspiration: new perspectives on respiratory rhythm. Nat Rev Neurosci 7 (2006) 232–242.</w:t>
      </w:r>
    </w:p>
    <w:p>
      <w:pPr>
        <w:spacing w:after="160"/>
      </w:pPr>
      <w:r>
        <w:t xml:space="preserve">[3] Eckert DJ et al. Defining phenotypic causes of obstructive sleep apnea: identification of novel therapeutic targets. Am J Respir Crit Care Med 188 (2013) 996–1004.</w:t>
      </w:r>
    </w:p>
    <w:p>
      <w:pPr>
        <w:spacing w:after="160"/>
      </w:pPr>
      <w:r>
        <w:t xml:space="preserve">[4] GINA. Global Initiative for Asthma: Global Strategy for Asthma Management and Prevention, 2023 Update.</w:t>
      </w:r>
    </w:p>
    <w:p>
      <w:pPr>
        <w:spacing w:after="160"/>
      </w:pPr>
      <w:r>
        <w:t xml:space="preserve">[5] Peppard PE et al. Increased prevalence of sleep-disordered breathing in adults. Am J Epidemiol 177 (2013) 1006–1014.</w:t>
      </w:r>
    </w:p>
    <w:p>
      <w:pPr>
        <w:spacing w:after="160"/>
      </w:pPr>
      <w:r>
        <w:t xml:space="preserve">[6] Bachert C et al. Dupilumab improves patient-reported outcomes in patients with chronic rhinosinusitis with nasal polyposis and comorbid asthma. J Allergy Clin Immunol 145 (2020) 549–559.</w:t>
      </w:r>
    </w:p>
    <w:p>
      <w:pPr>
        <w:spacing w:after="160"/>
      </w:pPr>
      <w:r>
        <w:t xml:space="preserve">[7] Pavord ID et al. Mepolizumab for severe eosinophilic asthma (DREAM): a multicentre, double-blind, placebo-controlled trial. Lancet 380 (2012) 651–659.</w:t>
      </w:r>
    </w:p>
    <w:p>
      <w:pPr>
        <w:spacing w:after="160"/>
      </w:pPr>
      <w:r>
        <w:t xml:space="preserve">[8] Eccles R. Nasal airway resistance and airway obstruction. J Physiol 583 (2007) 1–15.</w:t>
      </w:r>
    </w:p>
    <w:p>
      <w:pPr>
        <w:spacing w:after="160"/>
      </w:pPr>
      <w:r>
        <w:t xml:space="preserve">[9] Thach BT. Maturation and transformation of reflexes that protect the laryngeal airway from liquid aspiration from fetal to adult life. Am J Med 111 Suppl 8A (2001) 69S–77S.</w:t>
      </w:r>
    </w:p>
    <w:p>
      <w:pPr>
        <w:spacing w:after="160"/>
      </w:pPr>
      <w:r>
        <w:t xml:space="preserve">[10] Whitsett JA &amp; Weaver TE. Hydrophobic surfactant proteins in lung function and disease. N Engl J Med 347 (2002) 2141–2148.</w:t>
      </w:r>
    </w:p>
    <w:p>
      <w:pPr>
        <w:spacing w:after="160"/>
      </w:pPr>
      <w:r>
        <w:t xml:space="preserve">[11] Moudgil R et al. Hypoxic pulmonary vasoconstriction. J Appl Physiol 98 (2005) 390–403.</w:t>
      </w:r>
    </w:p>
    <w:p>
      <w:pPr>
        <w:spacing w:after="160"/>
      </w:pPr>
      <w:r>
        <w:t xml:space="preserve">[12] Rabe KF &amp; Watz H. Chronic obstructive pulmonary disease. Lancet 389 (2017) 1931–1940.</w:t>
      </w:r>
    </w:p>
    <w:p>
      <w:pPr>
        <w:spacing w:after="160"/>
      </w:pPr>
      <w:r>
        <w:t xml:space="preserve">[13] Richeldi L et al. Idiopathic pulmonary fibrosis. Lancet 389 (2017) 1941–1952.</w:t>
      </w:r>
    </w:p>
    <w:p>
      <w:pPr>
        <w:spacing w:after="160"/>
      </w:pPr>
      <w:r>
        <w:t xml:space="preserve">[14] Knowles MR &amp; Boucher RC. Mucus clearance as a primary innate defense mechanism for mammalian airways. J Clin Invest 109 (2002) 571–577.</w:t>
      </w:r>
    </w:p>
    <w:p>
      <w:pPr>
        <w:spacing w:after="160"/>
      </w:pPr>
      <w:r>
        <w:t xml:space="preserve">[15] Rabe KF et al. Dupilumab for COPD with type 2 inflammation (BOREAS). N Engl J Med 389 (2023) 205–214.</w:t>
      </w:r>
    </w:p>
    <w:p>
      <w:pPr>
        <w:spacing w:after="160"/>
      </w:pPr>
      <w:r>
        <w:t xml:space="preserve">[16] Liu Y et al. The gut microbiome is a significant risk factor for future chronic lung disease. J Allergy Clin Immunol 151 (2023) 943–952.</w:t>
      </w:r>
    </w:p>
    <w:p>
      <w:pPr>
        <w:spacing w:after="160"/>
      </w:pPr>
      <w:r>
        <w:t xml:space="preserve">[17] Arpaia N et al. Metabolites produced by commensal bacteria promote peripheral regulatory T-cell generation. Nature 504 (2013) 451–455.</w:t>
      </w:r>
    </w:p>
    <w:p>
      <w:pPr>
        <w:spacing w:after="160"/>
      </w:pPr>
      <w:r>
        <w:t xml:space="preserve">[18] Crim C et al. Mepolizumab for the treatment of COPD: a randomized controlled trial (MATINEE). Am J Respir Crit Care Med 210 (2024) 1225–1235.</w:t>
      </w:r>
    </w:p>
    <w:p>
      <w:pPr>
        <w:spacing w:after="160"/>
      </w:pPr>
      <w:r>
        <w:t xml:space="preserve">[19] Malhotra A et al. Tirzepatide for obstructive sleep apnea and obesity (SURMOUNT-OSA). N Engl J Med 391 (2024) 1193–1205.</w:t>
      </w:r>
    </w:p>
    <w:p>
      <w:pPr>
        <w:spacing w:after="160"/>
      </w:pPr>
      <w:r>
        <w:t xml:space="preserve">[20] Bousquet J et al. Allergic rhinitis and its impact on asthma (ARIA) 2019 update. J Allergy Clin Immunol Pract 7 (2019) 2028–2035.</w:t>
      </w:r>
    </w:p>
    <w:p>
      <w:pPr>
        <w:spacing w:after="160"/>
      </w:pPr>
      <w:r>
        <w:t xml:space="preserve">[21] Arrieta MC et al. Early infancy microbial and metabolic alterations affect risk of childhood asthma. Sci Transl Med 7 (2015) 307ra152.</w:t>
      </w:r>
    </w:p>
    <w:p>
      <w:pPr>
        <w:spacing w:after="160"/>
      </w:pPr>
      <w:r>
        <w:t xml:space="preserve">[22] Camacho M et al. Myofunctional therapy to decrease apnea-hypopnea index. Sleep 38 (2015) 669–675.</w:t>
      </w:r>
    </w:p>
    <w:p>
      <w:pPr>
        <w:spacing w:after="160"/>
      </w:pPr>
      <w:r>
        <w:t xml:space="preserve">[23] Barnes PJ. Overview of neural mechanisms in asthma. J Appl Physiol 91 (2001) 517–529.</w:t>
      </w:r>
    </w:p>
    <w:p>
      <w:pPr>
        <w:spacing w:after="160"/>
      </w:pPr>
      <w:r>
        <w:t xml:space="preserve">[24] Fokkens WJ et al. European position paper on rhinosinusitis and nasal polyps 2020 (EPOS2020). Rhinology 58 Suppl S29 (2020) 1–464.</w:t>
      </w:r>
    </w:p>
    <w:p>
      <w:pPr>
        <w:spacing w:after="160"/>
      </w:pPr>
      <w:r>
        <w:t xml:space="preserve">[25] Guyenet PG et al. The retrotrapezoid nucleus: central chemoreceptor and regulator of breathing automaticity. Trends Neurosci 42 (2019) 807–824.</w:t>
      </w:r>
    </w:p>
    <w:p>
      <w:pPr>
        <w:spacing w:after="160"/>
      </w:pPr>
      <w:r>
        <w:t xml:space="preserve">[26] Ochs M et al. The number of alveoli in the human lung. Am J Respir Crit Care Med 169 (2004) 120–124.</w:t>
      </w:r>
    </w:p>
    <w:p>
      <w:pPr>
        <w:spacing w:after="160"/>
      </w:pPr>
      <w:r>
        <w:t xml:space="preserve">[27] López-Barneo J et al. Carotid body oxygen sensing. Eur Respir J 50 (2017) 1600955.</w:t>
      </w:r>
    </w:p>
    <w:p>
      <w:pPr>
        <w:spacing w:after="160"/>
      </w:pPr>
      <w:r>
        <w:t xml:space="preserve">[28] Simonneau G et al. Updated clinical classification of pulmonary hypertension. J Am Coll Cardiol 62 Suppl 25 (2013) D34–D41.</w:t>
      </w:r>
    </w:p>
    <w:p>
      <w:pPr>
        <w:spacing w:after="160"/>
      </w:pPr>
      <w:r>
        <w:t xml:space="preserve">[29] Ragab S et al. Nasal surgery for unilateral and bilateral chronic rhinosinusitis. Cochrane Database Syst Rev (2004) CD003797.</w:t>
      </w:r>
    </w:p>
    <w:p>
      <w:pPr>
        <w:spacing w:after="160"/>
      </w:pPr>
      <w:r>
        <w:t xml:space="preserve">[30] Braunstahl GJ et al. Nasal allergen provocation induces adhesion molecule expression and tissue eosinophilia in upper and lower airways. J Allergy Clin Immunol 107 (2001) 469–476.</w:t>
      </w:r>
    </w:p>
    <w:p>
      <w:pPr>
        <w:spacing w:after="160"/>
      </w:pPr>
      <w:r>
        <w:t xml:space="preserve">[31] Kushida CA et al. A randomized trial of continuous positive airway pressure for apnea and diminished quality of life. Sleep 29 (2006) 999–1008.</w:t>
      </w:r>
    </w:p>
    <w:p>
      <w:pPr>
        <w:spacing w:after="160"/>
      </w:pPr>
      <w:r>
        <w:t xml:space="preserve">[32] Sica A &amp; Mantovani A. Macrophage plasticity and polarization: in vivo veritas. J Clin Invest 122 (2012) 787–795.</w:t>
      </w:r>
    </w:p>
    <w:p>
      <w:pPr>
        <w:spacing w:after="160"/>
      </w:pPr>
      <w:r>
        <w:t xml:space="preserve">[33] Ware LB &amp; Matthay MA. The acute respiratory distress syndrome. N Engl J Med 342 (2000) 1334–1349.</w:t>
      </w:r>
    </w:p>
    <w:p>
      <w:pPr>
        <w:spacing w:after="160"/>
      </w:pPr>
      <w:r>
        <w:t xml:space="preserve">[34] Lehmann M et al. Senolytic drugs target alveolar epithelial cell function and attenuate experimental lung fibrosis ex vivo. Eur Respir J 50 (2017) 1602367.</w:t>
      </w:r>
    </w:p>
    <w:p>
      <w:pPr>
        <w:spacing w:after="160"/>
      </w:pPr>
      <w:r>
        <w:t xml:space="preserve">[35] Liggins GC &amp; Howie RN. A controlled trial of antepartum glucocorticoid treatment for prevention of the respiratory distress syndrome in premature infants. Pediatrics 50 (1972) 515–525.</w:t>
      </w:r>
    </w:p>
    <w:p>
      <w:pPr>
        <w:spacing w:after="80"/>
      </w:pPr>
      <w:r>
        <w:t xml:space="preserve"/>
      </w:r>
    </w:p>
    <w:p>
      <w:pPr>
        <w:spacing w:after="160"/>
      </w:pPr>
      <w:r>
        <w:rPr>
          <w:i/>
          <w:iCs/>
        </w:rPr>
        <w:t xml:space="preserve">All papers in this series are unpublished drafts. Not yet peer reviewed. Internal reference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Finnegan · Respiratory System v1.2 · Unpublished draft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2026-03-16T00:47:39.532Z</dcterms:created>
  <dcterms:modified xsi:type="dcterms:W3CDTF">2026-03-16T00:47:39.533Z</dcterms:modified>
</cp:coreProperties>
</file>

<file path=docProps/custom.xml><?xml version="1.0" encoding="utf-8"?>
<Properties xmlns="http://schemas.openxmlformats.org/officeDocument/2006/custom-properties" xmlns:vt="http://schemas.openxmlformats.org/officeDocument/2006/docPropsVTypes"/>
</file>