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305475915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Dan Davydov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choose my heuristic function to be Manhattan distance between 2 boards,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Well denote A= {Ro1 , Ro2} as the original location of the 1st and 2nd red marbles in the original board, respectively.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Next we mark B = {Rd1, Rd2} as the destination location of the red Marbles.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Next, for each Marble m in our board, we calculate the Manhattan Distance s.t.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possible permutations between A and B are combined into pairs.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 possible outcome would be MannhatanDistance(Ro1-&gt;Rd1 + Ro2-&gt;Rd2).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then choose the minimum of those permutations.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1266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get 4: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247775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Since in a real board this also reflects the actual cost(in this setting) 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chose those heuristics.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Admissible 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Since h(n) is calculated per color , it ignores the locations of the other marbles.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for each color.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h(n) &gt; h*(n)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 is consistent.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(2) h(n) &lt;= cost(n,goal) + h(goal)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know that h(goal) is 0, and cost(n, goal) =h*(n)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we get h(n) &lt;= h*(n) which is a contradiction to (1).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Consistent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each marble in each color there are at most 4 available moves each turn: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Up, down, left and right. Each move cost the same.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Let h(n) denote the manhattan distance between n and goal state.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h(n,m) denotes the manhattan distance between n and 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Lets take h(n) to be the distance from the goal and lets take m to be one of n’s children.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Clearly h(n) = h(n,m) + h(m) by the definition of our function, and the case presented above.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 the other hand h(n,m) &lt; = cost(n,m) since our function takes all possible children of 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Therefore h(n) &lt;= cost(n,m) + h(m) , which shows that our heuristic is locally consistent, which  also proves its globally consistent.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