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4.wmf" ContentType="image/x-wmf"/>
  <Override PartName="/word/media/image2.png" ContentType="image/png"/>
  <Override PartName="/word/media/image3.wmf" ContentType="image/x-wmf"/>
  <Override PartName="/word/media/image5.wmf" ContentType="image/x-wmf"/>
  <Override PartName="/word/media/image10.wmf" ContentType="image/x-wmf"/>
  <Override PartName="/word/media/image6.wmf" ContentType="image/x-wmf"/>
  <Override PartName="/word/media/image11.wmf" ContentType="image/x-wmf"/>
  <Override PartName="/word/media/image7.wmf" ContentType="image/x-wmf"/>
  <Override PartName="/word/media/image12.wmf" ContentType="image/x-wmf"/>
  <Override PartName="/word/media/image8.wmf" ContentType="image/x-wmf"/>
  <Override PartName="/word/media/image9.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0.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0" w:right="850" w:gutter="0" w:header="0" w:top="2268" w:footer="0" w:bottom="10772"/>
          <w:pgNumType w:fmt="decimal"/>
          <w:formProt w:val="false"/>
          <w:textDirection w:val="lrTb"/>
          <w:docGrid w:type="default" w:linePitch="272"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GB"/>
                              </w:rPr>
                            </w:pPr>
                            <w:bookmarkStart w:id="0" w:name="page1"/>
                            <w:bookmarkEnd w:id="0"/>
                            <w:r>
                              <w:rPr>
                                <w:sz w:val="64"/>
                                <w:lang w:val="en-GB" w:eastAsia="en-GB"/>
                              </w:rPr>
                              <w:t xml:space="preserve">3GPP TR </w:t>
                            </w:r>
                            <w:r>
                              <w:rPr>
                                <w:sz w:val="64"/>
                                <w:lang w:val="en-GB" w:eastAsia="ja-JP"/>
                              </w:rPr>
                              <w:t>38</w:t>
                            </w:r>
                            <w:r>
                              <w:rPr>
                                <w:sz w:val="64"/>
                                <w:lang w:val="en-GB" w:eastAsia="en-GB"/>
                              </w:rPr>
                              <w:t>.</w:t>
                            </w:r>
                            <w:r>
                              <w:rPr>
                                <w:sz w:val="64"/>
                                <w:lang w:val="en-GB" w:eastAsia="ja-JP"/>
                              </w:rPr>
                              <w:t>806</w:t>
                            </w:r>
                            <w:r>
                              <w:rPr>
                                <w:sz w:val="64"/>
                                <w:lang w:val="en-GB" w:eastAsia="en-GB"/>
                              </w:rPr>
                              <w:t xml:space="preserve"> </w:t>
                            </w:r>
                            <w:r>
                              <w:rPr>
                                <w:lang w:val="en-GB" w:eastAsia="en-GB"/>
                              </w:rPr>
                              <w:t>V</w:t>
                            </w:r>
                            <w:r>
                              <w:rPr>
                                <w:lang w:val="en-GB" w:eastAsia="ja-JP"/>
                              </w:rPr>
                              <w:t>1</w:t>
                            </w:r>
                            <w:r>
                              <w:rPr>
                                <w:lang w:val="en-GB" w:eastAsia="ja-JP"/>
                              </w:rPr>
                              <w:t>5</w:t>
                            </w:r>
                            <w:r>
                              <w:rPr>
                                <w:lang w:val="en-GB" w:eastAsia="en-GB"/>
                              </w:rPr>
                              <w:t>.</w:t>
                            </w:r>
                            <w:r>
                              <w:rPr>
                                <w:lang w:val="en-GB" w:eastAsia="ja-JP"/>
                              </w:rPr>
                              <w:t>0</w:t>
                            </w:r>
                            <w:r>
                              <w:rPr>
                                <w:lang w:val="en-GB" w:eastAsia="en-GB"/>
                              </w:rPr>
                              <w:t>.</w:t>
                            </w:r>
                            <w:r>
                              <w:rPr>
                                <w:lang w:val="en-GB" w:eastAsia="ja-JP"/>
                              </w:rPr>
                              <w:t>0</w:t>
                            </w:r>
                            <w:r>
                              <w:rPr>
                                <w:lang w:val="en-GB" w:eastAsia="en-GB"/>
                              </w:rPr>
                              <w:t xml:space="preserve"> </w:t>
                            </w:r>
                            <w:r>
                              <w:rPr>
                                <w:sz w:val="32"/>
                                <w:lang w:val="en-GB" w:eastAsia="en-GB"/>
                              </w:rPr>
                              <w:t>(</w:t>
                            </w:r>
                            <w:r>
                              <w:rPr>
                                <w:sz w:val="32"/>
                                <w:lang w:val="en-GB" w:eastAsia="ja-JP"/>
                              </w:rPr>
                              <w:t>2017</w:t>
                            </w:r>
                            <w:r>
                              <w:rPr>
                                <w:sz w:val="32"/>
                                <w:lang w:val="en-GB" w:eastAsia="en-GB"/>
                              </w:rPr>
                              <w:t>-</w:t>
                            </w:r>
                            <w:r>
                              <w:rPr>
                                <w:sz w:val="32"/>
                                <w:lang w:val="en-GB" w:eastAsia="ja-JP"/>
                              </w:rPr>
                              <w:t>12</w:t>
                            </w:r>
                            <w:r>
                              <w:rPr>
                                <w:sz w:val="32"/>
                                <w:lang w:val="en-GB" w:eastAsia="en-GB"/>
                              </w:rPr>
                              <w:t>)</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lang w:val="en-GB" w:eastAsia="en-GB"/>
                        </w:rPr>
                      </w:pPr>
                      <w:bookmarkStart w:id="1" w:name="page1"/>
                      <w:bookmarkEnd w:id="1"/>
                      <w:r>
                        <w:rPr>
                          <w:sz w:val="64"/>
                          <w:lang w:val="en-GB" w:eastAsia="en-GB"/>
                        </w:rPr>
                        <w:t xml:space="preserve">3GPP TR </w:t>
                      </w:r>
                      <w:r>
                        <w:rPr>
                          <w:sz w:val="64"/>
                          <w:lang w:val="en-GB" w:eastAsia="ja-JP"/>
                        </w:rPr>
                        <w:t>38</w:t>
                      </w:r>
                      <w:r>
                        <w:rPr>
                          <w:sz w:val="64"/>
                          <w:lang w:val="en-GB" w:eastAsia="en-GB"/>
                        </w:rPr>
                        <w:t>.</w:t>
                      </w:r>
                      <w:r>
                        <w:rPr>
                          <w:sz w:val="64"/>
                          <w:lang w:val="en-GB" w:eastAsia="ja-JP"/>
                        </w:rPr>
                        <w:t>806</w:t>
                      </w:r>
                      <w:r>
                        <w:rPr>
                          <w:sz w:val="64"/>
                          <w:lang w:val="en-GB" w:eastAsia="en-GB"/>
                        </w:rPr>
                        <w:t xml:space="preserve"> </w:t>
                      </w:r>
                      <w:r>
                        <w:rPr>
                          <w:lang w:val="en-GB" w:eastAsia="en-GB"/>
                        </w:rPr>
                        <w:t>V</w:t>
                      </w:r>
                      <w:r>
                        <w:rPr>
                          <w:lang w:val="en-GB" w:eastAsia="ja-JP"/>
                        </w:rPr>
                        <w:t>1</w:t>
                      </w:r>
                      <w:r>
                        <w:rPr>
                          <w:lang w:val="en-GB" w:eastAsia="ja-JP"/>
                        </w:rPr>
                        <w:t>5</w:t>
                      </w:r>
                      <w:r>
                        <w:rPr>
                          <w:lang w:val="en-GB" w:eastAsia="en-GB"/>
                        </w:rPr>
                        <w:t>.</w:t>
                      </w:r>
                      <w:r>
                        <w:rPr>
                          <w:lang w:val="en-GB" w:eastAsia="ja-JP"/>
                        </w:rPr>
                        <w:t>0</w:t>
                      </w:r>
                      <w:r>
                        <w:rPr>
                          <w:lang w:val="en-GB" w:eastAsia="en-GB"/>
                        </w:rPr>
                        <w:t>.</w:t>
                      </w:r>
                      <w:r>
                        <w:rPr>
                          <w:lang w:val="en-GB" w:eastAsia="ja-JP"/>
                        </w:rPr>
                        <w:t>0</w:t>
                      </w:r>
                      <w:r>
                        <w:rPr>
                          <w:lang w:val="en-GB" w:eastAsia="en-GB"/>
                        </w:rPr>
                        <w:t xml:space="preserve"> </w:t>
                      </w:r>
                      <w:r>
                        <w:rPr>
                          <w:sz w:val="32"/>
                          <w:lang w:val="en-GB" w:eastAsia="en-GB"/>
                        </w:rPr>
                        <w:t>(</w:t>
                      </w:r>
                      <w:r>
                        <w:rPr>
                          <w:sz w:val="32"/>
                          <w:lang w:val="en-GB" w:eastAsia="ja-JP"/>
                        </w:rPr>
                        <w:t>2017</w:t>
                      </w:r>
                      <w:r>
                        <w:rPr>
                          <w:sz w:val="32"/>
                          <w:lang w:val="en-GB" w:eastAsia="en-GB"/>
                        </w:rPr>
                        <w:t>-</w:t>
                      </w:r>
                      <w:r>
                        <w:rPr>
                          <w:sz w:val="32"/>
                          <w:lang w:val="en-GB" w:eastAsia="ja-JP"/>
                        </w:rPr>
                        <w:t>12</w:t>
                      </w:r>
                      <w:r>
                        <w:rPr>
                          <w:sz w:val="32"/>
                          <w:lang w:val="en-GB" w:eastAsia="en-GB"/>
                        </w:rPr>
                        <w:t>)</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GB"/>
                              </w:rPr>
                            </w:pPr>
                            <w:r>
                              <w:rPr>
                                <w:lang w:val="en-GB" w:eastAsia="en-GB"/>
                              </w:rPr>
                              <w:t>Technical Report</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lang w:val="en-GB" w:eastAsia="en-GB"/>
                        </w:rPr>
                      </w:pPr>
                      <w:r>
                        <w:rPr>
                          <w:lang w:val="en-GB" w:eastAsia="en-GB"/>
                        </w:rPr>
                        <w:t>Technical Report</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80810" cy="1241425"/>
                <wp:effectExtent l="0" t="0" r="0" b="0"/>
                <wp:wrapTopAndBottom/>
                <wp:docPr id="3" name="Frame3"/>
                <a:graphic xmlns:a="http://schemas.openxmlformats.org/drawingml/2006/main">
                  <a:graphicData uri="http://schemas.microsoft.com/office/word/2010/wordprocessingShape">
                    <wps:wsp>
                      <wps:cNvSpPr txBox="1"/>
                      <wps:spPr>
                        <a:xfrm>
                          <a:off x="0" y="0"/>
                          <a:ext cx="648081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Radio Access Network;</w:t>
                            </w:r>
                          </w:p>
                          <w:p>
                            <w:pPr>
                              <w:pStyle w:val="ZT"/>
                              <w:rPr/>
                            </w:pPr>
                            <w:r>
                              <w:rPr/>
                              <w:t>Study of separation of NR Control Plane (CP) and User Plane</w:t>
                              <w:br/>
                              <w:t>(UP) for split option 2;</w:t>
                            </w:r>
                          </w:p>
                          <w:p>
                            <w:pPr>
                              <w:pStyle w:val="ZT"/>
                              <w:rPr>
                                <w:i/>
                                <w:i/>
                                <w:sz w:val="28"/>
                              </w:rPr>
                            </w:pPr>
                            <w:r>
                              <w:rPr/>
                              <w:t>(</w:t>
                            </w:r>
                            <w:r>
                              <w:rPr>
                                <w:rStyle w:val="ZGSM"/>
                              </w:rPr>
                              <w:t>Release 15</w:t>
                            </w:r>
                            <w:r>
                              <w:rPr/>
                              <w:t>)</w:t>
                            </w:r>
                          </w:p>
                        </w:txbxContent>
                      </wps:txbx>
                      <wps:bodyPr anchor="t" lIns="0" tIns="0" rIns="0" bIns="0">
                        <a:noAutofit/>
                      </wps:bodyPr>
                    </wps:wsp>
                  </a:graphicData>
                </a:graphic>
              </wp:anchor>
            </w:drawing>
          </mc:Choice>
          <mc:Fallback>
            <w:pict>
              <v:rect fillcolor="#FFFFFF" style="position:absolute;rotation:-0;width:510.3pt;height:97.75pt;mso-wrap-distance-left:0pt;mso-wrap-distance-right:0pt;mso-wrap-distance-top:0pt;mso-wrap-distance-bottom:0pt;margin-top:46.1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Radio Access Network;</w:t>
                      </w:r>
                    </w:p>
                    <w:p>
                      <w:pPr>
                        <w:pStyle w:val="ZT"/>
                        <w:rPr/>
                      </w:pPr>
                      <w:r>
                        <w:rPr/>
                        <w:t>Study of separation of NR Control Plane (CP) and User Plane</w:t>
                        <w:br/>
                        <w:t>(UP) for split option 2;</w:t>
                      </w:r>
                    </w:p>
                    <w:p>
                      <w:pPr>
                        <w:pStyle w:val="ZT"/>
                        <w:rPr>
                          <w:i/>
                          <w:i/>
                          <w:sz w:val="28"/>
                        </w:rPr>
                      </w:pPr>
                      <w:r>
                        <w:rPr/>
                        <w:t>(</w:t>
                      </w:r>
                      <w:r>
                        <w:rPr>
                          <w:rStyle w:val="ZGSM"/>
                        </w:rPr>
                        <w:t>Release 15</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pBdr>
                                <w:top w:val="nil"/>
                              </w:pBdr>
                              <w:tabs>
                                <w:tab w:val="clear" w:pos="284"/>
                                <w:tab w:val="right" w:pos="10206" w:leader="none"/>
                              </w:tabs>
                              <w:jc w:val="left"/>
                              <w:rPr>
                                <w:lang w:val="en-GB" w:eastAsia="ja-JP"/>
                              </w:rPr>
                            </w:pPr>
                            <w:r>
                              <w:rPr>
                                <w:rFonts w:eastAsia="Arial"/>
                                <w:i/>
                                <w:lang w:val="en-GB" w:eastAsia="en-GB"/>
                              </w:rPr>
                              <w:t xml:space="preserve"> </w:t>
                            </w:r>
                            <w:r>
                              <w:rPr>
                                <w:i/>
                                <w:lang w:val="en-GB" w:eastAsia="en-GB"/>
                              </w:rPr>
                              <w:drawing>
                                <wp:inline distT="0" distB="0" distL="0" distR="0">
                                  <wp:extent cx="1208405" cy="838835"/>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rcRect l="-22" t="-31" r="-22" b="-31"/>
                                          <a:stretch>
                                            <a:fillRect/>
                                          </a:stretch>
                                        </pic:blipFill>
                                        <pic:spPr bwMode="auto">
                                          <a:xfrm>
                                            <a:off x="0" y="0"/>
                                            <a:ext cx="1208405" cy="838835"/>
                                          </a:xfrm>
                                          <a:prstGeom prst="rect">
                                            <a:avLst/>
                                          </a:prstGeom>
                                        </pic:spPr>
                                      </pic:pic>
                                    </a:graphicData>
                                  </a:graphic>
                                </wp:inline>
                              </w:drawing>
                            </w:r>
                            <w:r>
                              <w:rPr>
                                <w:lang w:val="en-GB" w:eastAsia="en-GB"/>
                              </w:rPr>
                              <w:tab/>
                            </w:r>
                            <w:r>
                              <w:rPr>
                                <w:lang w:val="en-GB" w:eastAsia="en-GB"/>
                              </w:rPr>
                              <w:drawing>
                                <wp:inline distT="0" distB="0" distL="0" distR="0">
                                  <wp:extent cx="1624965" cy="94996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3"/>
                                          <a:srcRect l="-13" t="-23" r="-13" b="-23"/>
                                          <a:stretch>
                                            <a:fillRect/>
                                          </a:stretch>
                                        </pic:blipFill>
                                        <pic:spPr bwMode="auto">
                                          <a:xfrm>
                                            <a:off x="0" y="0"/>
                                            <a:ext cx="1624965" cy="949960"/>
                                          </a:xfrm>
                                          <a:prstGeom prst="rect">
                                            <a:avLst/>
                                          </a:prstGeom>
                                        </pic:spPr>
                                      </pic:pic>
                                    </a:graphicData>
                                  </a:graphic>
                                </wp:inline>
                              </w:drawing>
                            </w:r>
                          </w:p>
                        </w:txbxContent>
                      </wps:txbx>
                      <wps:bodyPr anchor="t" lIns="0" tIns="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in,0in,0in">
                  <w:txbxContent>
                    <w:p>
                      <w:pPr>
                        <w:pStyle w:val="ZU"/>
                        <w:pBdr>
                          <w:top w:val="nil"/>
                        </w:pBdr>
                        <w:tabs>
                          <w:tab w:val="clear" w:pos="284"/>
                          <w:tab w:val="right" w:pos="10206" w:leader="none"/>
                        </w:tabs>
                        <w:jc w:val="left"/>
                        <w:rPr>
                          <w:lang w:val="en-GB" w:eastAsia="ja-JP"/>
                        </w:rPr>
                      </w:pPr>
                      <w:r>
                        <w:rPr>
                          <w:rFonts w:eastAsia="Arial"/>
                          <w:i/>
                          <w:lang w:val="en-GB" w:eastAsia="en-GB"/>
                        </w:rPr>
                        <w:t xml:space="preserve"> </w:t>
                      </w:r>
                      <w:r>
                        <w:rPr>
                          <w:i/>
                          <w:lang w:val="en-GB" w:eastAsia="en-GB"/>
                        </w:rPr>
                        <w:drawing>
                          <wp:inline distT="0" distB="0" distL="0" distR="0">
                            <wp:extent cx="1208405" cy="83883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rcRect l="-22" t="-31" r="-22" b="-31"/>
                                    <a:stretch>
                                      <a:fillRect/>
                                    </a:stretch>
                                  </pic:blipFill>
                                  <pic:spPr bwMode="auto">
                                    <a:xfrm>
                                      <a:off x="0" y="0"/>
                                      <a:ext cx="1208405" cy="838835"/>
                                    </a:xfrm>
                                    <a:prstGeom prst="rect">
                                      <a:avLst/>
                                    </a:prstGeom>
                                  </pic:spPr>
                                </pic:pic>
                              </a:graphicData>
                            </a:graphic>
                          </wp:inline>
                        </w:drawing>
                      </w:r>
                      <w:r>
                        <w:rPr>
                          <w:lang w:val="en-GB" w:eastAsia="en-GB"/>
                        </w:rPr>
                        <w:tab/>
                      </w:r>
                      <w:r>
                        <w:rPr>
                          <w:lang w:val="en-GB" w:eastAsia="en-GB"/>
                        </w:rPr>
                        <w:drawing>
                          <wp:inline distT="0" distB="0" distL="0" distR="0">
                            <wp:extent cx="1624965" cy="94996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5"/>
                                    <a:srcRect l="-13" t="-23" r="-13" b="-23"/>
                                    <a:stretch>
                                      <a:fillRect/>
                                    </a:stretch>
                                  </pic:blipFill>
                                  <pic:spPr bwMode="auto">
                                    <a:xfrm>
                                      <a:off x="0" y="0"/>
                                      <a:ext cx="1624965" cy="949960"/>
                                    </a:xfrm>
                                    <a:prstGeom prst="rect">
                                      <a:avLst/>
                                    </a:prstGeom>
                                  </pic:spPr>
                                </pic:pic>
                              </a:graphicData>
                            </a:graphic>
                          </wp:inline>
                        </w:drawing>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53810" cy="1038860"/>
                <wp:effectExtent l="0" t="0" r="0" b="0"/>
                <wp:wrapTopAndBottom/>
                <wp:docPr id="9" name="Frame5"/>
                <a:graphic xmlns:a="http://schemas.openxmlformats.org/drawingml/2006/main">
                  <a:graphicData uri="http://schemas.microsoft.com/office/word/2010/wordprocessingShape">
                    <wps:wsp>
                      <wps:cNvSpPr txBox="1"/>
                      <wps:spPr>
                        <a:xfrm>
                          <a:off x="0" y="0"/>
                          <a:ext cx="6353810" cy="1038860"/>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0.3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Report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GB"/>
                              </w:rPr>
                            </w:pPr>
                            <w:r>
                              <w:rPr>
                                <w:lang w:val="en-GB" w:eastAsia="en-GB"/>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lang w:val="en-GB" w:eastAsia="en-GB"/>
                        </w:rPr>
                      </w:pPr>
                      <w:r>
                        <w:rPr>
                          <w:lang w:val="en-GB" w:eastAsia="en-GB"/>
                        </w:rPr>
                      </w:r>
                    </w:p>
                  </w:txbxContent>
                </v:textbox>
                <w10:wrap type="topAndBottom"/>
              </v:rect>
            </w:pict>
          </mc:Fallback>
        </mc:AlternateContent>
      </w:r>
    </w:p>
    <w:p>
      <w:pPr>
        <w:pStyle w:val="Normal"/>
        <w:rPr/>
      </w:pPr>
      <w:r>
        <w:rPr/>
      </w:r>
      <w:bookmarkStart w:id="2" w:name="page2"/>
      <w:bookmarkStart w:id="3" w:name="page2"/>
      <w:bookmarkEnd w:id="3"/>
    </w:p>
    <w:p>
      <w:pPr>
        <w:pStyle w:val="Normal"/>
        <w:rPr>
          <w:lang w:eastAsia="ja-JP"/>
        </w:rPr>
      </w:pPr>
      <w:r>
        <w:rPr>
          <w:lang w:eastAsia="ja-JP"/>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11"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NR-RAN, Radio</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r>
                        <w:rPr/>
                        <w:t>Keywords</w:t>
                      </w:r>
                    </w:p>
                    <w:p>
                      <w:pPr>
                        <w:pStyle w:val="FP"/>
                        <w:ind w:left="2835" w:right="2835" w:hanging="0"/>
                        <w:jc w:val="center"/>
                        <w:rPr>
                          <w:rFonts w:ascii="Arial" w:hAnsi="Arial" w:cs="Arial"/>
                          <w:sz w:val="18"/>
                        </w:rPr>
                      </w:pPr>
                      <w:r>
                        <w:rPr>
                          <w:rFonts w:cs="Arial" w:ascii="Arial" w:hAnsi="Arial"/>
                          <w:sz w:val="18"/>
                        </w:rPr>
                        <w:t>NR-RAN, Radio</w:t>
                      </w:r>
                    </w:p>
                  </w:txbxContent>
                </v:textbox>
                <w10:wrap type="topAndBottom"/>
              </v:rect>
            </w:pict>
          </mc:Fallback>
        </mc:AlternateContent>
      </w:r>
    </w:p>
    <w:p>
      <w:pPr>
        <w:pStyle w:val="Normal"/>
        <w:rPr>
          <w:lang w:eastAsia="ja-JP"/>
        </w:rPr>
      </w:pPr>
      <w:r>
        <w:rPr>
          <w:lang w:eastAsia="ja-JP"/>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2"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pPr>
                      <w:r>
                        <w:rPr/>
                        <w:t>3GPP support office address</w:t>
                      </w:r>
                    </w:p>
                    <w:p>
                      <w:pPr>
                        <w:pStyle w:val="FP"/>
                        <w:ind w:left="2835" w:right="2835" w:hanging="0"/>
                        <w:jc w:val="center"/>
                        <w:rPr>
                          <w:rFonts w:ascii="Arial" w:hAnsi="Arial" w:cs="Arial"/>
                          <w:sz w:val="18"/>
                        </w:rPr>
                      </w:pPr>
                      <w:r>
                        <w:rPr>
                          <w:rFonts w:cs="Arial" w:ascii="Arial" w:hAnsi="Arial"/>
                          <w:sz w:val="18"/>
                        </w:rPr>
                        <w:t>650 Route des Lucioles - Sophia Antipolis</w:t>
                      </w:r>
                    </w:p>
                    <w:p>
                      <w:pPr>
                        <w:pStyle w:val="FP"/>
                        <w:ind w:left="2835" w:right="2835" w:hanging="0"/>
                        <w:jc w:val="center"/>
                        <w:rPr>
                          <w:rFonts w:ascii="Arial" w:hAnsi="Arial" w:cs="Arial"/>
                          <w:sz w:val="18"/>
                        </w:rPr>
                      </w:pPr>
                      <w:r>
                        <w:rPr>
                          <w:rFonts w:cs="Arial" w:ascii="Arial" w:hAnsi="Arial"/>
                          <w:sz w:val="18"/>
                        </w:rPr>
                        <w:t>Valbonne - FRANCE</w:t>
                      </w:r>
                    </w:p>
                    <w:p>
                      <w:pPr>
                        <w:pStyle w:val="FP"/>
                        <w:spacing w:before="0" w:after="20"/>
                        <w:ind w:left="2835" w:right="2835" w:hanging="0"/>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hanging="0"/>
                        <w:jc w:val="center"/>
                        <w:rPr/>
                      </w:pPr>
                      <w:r>
                        <w:rPr/>
                        <w:t>Internet</w:t>
                      </w:r>
                    </w:p>
                    <w:p>
                      <w:pPr>
                        <w:pStyle w:val="FP"/>
                        <w:ind w:left="2835" w:right="2835" w:hanging="0"/>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3"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2017, 3GPP Organizational Partners (ARIB, ATIS, CCSA, ETSI, TSDSI, TTA, TTC).</w:t>
                            </w:r>
                            <w:bookmarkStart w:id="4" w:name="copyrightaddon"/>
                            <w:bookmarkEnd w:id="4"/>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2017, 3GPP Organizational Partners (ARIB, ATIS, CCSA, ETSI, TSDSI, TTA, TTC).</w:t>
                      </w:r>
                      <w:bookmarkStart w:id="5" w:name="copyrightaddon"/>
                      <w:bookmarkEnd w:id="5"/>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bookmarkStart w:id="6" w:name="page2"/>
      <w:bookmarkEnd w:id="6"/>
      <w:r>
        <w:rPr/>
        <w:t>Contents</w:t>
      </w:r>
    </w:p>
    <w:sdt>
      <w:sdtPr>
        <w:docPartObj>
          <w:docPartGallery w:val="Table of Contents"/>
          <w:docPartUnique w:val="true"/>
        </w:docPartObj>
      </w:sdtPr>
      <w:sdtContent>
        <w:p>
          <w:pPr>
            <w:pStyle w:val="Contents1"/>
            <w:keepNext w:val="true"/>
            <w:keepLines/>
            <w:widowControl w:val="false"/>
            <w:overflowPunct w:val="false"/>
            <w:autoSpaceDE w:val="false"/>
            <w:bidi w:val="0"/>
            <w:spacing w:before="120" w:after="0"/>
            <w:ind w:left="567" w:right="425" w:hanging="567"/>
            <w:textAlignment w:val="baseline"/>
            <w:rPr>
              <w:rFonts w:ascii="Calibri" w:hAnsi="Calibri" w:cs="Calibri"/>
              <w:szCs w:val="22"/>
            </w:rPr>
          </w:pPr>
          <w:r>
            <w:fldChar w:fldCharType="begin"/>
          </w:r>
          <w:r>
            <w:rPr>
              <w:sz w:val="22"/>
              <w:szCs w:val="20"/>
              <w:rFonts w:eastAsia="Times New Roman" w:cs="Times New Roman"/>
              <w:color w:val="auto"/>
              <w:lang w:val="en-GB" w:eastAsia="en-US" w:bidi="ar-SA"/>
            </w:rPr>
            <w:instrText xml:space="preserve"> TOC \o "1-9" </w:instrText>
          </w:r>
          <w:r>
            <w:rPr>
              <w:sz w:val="22"/>
              <w:szCs w:val="20"/>
              <w:rFonts w:eastAsia="Times New Roman" w:cs="Times New Roman"/>
              <w:color w:val="auto"/>
              <w:lang w:val="en-GB" w:eastAsia="en-US" w:bidi="ar-SA"/>
            </w:rPr>
            <w:fldChar w:fldCharType="separate"/>
          </w:r>
          <w:r>
            <w:rPr>
              <w:rFonts w:eastAsia="Times New Roman" w:cs="Times New Roman"/>
              <w:color w:val="auto"/>
              <w:sz w:val="22"/>
              <w:szCs w:val="20"/>
              <w:lang w:val="en-GB" w:eastAsia="en-US" w:bidi="ar-SA"/>
            </w:rPr>
            <w:t>Foreword</w:t>
            <w:tab/>
          </w:r>
          <w:hyperlink w:anchor="__RefHeading___Toc503999418">
            <w:r>
              <w:rPr>
                <w:rStyle w:val="IndexLink"/>
                <w:rFonts w:eastAsia="Times New Roman" w:cs="Times New Roman"/>
                <w:color w:val="auto"/>
                <w:sz w:val="22"/>
                <w:szCs w:val="20"/>
                <w:lang w:val="en-GB" w:eastAsia="en-US" w:bidi="ar-SA"/>
              </w:rPr>
              <w:t>4</w:t>
            </w:r>
          </w:hyperlink>
        </w:p>
        <w:p>
          <w:pPr>
            <w:pStyle w:val="Contents1"/>
            <w:rPr>
              <w:rFonts w:ascii="Calibri" w:hAnsi="Calibri" w:cs="Calibri"/>
              <w:szCs w:val="22"/>
            </w:rPr>
          </w:pPr>
          <w:r>
            <w:rPr/>
            <w:t>1</w:t>
          </w:r>
          <w:r>
            <w:rPr>
              <w:rFonts w:cs="Calibri" w:ascii="Calibri" w:hAnsi="Calibri"/>
              <w:szCs w:val="22"/>
            </w:rPr>
            <w:tab/>
          </w:r>
          <w:r>
            <w:rPr/>
            <w:t>Scope</w:t>
            <w:tab/>
          </w:r>
          <w:hyperlink w:anchor="__RefHeading___Toc503999419">
            <w:r>
              <w:rPr>
                <w:rStyle w:val="IndexLink"/>
              </w:rPr>
              <w:t>5</w:t>
            </w:r>
          </w:hyperlink>
        </w:p>
        <w:p>
          <w:pPr>
            <w:pStyle w:val="Contents1"/>
            <w:rPr>
              <w:rFonts w:ascii="Calibri" w:hAnsi="Calibri" w:cs="Calibri"/>
              <w:szCs w:val="22"/>
            </w:rPr>
          </w:pPr>
          <w:r>
            <w:rPr/>
            <w:t>2</w:t>
          </w:r>
          <w:r>
            <w:rPr>
              <w:rFonts w:cs="Calibri" w:ascii="Calibri" w:hAnsi="Calibri"/>
              <w:szCs w:val="22"/>
            </w:rPr>
            <w:tab/>
          </w:r>
          <w:r>
            <w:rPr/>
            <w:t>References</w:t>
            <w:tab/>
          </w:r>
          <w:hyperlink w:anchor="__RefHeading___Toc503999420">
            <w:r>
              <w:rPr>
                <w:rStyle w:val="IndexLink"/>
              </w:rPr>
              <w:t>5</w:t>
            </w:r>
          </w:hyperlink>
        </w:p>
        <w:p>
          <w:pPr>
            <w:pStyle w:val="Contents1"/>
            <w:rPr>
              <w:rFonts w:ascii="Calibri" w:hAnsi="Calibri" w:cs="Calibri"/>
              <w:szCs w:val="22"/>
            </w:rPr>
          </w:pPr>
          <w:r>
            <w:rPr/>
            <w:t>3</w:t>
          </w:r>
          <w:r>
            <w:rPr>
              <w:rFonts w:cs="Calibri" w:ascii="Calibri" w:hAnsi="Calibri"/>
              <w:szCs w:val="22"/>
            </w:rPr>
            <w:tab/>
          </w:r>
          <w:r>
            <w:rPr/>
            <w:t>Definitions</w:t>
            <w:tab/>
          </w:r>
          <w:hyperlink w:anchor="__RefHeading___Toc503999421">
            <w:r>
              <w:rPr>
                <w:rStyle w:val="IndexLink"/>
              </w:rPr>
              <w:t>5</w:t>
            </w:r>
          </w:hyperlink>
        </w:p>
        <w:p>
          <w:pPr>
            <w:pStyle w:val="Contents1"/>
            <w:rPr>
              <w:rFonts w:ascii="Calibri" w:hAnsi="Calibri" w:cs="Calibri"/>
              <w:szCs w:val="22"/>
            </w:rPr>
          </w:pPr>
          <w:r>
            <w:rPr/>
            <w:t>4</w:t>
          </w:r>
          <w:r>
            <w:rPr>
              <w:rFonts w:cs="Calibri" w:ascii="Calibri" w:hAnsi="Calibri"/>
              <w:szCs w:val="22"/>
            </w:rPr>
            <w:tab/>
          </w:r>
          <w:r>
            <w:rPr>
              <w:lang w:val="en-US" w:eastAsia="en-US"/>
            </w:rPr>
            <w:t>General</w:t>
          </w:r>
          <w:r>
            <w:rPr/>
            <w:tab/>
          </w:r>
          <w:hyperlink w:anchor="__RefHeading___Toc503999422">
            <w:r>
              <w:rPr>
                <w:rStyle w:val="IndexLink"/>
              </w:rPr>
              <w:t>5</w:t>
            </w:r>
          </w:hyperlink>
        </w:p>
        <w:p>
          <w:pPr>
            <w:pStyle w:val="Contents1"/>
            <w:rPr>
              <w:rFonts w:ascii="Calibri" w:hAnsi="Calibri" w:cs="Calibri"/>
              <w:szCs w:val="22"/>
            </w:rPr>
          </w:pPr>
          <w:r>
            <w:rPr/>
            <w:t>5</w:t>
          </w:r>
          <w:r>
            <w:rPr>
              <w:rFonts w:cs="Calibri" w:ascii="Calibri" w:hAnsi="Calibri"/>
              <w:szCs w:val="22"/>
            </w:rPr>
            <w:tab/>
          </w:r>
          <w:r>
            <w:rPr/>
            <w:t>Interface functions and procedures</w:t>
            <w:tab/>
          </w:r>
          <w:hyperlink w:anchor="__RefHeading___Toc503999423">
            <w:r>
              <w:rPr>
                <w:rStyle w:val="IndexLink"/>
              </w:rPr>
              <w:t>6</w:t>
            </w:r>
          </w:hyperlink>
        </w:p>
        <w:p>
          <w:pPr>
            <w:pStyle w:val="Contents2"/>
            <w:rPr>
              <w:rFonts w:ascii="Calibri" w:hAnsi="Calibri" w:cs="Calibri"/>
              <w:sz w:val="22"/>
              <w:szCs w:val="22"/>
            </w:rPr>
          </w:pPr>
          <w:r>
            <w:rPr/>
            <w:t>5.1</w:t>
          </w:r>
          <w:r>
            <w:rPr>
              <w:rFonts w:cs="Calibri" w:ascii="Calibri" w:hAnsi="Calibri"/>
              <w:sz w:val="22"/>
              <w:szCs w:val="22"/>
            </w:rPr>
            <w:tab/>
          </w:r>
          <w:r>
            <w:rPr/>
            <w:t>Introduction</w:t>
            <w:tab/>
          </w:r>
          <w:hyperlink w:anchor="__RefHeading___Toc503999424">
            <w:r>
              <w:rPr>
                <w:rStyle w:val="IndexLink"/>
              </w:rPr>
              <w:t>6</w:t>
            </w:r>
          </w:hyperlink>
        </w:p>
        <w:p>
          <w:pPr>
            <w:pStyle w:val="Contents2"/>
            <w:rPr>
              <w:rFonts w:ascii="Calibri" w:hAnsi="Calibri" w:cs="Calibri"/>
              <w:sz w:val="22"/>
              <w:szCs w:val="22"/>
            </w:rPr>
          </w:pPr>
          <w:r>
            <w:rPr/>
            <w:t>5.2</w:t>
          </w:r>
          <w:r>
            <w:rPr>
              <w:rFonts w:cs="Calibri" w:ascii="Calibri" w:hAnsi="Calibri"/>
              <w:sz w:val="22"/>
              <w:szCs w:val="22"/>
            </w:rPr>
            <w:tab/>
          </w:r>
          <w:r>
            <w:rPr/>
            <w:t>Interface Name</w:t>
            <w:tab/>
          </w:r>
          <w:hyperlink w:anchor="__RefHeading___Toc503999425">
            <w:r>
              <w:rPr>
                <w:rStyle w:val="IndexLink"/>
              </w:rPr>
              <w:t>6</w:t>
            </w:r>
          </w:hyperlink>
        </w:p>
        <w:p>
          <w:pPr>
            <w:pStyle w:val="Contents2"/>
            <w:rPr>
              <w:rFonts w:ascii="Calibri" w:hAnsi="Calibri" w:cs="Calibri"/>
              <w:sz w:val="22"/>
              <w:szCs w:val="22"/>
            </w:rPr>
          </w:pPr>
          <w:r>
            <w:rPr/>
            <w:t>5.3</w:t>
          </w:r>
          <w:r>
            <w:rPr>
              <w:rFonts w:cs="Calibri" w:ascii="Calibri" w:hAnsi="Calibri"/>
              <w:sz w:val="22"/>
              <w:szCs w:val="22"/>
            </w:rPr>
            <w:tab/>
          </w:r>
          <w:r>
            <w:rPr/>
            <w:t>Architecture</w:t>
            <w:tab/>
          </w:r>
          <w:hyperlink w:anchor="__RefHeading___Toc503999426">
            <w:r>
              <w:rPr>
                <w:rStyle w:val="IndexLink"/>
              </w:rPr>
              <w:t>6</w:t>
            </w:r>
          </w:hyperlink>
        </w:p>
        <w:p>
          <w:pPr>
            <w:pStyle w:val="Contents2"/>
            <w:rPr>
              <w:rFonts w:ascii="Calibri" w:hAnsi="Calibri" w:cs="Calibri"/>
              <w:sz w:val="22"/>
              <w:szCs w:val="22"/>
            </w:rPr>
          </w:pPr>
          <w:r>
            <w:rPr/>
            <w:t>5.4</w:t>
          </w:r>
          <w:r>
            <w:rPr>
              <w:rFonts w:cs="Calibri" w:ascii="Calibri" w:hAnsi="Calibri"/>
              <w:sz w:val="22"/>
              <w:szCs w:val="22"/>
            </w:rPr>
            <w:tab/>
          </w:r>
          <w:r>
            <w:rPr/>
            <w:t>E1 Interface General Principles</w:t>
            <w:tab/>
          </w:r>
          <w:hyperlink w:anchor="__RefHeading___Toc503999427">
            <w:r>
              <w:rPr>
                <w:rStyle w:val="IndexLink"/>
              </w:rPr>
              <w:t>7</w:t>
            </w:r>
          </w:hyperlink>
        </w:p>
        <w:p>
          <w:pPr>
            <w:pStyle w:val="Contents2"/>
            <w:rPr>
              <w:rFonts w:ascii="Calibri" w:hAnsi="Calibri" w:cs="Calibri"/>
              <w:sz w:val="22"/>
              <w:szCs w:val="22"/>
            </w:rPr>
          </w:pPr>
          <w:r>
            <w:rPr/>
            <w:t>5.5</w:t>
          </w:r>
          <w:r>
            <w:rPr>
              <w:rFonts w:cs="Calibri" w:ascii="Calibri" w:hAnsi="Calibri"/>
              <w:sz w:val="22"/>
              <w:szCs w:val="22"/>
            </w:rPr>
            <w:tab/>
          </w:r>
          <w:r>
            <w:rPr/>
            <w:t>E1 Interface Protocols and Protocol Structure</w:t>
            <w:tab/>
          </w:r>
          <w:hyperlink w:anchor="__RefHeading___Toc503999428">
            <w:r>
              <w:rPr>
                <w:rStyle w:val="IndexLink"/>
              </w:rPr>
              <w:t>7</w:t>
            </w:r>
          </w:hyperlink>
        </w:p>
        <w:p>
          <w:pPr>
            <w:pStyle w:val="Contents2"/>
            <w:rPr>
              <w:rFonts w:ascii="Calibri" w:hAnsi="Calibri" w:cs="Calibri"/>
              <w:sz w:val="22"/>
              <w:szCs w:val="22"/>
            </w:rPr>
          </w:pPr>
          <w:r>
            <w:rPr/>
            <w:t>5.6</w:t>
          </w:r>
          <w:r>
            <w:rPr>
              <w:rFonts w:cs="Calibri" w:ascii="Calibri" w:hAnsi="Calibri"/>
              <w:sz w:val="22"/>
              <w:szCs w:val="22"/>
            </w:rPr>
            <w:tab/>
          </w:r>
          <w:r>
            <w:rPr/>
            <w:t>E1 Interface Functions and Procedures</w:t>
            <w:tab/>
          </w:r>
          <w:hyperlink w:anchor="__RefHeading___Toc503999429">
            <w:r>
              <w:rPr>
                <w:rStyle w:val="IndexLink"/>
              </w:rPr>
              <w:t>8</w:t>
            </w:r>
          </w:hyperlink>
        </w:p>
        <w:p>
          <w:pPr>
            <w:pStyle w:val="Contents3"/>
            <w:rPr>
              <w:rFonts w:ascii="Calibri" w:hAnsi="Calibri" w:cs="Calibri"/>
              <w:sz w:val="22"/>
              <w:szCs w:val="22"/>
            </w:rPr>
          </w:pPr>
          <w:r>
            <w:rPr/>
            <w:t>5.6.1</w:t>
          </w:r>
          <w:r>
            <w:rPr>
              <w:rFonts w:cs="Calibri" w:ascii="Calibri" w:hAnsi="Calibri"/>
              <w:sz w:val="22"/>
              <w:szCs w:val="22"/>
            </w:rPr>
            <w:tab/>
          </w:r>
          <w:r>
            <w:rPr/>
            <w:t>Introduction</w:t>
            <w:tab/>
          </w:r>
          <w:hyperlink w:anchor="__RefHeading___Toc503999430">
            <w:r>
              <w:rPr>
                <w:rStyle w:val="IndexLink"/>
              </w:rPr>
              <w:t>8</w:t>
            </w:r>
          </w:hyperlink>
        </w:p>
        <w:p>
          <w:pPr>
            <w:pStyle w:val="Contents3"/>
            <w:rPr>
              <w:rFonts w:ascii="Calibri" w:hAnsi="Calibri" w:cs="Calibri"/>
              <w:sz w:val="22"/>
              <w:szCs w:val="22"/>
            </w:rPr>
          </w:pPr>
          <w:r>
            <w:rPr/>
            <w:t>5.6.2</w:t>
          </w:r>
          <w:r>
            <w:rPr>
              <w:rFonts w:cs="Calibri" w:ascii="Calibri" w:hAnsi="Calibri"/>
              <w:sz w:val="22"/>
              <w:szCs w:val="22"/>
            </w:rPr>
            <w:tab/>
          </w:r>
          <w:r>
            <w:rPr/>
            <w:t>Non-UE-associated E1 functions</w:t>
            <w:tab/>
          </w:r>
          <w:hyperlink w:anchor="__RefHeading___Toc503999431">
            <w:r>
              <w:rPr>
                <w:rStyle w:val="IndexLink"/>
              </w:rPr>
              <w:t>8</w:t>
            </w:r>
          </w:hyperlink>
        </w:p>
        <w:p>
          <w:pPr>
            <w:pStyle w:val="Contents4"/>
            <w:rPr>
              <w:rFonts w:ascii="Calibri" w:hAnsi="Calibri" w:cs="Calibri"/>
              <w:sz w:val="22"/>
              <w:szCs w:val="22"/>
            </w:rPr>
          </w:pPr>
          <w:r>
            <w:rPr/>
            <w:t>5.6.2.1</w:t>
          </w:r>
          <w:r>
            <w:rPr>
              <w:rFonts w:cs="Calibri" w:ascii="Calibri" w:hAnsi="Calibri"/>
              <w:sz w:val="22"/>
              <w:szCs w:val="22"/>
            </w:rPr>
            <w:tab/>
          </w:r>
          <w:r>
            <w:rPr/>
            <w:t>E1 interface management function</w:t>
            <w:tab/>
          </w:r>
          <w:hyperlink w:anchor="__RefHeading___Toc503999432">
            <w:r>
              <w:rPr>
                <w:rStyle w:val="IndexLink"/>
              </w:rPr>
              <w:t>8</w:t>
            </w:r>
          </w:hyperlink>
        </w:p>
        <w:p>
          <w:pPr>
            <w:pStyle w:val="Contents3"/>
            <w:rPr>
              <w:rFonts w:ascii="Calibri" w:hAnsi="Calibri" w:cs="Calibri"/>
              <w:sz w:val="22"/>
              <w:szCs w:val="22"/>
            </w:rPr>
          </w:pPr>
          <w:r>
            <w:rPr/>
            <w:t>5.6.3</w:t>
          </w:r>
          <w:r>
            <w:rPr>
              <w:rFonts w:cs="Calibri" w:ascii="Calibri" w:hAnsi="Calibri"/>
              <w:sz w:val="22"/>
              <w:szCs w:val="22"/>
            </w:rPr>
            <w:tab/>
          </w:r>
          <w:r>
            <w:rPr/>
            <w:t>UE-associated E1 functions</w:t>
            <w:tab/>
          </w:r>
          <w:hyperlink w:anchor="__RefHeading___Toc503999433">
            <w:r>
              <w:rPr>
                <w:rStyle w:val="IndexLink"/>
              </w:rPr>
              <w:t>8</w:t>
            </w:r>
          </w:hyperlink>
        </w:p>
        <w:p>
          <w:pPr>
            <w:pStyle w:val="Contents4"/>
            <w:rPr>
              <w:rFonts w:ascii="Calibri" w:hAnsi="Calibri" w:cs="Calibri"/>
              <w:sz w:val="22"/>
              <w:szCs w:val="22"/>
            </w:rPr>
          </w:pPr>
          <w:r>
            <w:rPr/>
            <w:t>5.6.3.1</w:t>
          </w:r>
          <w:r>
            <w:rPr>
              <w:rFonts w:cs="Calibri" w:ascii="Calibri" w:hAnsi="Calibri"/>
              <w:sz w:val="22"/>
              <w:szCs w:val="22"/>
            </w:rPr>
            <w:tab/>
          </w:r>
          <w:r>
            <w:rPr/>
            <w:t>Bearer management function</w:t>
            <w:tab/>
          </w:r>
          <w:hyperlink w:anchor="__RefHeading___Toc503999434">
            <w:r>
              <w:rPr>
                <w:rStyle w:val="IndexLink"/>
              </w:rPr>
              <w:t>8</w:t>
            </w:r>
          </w:hyperlink>
        </w:p>
        <w:p>
          <w:pPr>
            <w:pStyle w:val="Contents3"/>
            <w:rPr>
              <w:rFonts w:ascii="Calibri" w:hAnsi="Calibri" w:cs="Calibri"/>
              <w:sz w:val="22"/>
              <w:szCs w:val="22"/>
            </w:rPr>
          </w:pPr>
          <w:r>
            <w:rPr/>
            <w:t>5.6.4</w:t>
          </w:r>
          <w:r>
            <w:rPr>
              <w:rFonts w:cs="Calibri" w:ascii="Calibri" w:hAnsi="Calibri"/>
              <w:sz w:val="22"/>
              <w:szCs w:val="22"/>
            </w:rPr>
            <w:tab/>
          </w:r>
          <w:r>
            <w:rPr/>
            <w:t>Additional E1 functions</w:t>
            <w:tab/>
          </w:r>
          <w:hyperlink w:anchor="__RefHeading___Toc503999435">
            <w:r>
              <w:rPr>
                <w:rStyle w:val="IndexLink"/>
              </w:rPr>
              <w:t>8</w:t>
            </w:r>
          </w:hyperlink>
        </w:p>
        <w:p>
          <w:pPr>
            <w:pStyle w:val="Contents2"/>
            <w:rPr>
              <w:rFonts w:ascii="Calibri" w:hAnsi="Calibri" w:cs="Calibri"/>
              <w:sz w:val="22"/>
              <w:szCs w:val="22"/>
            </w:rPr>
          </w:pPr>
          <w:r>
            <w:rPr/>
            <w:t>5.7</w:t>
          </w:r>
          <w:r>
            <w:rPr>
              <w:rFonts w:cs="Calibri" w:ascii="Calibri" w:hAnsi="Calibri"/>
              <w:sz w:val="22"/>
              <w:szCs w:val="22"/>
            </w:rPr>
            <w:tab/>
          </w:r>
          <w:r>
            <w:rPr/>
            <w:t>Idle to Connected State Transition</w:t>
            <w:tab/>
          </w:r>
          <w:hyperlink w:anchor="__RefHeading___Toc503999436">
            <w:r>
              <w:rPr>
                <w:rStyle w:val="IndexLink"/>
              </w:rPr>
              <w:t>9</w:t>
            </w:r>
          </w:hyperlink>
        </w:p>
        <w:p>
          <w:pPr>
            <w:pStyle w:val="Contents2"/>
            <w:rPr>
              <w:rFonts w:ascii="Calibri" w:hAnsi="Calibri" w:cs="Calibri"/>
              <w:sz w:val="22"/>
              <w:szCs w:val="22"/>
            </w:rPr>
          </w:pPr>
          <w:r>
            <w:rPr/>
            <w:t>5.8</w:t>
          </w:r>
          <w:r>
            <w:rPr>
              <w:rFonts w:cs="Calibri" w:ascii="Calibri" w:hAnsi="Calibri"/>
              <w:sz w:val="22"/>
              <w:szCs w:val="22"/>
            </w:rPr>
            <w:tab/>
          </w:r>
          <w:r>
            <w:rPr/>
            <w:t>Xn Handover</w:t>
            <w:tab/>
          </w:r>
          <w:hyperlink w:anchor="__RefHeading___Toc503999437">
            <w:r>
              <w:rPr>
                <w:rStyle w:val="IndexLink"/>
              </w:rPr>
              <w:t>11</w:t>
            </w:r>
          </w:hyperlink>
        </w:p>
        <w:p>
          <w:pPr>
            <w:pStyle w:val="Contents3"/>
            <w:rPr>
              <w:rFonts w:ascii="Calibri" w:hAnsi="Calibri" w:cs="Calibri"/>
              <w:sz w:val="22"/>
              <w:szCs w:val="22"/>
            </w:rPr>
          </w:pPr>
          <w:r>
            <w:rPr/>
            <w:t>5.8.1</w:t>
          </w:r>
          <w:r>
            <w:rPr>
              <w:rFonts w:cs="Calibri" w:ascii="Calibri" w:hAnsi="Calibri"/>
              <w:sz w:val="22"/>
              <w:szCs w:val="22"/>
            </w:rPr>
            <w:tab/>
          </w:r>
          <w:r>
            <w:rPr/>
            <w:t>Introduction</w:t>
            <w:tab/>
          </w:r>
          <w:hyperlink w:anchor="__RefHeading___Toc503999438">
            <w:r>
              <w:rPr>
                <w:rStyle w:val="IndexLink"/>
              </w:rPr>
              <w:t>11</w:t>
            </w:r>
          </w:hyperlink>
        </w:p>
        <w:p>
          <w:pPr>
            <w:pStyle w:val="Contents3"/>
            <w:rPr>
              <w:rFonts w:ascii="Calibri" w:hAnsi="Calibri" w:cs="Calibri"/>
              <w:sz w:val="22"/>
              <w:szCs w:val="22"/>
            </w:rPr>
          </w:pPr>
          <w:r>
            <w:rPr/>
            <w:t>5.8.2</w:t>
          </w:r>
          <w:r>
            <w:rPr>
              <w:rFonts w:cs="Calibri" w:ascii="Calibri" w:hAnsi="Calibri"/>
              <w:sz w:val="22"/>
              <w:szCs w:val="22"/>
            </w:rPr>
            <w:tab/>
          </w:r>
          <w:r>
            <w:rPr/>
            <w:t>CU-CP Allocates UL TEID</w:t>
            <w:tab/>
          </w:r>
          <w:hyperlink w:anchor="__RefHeading___Toc503999439">
            <w:r>
              <w:rPr>
                <w:rStyle w:val="IndexLink"/>
              </w:rPr>
              <w:t>11</w:t>
            </w:r>
          </w:hyperlink>
        </w:p>
        <w:p>
          <w:pPr>
            <w:pStyle w:val="Contents3"/>
            <w:rPr>
              <w:rFonts w:ascii="Calibri" w:hAnsi="Calibri" w:cs="Calibri"/>
              <w:sz w:val="22"/>
              <w:szCs w:val="22"/>
            </w:rPr>
          </w:pPr>
          <w:r>
            <w:rPr/>
            <w:t>5.8.3</w:t>
          </w:r>
          <w:r>
            <w:rPr>
              <w:rFonts w:cs="Calibri" w:ascii="Calibri" w:hAnsi="Calibri"/>
              <w:sz w:val="22"/>
              <w:szCs w:val="22"/>
            </w:rPr>
            <w:tab/>
          </w:r>
          <w:r>
            <w:rPr/>
            <w:t>CU-UP Allocates UL TEID</w:t>
            <w:tab/>
          </w:r>
          <w:hyperlink w:anchor="__RefHeading___Toc503999440">
            <w:r>
              <w:rPr>
                <w:rStyle w:val="IndexLink"/>
              </w:rPr>
              <w:t>13</w:t>
            </w:r>
          </w:hyperlink>
        </w:p>
        <w:p>
          <w:pPr>
            <w:pStyle w:val="Contents2"/>
            <w:rPr>
              <w:rFonts w:ascii="Calibri" w:hAnsi="Calibri" w:cs="Calibri"/>
              <w:sz w:val="22"/>
              <w:szCs w:val="22"/>
            </w:rPr>
          </w:pPr>
          <w:r>
            <w:rPr/>
            <w:t>5.9</w:t>
          </w:r>
          <w:r>
            <w:rPr>
              <w:rFonts w:cs="Calibri" w:ascii="Calibri" w:hAnsi="Calibri"/>
              <w:sz w:val="22"/>
              <w:szCs w:val="22"/>
            </w:rPr>
            <w:tab/>
          </w:r>
          <w:r>
            <w:rPr/>
            <w:t>Secondary Node Addition</w:t>
            <w:tab/>
          </w:r>
          <w:hyperlink w:anchor="__RefHeading___Toc503999441">
            <w:r>
              <w:rPr>
                <w:rStyle w:val="IndexLink"/>
              </w:rPr>
              <w:t>14</w:t>
            </w:r>
          </w:hyperlink>
        </w:p>
        <w:p>
          <w:pPr>
            <w:pStyle w:val="Contents2"/>
            <w:rPr>
              <w:rFonts w:ascii="Calibri" w:hAnsi="Calibri" w:cs="Calibri"/>
              <w:sz w:val="22"/>
              <w:szCs w:val="22"/>
            </w:rPr>
          </w:pPr>
          <w:r>
            <w:rPr/>
            <w:t>5.10</w:t>
          </w:r>
          <w:r>
            <w:rPr>
              <w:rFonts w:cs="Calibri" w:ascii="Calibri" w:hAnsi="Calibri"/>
              <w:sz w:val="22"/>
              <w:szCs w:val="22"/>
            </w:rPr>
            <w:tab/>
          </w:r>
          <w:r>
            <w:rPr/>
            <w:t>Change of CU-UP</w:t>
            <w:tab/>
          </w:r>
          <w:hyperlink w:anchor="__RefHeading___Toc503999442">
            <w:r>
              <w:rPr>
                <w:rStyle w:val="IndexLink"/>
              </w:rPr>
              <w:t>16</w:t>
            </w:r>
          </w:hyperlink>
        </w:p>
        <w:p>
          <w:pPr>
            <w:pStyle w:val="Contents2"/>
            <w:rPr>
              <w:rFonts w:ascii="Calibri" w:hAnsi="Calibri" w:cs="Calibri"/>
              <w:sz w:val="22"/>
              <w:szCs w:val="22"/>
            </w:rPr>
          </w:pPr>
          <w:r>
            <w:rPr/>
            <w:t>5.11</w:t>
          </w:r>
          <w:r>
            <w:rPr>
              <w:rFonts w:cs="Calibri" w:ascii="Calibri" w:hAnsi="Calibri"/>
              <w:sz w:val="22"/>
              <w:szCs w:val="22"/>
            </w:rPr>
            <w:tab/>
          </w:r>
          <w:r>
            <w:rPr/>
            <w:t>Security handling</w:t>
            <w:tab/>
          </w:r>
          <w:hyperlink w:anchor="__RefHeading___Toc503999443">
            <w:r>
              <w:rPr>
                <w:rStyle w:val="IndexLink"/>
              </w:rPr>
              <w:t>17</w:t>
            </w:r>
          </w:hyperlink>
        </w:p>
        <w:p>
          <w:pPr>
            <w:pStyle w:val="Contents3"/>
            <w:rPr>
              <w:rFonts w:ascii="Calibri" w:hAnsi="Calibri" w:cs="Calibri"/>
              <w:sz w:val="22"/>
              <w:szCs w:val="22"/>
            </w:rPr>
          </w:pPr>
          <w:r>
            <w:rPr/>
            <w:t>5.11.1</w:t>
          </w:r>
          <w:r>
            <w:rPr>
              <w:rFonts w:cs="Calibri" w:ascii="Calibri" w:hAnsi="Calibri"/>
              <w:sz w:val="22"/>
              <w:szCs w:val="22"/>
            </w:rPr>
            <w:tab/>
          </w:r>
          <w:r>
            <w:rPr/>
            <w:t>General</w:t>
            <w:tab/>
          </w:r>
          <w:hyperlink w:anchor="__RefHeading___Toc503999444">
            <w:r>
              <w:rPr>
                <w:rStyle w:val="IndexLink"/>
              </w:rPr>
              <w:t>17</w:t>
            </w:r>
          </w:hyperlink>
        </w:p>
        <w:p>
          <w:pPr>
            <w:pStyle w:val="Contents3"/>
            <w:rPr>
              <w:rFonts w:ascii="Calibri" w:hAnsi="Calibri" w:cs="Calibri"/>
              <w:sz w:val="22"/>
              <w:szCs w:val="22"/>
            </w:rPr>
          </w:pPr>
          <w:r>
            <w:rPr/>
            <w:t>5.11.2</w:t>
          </w:r>
          <w:r>
            <w:rPr>
              <w:rFonts w:cs="Calibri" w:ascii="Calibri" w:hAnsi="Calibri"/>
              <w:sz w:val="22"/>
              <w:szCs w:val="22"/>
            </w:rPr>
            <w:tab/>
          </w:r>
          <w:r>
            <w:rPr/>
            <w:t>Considerations on CU-CP</w:t>
            <w:tab/>
          </w:r>
          <w:hyperlink w:anchor="__RefHeading___Toc503999445">
            <w:r>
              <w:rPr>
                <w:rStyle w:val="IndexLink"/>
              </w:rPr>
              <w:t>17</w:t>
            </w:r>
          </w:hyperlink>
        </w:p>
        <w:p>
          <w:pPr>
            <w:pStyle w:val="Contents3"/>
            <w:rPr>
              <w:rFonts w:ascii="Calibri" w:hAnsi="Calibri" w:cs="Calibri"/>
              <w:sz w:val="22"/>
              <w:szCs w:val="22"/>
            </w:rPr>
          </w:pPr>
          <w:r>
            <w:rPr/>
            <w:t>5.11.3</w:t>
          </w:r>
          <w:r>
            <w:rPr>
              <w:rFonts w:cs="Calibri" w:ascii="Calibri" w:hAnsi="Calibri"/>
              <w:sz w:val="22"/>
              <w:szCs w:val="22"/>
            </w:rPr>
            <w:tab/>
          </w:r>
          <w:r>
            <w:rPr/>
            <w:t>Considerations on CU-UP</w:t>
            <w:tab/>
          </w:r>
          <w:hyperlink w:anchor="__RefHeading___Toc503999446">
            <w:r>
              <w:rPr>
                <w:rStyle w:val="IndexLink"/>
              </w:rPr>
              <w:t>17</w:t>
            </w:r>
          </w:hyperlink>
        </w:p>
        <w:p>
          <w:pPr>
            <w:pStyle w:val="Contents4"/>
            <w:rPr>
              <w:rFonts w:ascii="Calibri" w:hAnsi="Calibri" w:cs="Calibri"/>
              <w:sz w:val="22"/>
              <w:szCs w:val="22"/>
            </w:rPr>
          </w:pPr>
          <w:r>
            <w:rPr/>
            <w:t>5.11.3.1</w:t>
          </w:r>
          <w:r>
            <w:rPr>
              <w:rFonts w:cs="Calibri" w:ascii="Calibri" w:hAnsi="Calibri"/>
              <w:sz w:val="22"/>
              <w:szCs w:val="22"/>
            </w:rPr>
            <w:tab/>
          </w:r>
          <w:r>
            <w:rPr/>
            <w:t>Key derivation</w:t>
            <w:tab/>
          </w:r>
          <w:hyperlink w:anchor="__RefHeading___Toc503999447">
            <w:r>
              <w:rPr>
                <w:rStyle w:val="IndexLink"/>
              </w:rPr>
              <w:t>17</w:t>
            </w:r>
          </w:hyperlink>
        </w:p>
        <w:p>
          <w:pPr>
            <w:pStyle w:val="Contents4"/>
            <w:rPr>
              <w:rFonts w:ascii="Calibri" w:hAnsi="Calibri" w:cs="Calibri"/>
              <w:sz w:val="22"/>
              <w:szCs w:val="22"/>
            </w:rPr>
          </w:pPr>
          <w:r>
            <w:rPr/>
            <w:t>5.11.3.2</w:t>
          </w:r>
          <w:r>
            <w:rPr>
              <w:rFonts w:cs="Calibri" w:ascii="Calibri" w:hAnsi="Calibri"/>
              <w:sz w:val="22"/>
              <w:szCs w:val="22"/>
            </w:rPr>
            <w:tab/>
          </w:r>
          <w:r>
            <w:rPr/>
            <w:t>PDCP count wrap around</w:t>
            <w:tab/>
          </w:r>
          <w:hyperlink w:anchor="__RefHeading___Toc503999448">
            <w:r>
              <w:rPr>
                <w:rStyle w:val="IndexLink"/>
              </w:rPr>
              <w:t>18</w:t>
            </w:r>
          </w:hyperlink>
        </w:p>
        <w:p>
          <w:pPr>
            <w:pStyle w:val="Contents4"/>
            <w:rPr>
              <w:rFonts w:ascii="Calibri" w:hAnsi="Calibri" w:cs="Calibri"/>
              <w:sz w:val="22"/>
              <w:szCs w:val="22"/>
            </w:rPr>
          </w:pPr>
          <w:r>
            <w:rPr/>
            <w:t>5.11.3.3</w:t>
          </w:r>
          <w:r>
            <w:rPr>
              <w:rFonts w:cs="Calibri" w:ascii="Calibri" w:hAnsi="Calibri"/>
              <w:sz w:val="22"/>
              <w:szCs w:val="22"/>
            </w:rPr>
            <w:tab/>
          </w:r>
          <w:r>
            <w:rPr/>
            <w:t>Counter checks</w:t>
            <w:tab/>
          </w:r>
          <w:hyperlink w:anchor="__RefHeading___Toc503999449">
            <w:r>
              <w:rPr>
                <w:rStyle w:val="IndexLink"/>
              </w:rPr>
              <w:t>18</w:t>
            </w:r>
          </w:hyperlink>
        </w:p>
        <w:p>
          <w:pPr>
            <w:pStyle w:val="Contents1"/>
            <w:rPr>
              <w:rFonts w:ascii="Calibri" w:hAnsi="Calibri" w:cs="Calibri"/>
              <w:szCs w:val="22"/>
            </w:rPr>
          </w:pPr>
          <w:r>
            <w:rPr/>
            <w:t>6</w:t>
          </w:r>
          <w:r>
            <w:rPr>
              <w:rFonts w:cs="Calibri" w:ascii="Calibri" w:hAnsi="Calibri"/>
              <w:szCs w:val="22"/>
            </w:rPr>
            <w:tab/>
          </w:r>
          <w:r>
            <w:rPr/>
            <w:t>CP-UP separation: scenarios and assessment results</w:t>
            <w:tab/>
          </w:r>
          <w:hyperlink w:anchor="__RefHeading___Toc503999450">
            <w:r>
              <w:rPr>
                <w:rStyle w:val="IndexLink"/>
              </w:rPr>
              <w:t>18</w:t>
            </w:r>
          </w:hyperlink>
        </w:p>
        <w:p>
          <w:pPr>
            <w:pStyle w:val="Contents2"/>
            <w:rPr>
              <w:rFonts w:ascii="Calibri" w:hAnsi="Calibri" w:cs="Calibri"/>
              <w:sz w:val="22"/>
              <w:szCs w:val="22"/>
            </w:rPr>
          </w:pPr>
          <w:r>
            <w:rPr/>
            <w:t>6.1</w:t>
          </w:r>
          <w:r>
            <w:rPr>
              <w:rFonts w:cs="Calibri" w:ascii="Calibri" w:hAnsi="Calibri"/>
              <w:sz w:val="22"/>
              <w:szCs w:val="22"/>
            </w:rPr>
            <w:tab/>
          </w:r>
          <w:r>
            <w:rPr/>
            <w:t>Introduction</w:t>
            <w:tab/>
          </w:r>
          <w:hyperlink w:anchor="__RefHeading___Toc503999451">
            <w:r>
              <w:rPr>
                <w:rStyle w:val="IndexLink"/>
              </w:rPr>
              <w:t>18</w:t>
            </w:r>
          </w:hyperlink>
        </w:p>
        <w:p>
          <w:pPr>
            <w:pStyle w:val="Contents2"/>
            <w:rPr>
              <w:rFonts w:ascii="Calibri" w:hAnsi="Calibri" w:cs="Calibri"/>
              <w:sz w:val="22"/>
              <w:szCs w:val="22"/>
            </w:rPr>
          </w:pPr>
          <w:r>
            <w:rPr/>
            <w:t>6.2</w:t>
          </w:r>
          <w:r>
            <w:rPr>
              <w:rFonts w:cs="Calibri" w:ascii="Calibri" w:hAnsi="Calibri"/>
              <w:sz w:val="22"/>
              <w:szCs w:val="22"/>
            </w:rPr>
            <w:tab/>
          </w:r>
          <w:r>
            <w:rPr/>
            <w:t>Scenarios</w:t>
            <w:tab/>
          </w:r>
          <w:hyperlink w:anchor="__RefHeading___Toc503999452">
            <w:r>
              <w:rPr>
                <w:rStyle w:val="IndexLink"/>
              </w:rPr>
              <w:t>18</w:t>
            </w:r>
          </w:hyperlink>
        </w:p>
        <w:p>
          <w:pPr>
            <w:pStyle w:val="Contents3"/>
            <w:rPr>
              <w:rFonts w:ascii="Calibri" w:hAnsi="Calibri" w:cs="Calibri"/>
              <w:sz w:val="22"/>
              <w:szCs w:val="22"/>
            </w:rPr>
          </w:pPr>
          <w:r>
            <w:rPr/>
            <w:t>6.2.1</w:t>
          </w:r>
          <w:r>
            <w:rPr>
              <w:rFonts w:cs="Calibri" w:ascii="Calibri" w:hAnsi="Calibri"/>
              <w:sz w:val="22"/>
              <w:szCs w:val="22"/>
            </w:rPr>
            <w:tab/>
          </w:r>
          <w:r>
            <w:rPr/>
            <w:t>Introduction</w:t>
            <w:tab/>
          </w:r>
          <w:hyperlink w:anchor="__RefHeading___Toc503999453">
            <w:r>
              <w:rPr>
                <w:rStyle w:val="IndexLink"/>
              </w:rPr>
              <w:t>18</w:t>
            </w:r>
          </w:hyperlink>
        </w:p>
        <w:p>
          <w:pPr>
            <w:pStyle w:val="Contents3"/>
            <w:rPr>
              <w:rFonts w:ascii="Calibri" w:hAnsi="Calibri" w:cs="Calibri"/>
              <w:sz w:val="22"/>
              <w:szCs w:val="22"/>
            </w:rPr>
          </w:pPr>
          <w:r>
            <w:rPr/>
            <w:t>6.2.2</w:t>
          </w:r>
          <w:r>
            <w:rPr>
              <w:rFonts w:cs="Calibri" w:ascii="Calibri" w:hAnsi="Calibri"/>
              <w:sz w:val="22"/>
              <w:szCs w:val="22"/>
            </w:rPr>
            <w:tab/>
          </w:r>
          <w:r>
            <w:rPr/>
            <w:t>Scenario 1: CU-CP and CU-UP centralized</w:t>
            <w:tab/>
          </w:r>
          <w:hyperlink w:anchor="__RefHeading___Toc503999454">
            <w:r>
              <w:rPr>
                <w:rStyle w:val="IndexLink"/>
              </w:rPr>
              <w:t>18</w:t>
            </w:r>
          </w:hyperlink>
        </w:p>
        <w:p>
          <w:pPr>
            <w:pStyle w:val="Contents3"/>
            <w:rPr>
              <w:rFonts w:ascii="Calibri" w:hAnsi="Calibri" w:cs="Calibri"/>
              <w:sz w:val="22"/>
              <w:szCs w:val="22"/>
            </w:rPr>
          </w:pPr>
          <w:r>
            <w:rPr/>
            <w:t>6.2.3</w:t>
          </w:r>
          <w:r>
            <w:rPr>
              <w:rFonts w:cs="Calibri" w:ascii="Calibri" w:hAnsi="Calibri"/>
              <w:sz w:val="22"/>
              <w:szCs w:val="22"/>
            </w:rPr>
            <w:tab/>
          </w:r>
          <w:r>
            <w:rPr/>
            <w:t>Scenario 2: CU-CP distributed and CU-UP centralized</w:t>
            <w:tab/>
          </w:r>
          <w:hyperlink w:anchor="__RefHeading___Toc503999455">
            <w:r>
              <w:rPr>
                <w:rStyle w:val="IndexLink"/>
              </w:rPr>
              <w:t>19</w:t>
            </w:r>
          </w:hyperlink>
        </w:p>
        <w:p>
          <w:pPr>
            <w:pStyle w:val="Contents3"/>
            <w:rPr>
              <w:rFonts w:ascii="Calibri" w:hAnsi="Calibri" w:cs="Calibri"/>
              <w:sz w:val="22"/>
              <w:szCs w:val="22"/>
            </w:rPr>
          </w:pPr>
          <w:r>
            <w:rPr/>
            <w:t>6.2.4</w:t>
          </w:r>
          <w:r>
            <w:rPr>
              <w:rFonts w:cs="Calibri" w:ascii="Calibri" w:hAnsi="Calibri"/>
              <w:sz w:val="22"/>
              <w:szCs w:val="22"/>
            </w:rPr>
            <w:tab/>
          </w:r>
          <w:r>
            <w:rPr/>
            <w:t>Scenario 3: CU-CP centralized and CU-UP distributed</w:t>
            <w:tab/>
          </w:r>
          <w:hyperlink w:anchor="__RefHeading___Toc503999456">
            <w:r>
              <w:rPr>
                <w:rStyle w:val="IndexLink"/>
              </w:rPr>
              <w:t>19</w:t>
            </w:r>
          </w:hyperlink>
        </w:p>
        <w:p>
          <w:pPr>
            <w:pStyle w:val="Contents2"/>
            <w:rPr>
              <w:rFonts w:ascii="Calibri" w:hAnsi="Calibri" w:cs="Calibri"/>
              <w:sz w:val="22"/>
              <w:szCs w:val="22"/>
            </w:rPr>
          </w:pPr>
          <w:r>
            <w:rPr/>
            <w:t>6.3</w:t>
          </w:r>
          <w:r>
            <w:rPr>
              <w:rFonts w:cs="Calibri" w:ascii="Calibri" w:hAnsi="Calibri"/>
              <w:sz w:val="22"/>
              <w:szCs w:val="22"/>
            </w:rPr>
            <w:tab/>
          </w:r>
          <w:r>
            <w:rPr/>
            <w:t>Benefits and drawbacks</w:t>
            <w:tab/>
          </w:r>
          <w:hyperlink w:anchor="__RefHeading___Toc503999457">
            <w:r>
              <w:rPr>
                <w:rStyle w:val="IndexLink"/>
              </w:rPr>
              <w:t>20</w:t>
            </w:r>
          </w:hyperlink>
        </w:p>
        <w:p>
          <w:pPr>
            <w:pStyle w:val="Contents3"/>
            <w:rPr>
              <w:rFonts w:ascii="Calibri" w:hAnsi="Calibri" w:cs="Calibri"/>
              <w:sz w:val="22"/>
              <w:szCs w:val="22"/>
            </w:rPr>
          </w:pPr>
          <w:r>
            <w:rPr/>
            <w:t>6.3.1</w:t>
          </w:r>
          <w:r>
            <w:rPr>
              <w:rFonts w:cs="Calibri" w:ascii="Calibri" w:hAnsi="Calibri"/>
              <w:sz w:val="22"/>
              <w:szCs w:val="22"/>
            </w:rPr>
            <w:tab/>
          </w:r>
          <w:r>
            <w:rPr/>
            <w:t>Introduction</w:t>
            <w:tab/>
          </w:r>
          <w:hyperlink w:anchor="__RefHeading___Toc503999458">
            <w:r>
              <w:rPr>
                <w:rStyle w:val="IndexLink"/>
              </w:rPr>
              <w:t>20</w:t>
            </w:r>
          </w:hyperlink>
        </w:p>
        <w:p>
          <w:pPr>
            <w:pStyle w:val="Contents3"/>
            <w:rPr>
              <w:rFonts w:ascii="Calibri" w:hAnsi="Calibri" w:cs="Calibri"/>
              <w:sz w:val="22"/>
              <w:szCs w:val="22"/>
            </w:rPr>
          </w:pPr>
          <w:r>
            <w:rPr/>
            <w:t>6.3.2</w:t>
          </w:r>
          <w:r>
            <w:rPr>
              <w:rFonts w:cs="Calibri" w:ascii="Calibri" w:hAnsi="Calibri"/>
              <w:sz w:val="22"/>
              <w:szCs w:val="22"/>
            </w:rPr>
            <w:tab/>
          </w:r>
          <w:r>
            <w:rPr/>
            <w:t>Scenario 1</w:t>
            <w:tab/>
          </w:r>
          <w:hyperlink w:anchor="__RefHeading___Toc503999459">
            <w:r>
              <w:rPr>
                <w:rStyle w:val="IndexLink"/>
              </w:rPr>
              <w:t>20</w:t>
            </w:r>
          </w:hyperlink>
        </w:p>
        <w:p>
          <w:pPr>
            <w:pStyle w:val="Contents3"/>
            <w:rPr>
              <w:rFonts w:ascii="Calibri" w:hAnsi="Calibri" w:cs="Calibri"/>
              <w:sz w:val="22"/>
              <w:szCs w:val="22"/>
            </w:rPr>
          </w:pPr>
          <w:r>
            <w:rPr/>
            <w:t>6.3.3</w:t>
          </w:r>
          <w:r>
            <w:rPr>
              <w:rFonts w:cs="Calibri" w:ascii="Calibri" w:hAnsi="Calibri"/>
              <w:sz w:val="22"/>
              <w:szCs w:val="22"/>
            </w:rPr>
            <w:tab/>
          </w:r>
          <w:r>
            <w:rPr/>
            <w:t>Scenario 2</w:t>
            <w:tab/>
          </w:r>
          <w:hyperlink w:anchor="__RefHeading___Toc503999460">
            <w:r>
              <w:rPr>
                <w:rStyle w:val="IndexLink"/>
              </w:rPr>
              <w:t>21</w:t>
            </w:r>
          </w:hyperlink>
        </w:p>
        <w:p>
          <w:pPr>
            <w:pStyle w:val="Contents3"/>
            <w:rPr>
              <w:rFonts w:ascii="Calibri" w:hAnsi="Calibri" w:cs="Calibri"/>
              <w:sz w:val="22"/>
              <w:szCs w:val="22"/>
            </w:rPr>
          </w:pPr>
          <w:r>
            <w:rPr/>
            <w:t>6.3.4</w:t>
          </w:r>
          <w:r>
            <w:rPr>
              <w:rFonts w:cs="Calibri" w:ascii="Calibri" w:hAnsi="Calibri"/>
              <w:sz w:val="22"/>
              <w:szCs w:val="22"/>
            </w:rPr>
            <w:tab/>
          </w:r>
          <w:r>
            <w:rPr/>
            <w:t>Scenario 3</w:t>
            <w:tab/>
          </w:r>
          <w:hyperlink w:anchor="__RefHeading___Toc503999461">
            <w:r>
              <w:rPr>
                <w:rStyle w:val="IndexLink"/>
              </w:rPr>
              <w:t>21</w:t>
            </w:r>
          </w:hyperlink>
        </w:p>
        <w:p>
          <w:pPr>
            <w:pStyle w:val="Contents2"/>
            <w:rPr>
              <w:rFonts w:ascii="Calibri" w:hAnsi="Calibri" w:cs="Calibri"/>
              <w:sz w:val="22"/>
              <w:szCs w:val="22"/>
            </w:rPr>
          </w:pPr>
          <w:r>
            <w:rPr/>
            <w:t>6.4</w:t>
          </w:r>
          <w:r>
            <w:rPr>
              <w:rFonts w:cs="Calibri" w:ascii="Calibri" w:hAnsi="Calibri"/>
              <w:sz w:val="22"/>
              <w:szCs w:val="22"/>
            </w:rPr>
            <w:tab/>
          </w:r>
          <w:r>
            <w:rPr/>
            <w:t>Conclusions for scenarios and benefits</w:t>
            <w:tab/>
          </w:r>
          <w:hyperlink w:anchor="__RefHeading___Toc503999462">
            <w:r>
              <w:rPr>
                <w:rStyle w:val="IndexLink"/>
              </w:rPr>
              <w:t>21</w:t>
            </w:r>
          </w:hyperlink>
        </w:p>
        <w:p>
          <w:pPr>
            <w:pStyle w:val="Contents1"/>
            <w:rPr>
              <w:rFonts w:ascii="Calibri" w:hAnsi="Calibri" w:cs="Calibri"/>
              <w:szCs w:val="22"/>
            </w:rPr>
          </w:pPr>
          <w:r>
            <w:rPr/>
            <w:t>7</w:t>
          </w:r>
          <w:r>
            <w:rPr>
              <w:rFonts w:cs="Calibri" w:ascii="Calibri" w:hAnsi="Calibri"/>
              <w:szCs w:val="22"/>
            </w:rPr>
            <w:tab/>
          </w:r>
          <w:r>
            <w:rPr/>
            <w:t>CP-UP separation: solutions</w:t>
            <w:tab/>
          </w:r>
          <w:hyperlink w:anchor="__RefHeading___Toc503999463">
            <w:r>
              <w:rPr>
                <w:rStyle w:val="IndexLink"/>
              </w:rPr>
              <w:t>21</w:t>
            </w:r>
          </w:hyperlink>
        </w:p>
        <w:p>
          <w:pPr>
            <w:pStyle w:val="Contents1"/>
            <w:rPr>
              <w:rFonts w:ascii="Calibri" w:hAnsi="Calibri" w:cs="Calibri"/>
              <w:szCs w:val="22"/>
            </w:rPr>
          </w:pPr>
          <w:r>
            <w:rPr/>
            <w:t>8</w:t>
          </w:r>
          <w:r>
            <w:rPr>
              <w:rFonts w:cs="Calibri" w:ascii="Calibri" w:hAnsi="Calibri"/>
              <w:szCs w:val="22"/>
            </w:rPr>
            <w:tab/>
          </w:r>
          <w:r>
            <w:rPr/>
            <w:t>Conclusions</w:t>
            <w:tab/>
          </w:r>
          <w:hyperlink w:anchor="__RefHeading___Toc503999464">
            <w:r>
              <w:rPr>
                <w:rStyle w:val="IndexLink"/>
              </w:rPr>
              <w:t>21</w:t>
            </w:r>
          </w:hyperlink>
        </w:p>
        <w:p>
          <w:pPr>
            <w:pStyle w:val="Contents9"/>
            <w:rPr>
              <w:rFonts w:ascii="Calibri" w:hAnsi="Calibri" w:cs="Calibri"/>
              <w:szCs w:val="22"/>
            </w:rPr>
          </w:pPr>
          <w:r>
            <w:rPr>
              <w:b w:val="false"/>
            </w:rPr>
            <w:t>Annex A:</w:t>
            <w:tab/>
            <w:t>Change history</w:t>
            <w:tab/>
          </w:r>
          <w:hyperlink w:anchor="__RefHeading___Toc503999465">
            <w:r>
              <w:rPr>
                <w:rStyle w:val="IndexLink"/>
                <w:b w:val="false"/>
              </w:rPr>
              <w:t>22</w:t>
            </w:r>
          </w:hyperlink>
          <w:r>
            <w:rPr>
              <w:rStyle w:val="IndexLink"/>
              <w:b w:val="false"/>
            </w:rPr>
            <w:fldChar w:fldCharType="end"/>
          </w:r>
        </w:p>
      </w:sdtContent>
    </w:sdt>
    <w:p>
      <w:pPr>
        <w:pStyle w:val="Normal"/>
        <w:rPr>
          <w:rFonts w:ascii="Calibri" w:hAnsi="Calibri" w:cs="Calibri"/>
          <w:b/>
          <w:b/>
          <w:sz w:val="22"/>
          <w:szCs w:val="22"/>
          <w:lang w:val="en-US" w:eastAsia="en-US"/>
        </w:rPr>
      </w:pPr>
      <w:r>
        <w:rPr>
          <w:rFonts w:cs="Calibri" w:ascii="Calibri" w:hAnsi="Calibri"/>
          <w:b/>
          <w:sz w:val="22"/>
          <w:szCs w:val="22"/>
          <w:lang w:val="en-US" w:eastAsia="en-US"/>
        </w:rPr>
      </w:r>
      <w:r>
        <w:br w:type="page"/>
      </w:r>
    </w:p>
    <w:p>
      <w:pPr>
        <w:pStyle w:val="Heading1"/>
        <w:ind w:left="1134" w:hanging="1134"/>
        <w:rPr/>
      </w:pPr>
      <w:bookmarkStart w:id="7" w:name="__RefHeading___Toc503999418"/>
      <w:bookmarkEnd w:id="7"/>
      <w:r>
        <w:rPr/>
        <w:t>Foreword</w:t>
      </w:r>
    </w:p>
    <w:p>
      <w:pPr>
        <w:pStyle w:val="Normal"/>
        <w:rPr/>
      </w:pPr>
      <w:r>
        <w:rPr/>
        <w:t>This Technical Report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8" w:name="__RefHeading___Toc503999419"/>
      <w:bookmarkEnd w:id="8"/>
      <w:r>
        <w:rPr/>
        <w:t>1</w:t>
        <w:tab/>
        <w:t>Scope</w:t>
      </w:r>
    </w:p>
    <w:p>
      <w:pPr>
        <w:pStyle w:val="Normal"/>
        <w:rPr/>
      </w:pPr>
      <w:r>
        <w:rPr>
          <w:lang w:eastAsia="ja-JP"/>
        </w:rPr>
        <w:t>The purpose of the present document is to record the discussion and agreements that arise from the</w:t>
      </w:r>
      <w:r>
        <w:rPr/>
        <w:t xml:space="preserve"> study item "Separation of CP and UP for split option 2 of NR" in RP-171421 [1]. </w:t>
      </w:r>
    </w:p>
    <w:p>
      <w:pPr>
        <w:pStyle w:val="Heading1"/>
        <w:ind w:left="1134" w:hanging="1134"/>
        <w:rPr/>
      </w:pPr>
      <w:bookmarkStart w:id="9" w:name="__RefHeading___Toc503999420"/>
      <w:bookmarkEnd w:id="9"/>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rPr/>
      </w:pPr>
      <w:r>
        <w:rPr/>
        <w:t>[1]</w:t>
        <w:tab/>
        <w:t>RP-170421:" New SID on New SID on Separation of CP and UP for split option 2".</w:t>
      </w:r>
    </w:p>
    <w:p>
      <w:pPr>
        <w:pStyle w:val="EX"/>
        <w:rPr/>
      </w:pPr>
      <w:r>
        <w:rPr/>
        <w:t>[2]</w:t>
        <w:tab/>
        <w:t>3GPP TR 21.905: "Vocabulary for 3GPP Specifications".</w:t>
      </w:r>
    </w:p>
    <w:p>
      <w:pPr>
        <w:pStyle w:val="EX"/>
        <w:rPr/>
      </w:pPr>
      <w:r>
        <w:rPr/>
        <w:t>[3]</w:t>
        <w:tab/>
        <w:t xml:space="preserve">3GPP TR 38.801: "Study on new radio access technology: Radio access architecture and interfaces" </w:t>
      </w:r>
    </w:p>
    <w:p>
      <w:pPr>
        <w:pStyle w:val="EX"/>
        <w:rPr/>
      </w:pPr>
      <w:r>
        <w:rPr/>
        <w:t>[4]</w:t>
        <w:tab/>
      </w:r>
      <w:r>
        <w:rPr>
          <w:lang w:eastAsia="ja-JP"/>
        </w:rPr>
        <w:t xml:space="preserve">3GPP TS 38.300: </w:t>
      </w:r>
      <w:r>
        <w:rPr/>
        <w:t>"</w:t>
      </w:r>
      <w:r>
        <w:rPr>
          <w:lang w:eastAsia="ja-JP"/>
        </w:rPr>
        <w:t>NR; Overall description; Stage-2</w:t>
      </w:r>
      <w:r>
        <w:rPr/>
        <w:t>".</w:t>
      </w:r>
    </w:p>
    <w:p>
      <w:pPr>
        <w:pStyle w:val="EX"/>
        <w:rPr/>
      </w:pPr>
      <w:r>
        <w:rPr/>
        <w:t>[5]</w:t>
        <w:tab/>
        <w:t xml:space="preserve">3GPP TR 38.401: "NG-RAN; Architecture description". </w:t>
      </w:r>
    </w:p>
    <w:p>
      <w:pPr>
        <w:pStyle w:val="Heading1"/>
        <w:ind w:left="1134" w:hanging="1134"/>
        <w:rPr/>
      </w:pPr>
      <w:bookmarkStart w:id="10" w:name="__RefHeading___Toc503999421"/>
      <w:r>
        <w:rPr/>
        <w:t>3</w:t>
        <w:tab/>
        <w:t>Definitions</w:t>
      </w:r>
      <w:bookmarkEnd w:id="10"/>
      <w:r>
        <w:rPr/>
        <w:t xml:space="preserve"> </w:t>
      </w:r>
    </w:p>
    <w:p>
      <w:pPr>
        <w:pStyle w:val="Normal"/>
        <w:rPr/>
      </w:pPr>
      <w:r>
        <w:rPr/>
        <w:t xml:space="preserve">For the purposes of the present document, the terms and definitions given in </w:t>
      </w:r>
      <w:bookmarkStart w:id="11" w:name="OLE_LINK5"/>
      <w:bookmarkStart w:id="12" w:name="OLE_LINK4"/>
      <w:bookmarkStart w:id="13" w:name="OLE_LINK3"/>
      <w:bookmarkStart w:id="14" w:name="OLE_LINK2"/>
      <w:bookmarkStart w:id="15" w:name="OLE_LINK1"/>
      <w:r>
        <w:rPr/>
        <w:t xml:space="preserve">3GPP </w:t>
      </w:r>
      <w:bookmarkEnd w:id="11"/>
      <w:bookmarkEnd w:id="12"/>
      <w:bookmarkEnd w:id="13"/>
      <w:bookmarkEnd w:id="14"/>
      <w:bookmarkEnd w:id="15"/>
      <w:r>
        <w:rPr/>
        <w:t>TR 21.905 [1] and the following apply. A term defined in the present document takes precedence over the definition of the same term, if any, in 3GPP TR 21.905 [2].</w:t>
      </w:r>
    </w:p>
    <w:p>
      <w:pPr>
        <w:pStyle w:val="Normal"/>
        <w:rPr/>
      </w:pPr>
      <w:r>
        <w:rPr>
          <w:b/>
          <w:lang w:eastAsia="ja-JP"/>
        </w:rPr>
        <w:t>Central Unit - Control Plane (CU-CP):</w:t>
      </w:r>
      <w:r>
        <w:rPr>
          <w:lang w:eastAsia="ja-JP"/>
        </w:rPr>
        <w:t xml:space="preserve"> control plane part of the gNB-CU as defined in TS 38.401 [5], hosting the RRC and the control plane part of the PDCP protocol.</w:t>
      </w:r>
    </w:p>
    <w:p>
      <w:pPr>
        <w:pStyle w:val="Normal"/>
        <w:rPr/>
      </w:pPr>
      <w:r>
        <w:rPr>
          <w:b/>
          <w:lang w:eastAsia="ja-JP"/>
        </w:rPr>
        <w:t>Central Unit - User Plane (CU-UP):</w:t>
      </w:r>
      <w:r>
        <w:rPr>
          <w:lang w:eastAsia="ja-JP"/>
        </w:rPr>
        <w:t xml:space="preserve"> user plane part of the gNB-CU as defined in TS 38.401 [5], hosting the SDAP and the user plane part of the PDCP protocol.  </w:t>
      </w:r>
    </w:p>
    <w:p>
      <w:pPr>
        <w:pStyle w:val="Normal"/>
        <w:rPr>
          <w:lang w:eastAsia="ja-JP"/>
        </w:rPr>
      </w:pPr>
      <w:r>
        <w:rPr>
          <w:b/>
          <w:lang w:eastAsia="ja-JP"/>
        </w:rPr>
        <w:t>Distributed Unit (DU)</w:t>
      </w:r>
      <w:r>
        <w:rPr>
          <w:b/>
        </w:rPr>
        <w:t>:</w:t>
      </w:r>
      <w:r>
        <w:rPr/>
        <w:t xml:space="preserve"> </w:t>
      </w:r>
      <w:r>
        <w:rPr>
          <w:lang w:eastAsia="ja-JP"/>
        </w:rPr>
        <w:t xml:space="preserve">corresponds to the gNB-DU as defined in TS 38.401 [5]. </w:t>
      </w:r>
    </w:p>
    <w:p>
      <w:pPr>
        <w:pStyle w:val="Normal"/>
        <w:rPr/>
      </w:pPr>
      <w:r>
        <w:rPr>
          <w:b/>
        </w:rPr>
        <w:t>gNB</w:t>
      </w:r>
      <w:r>
        <w:rPr>
          <w:b/>
        </w:rPr>
        <w:t xml:space="preserve">: </w:t>
      </w:r>
      <w:r>
        <w:rPr/>
        <w:t>as defined in TS 38.300 [4].</w:t>
      </w:r>
    </w:p>
    <w:p>
      <w:pPr>
        <w:pStyle w:val="Heading1"/>
        <w:ind w:left="1134" w:hanging="1134"/>
        <w:rPr/>
      </w:pPr>
      <w:bookmarkStart w:id="16" w:name="__RefHeading___Toc503999422"/>
      <w:bookmarkEnd w:id="16"/>
      <w:r>
        <w:rPr/>
        <w:t>4</w:t>
        <w:tab/>
      </w:r>
      <w:r>
        <w:rPr>
          <w:lang w:eastAsia="zh-CN"/>
        </w:rPr>
        <w:t>General</w:t>
      </w:r>
    </w:p>
    <w:p>
      <w:pPr>
        <w:pStyle w:val="Normal"/>
        <w:rPr>
          <w:lang w:eastAsia="zh-CN"/>
        </w:rPr>
      </w:pPr>
      <w:r>
        <w:rPr/>
        <w:t>The aim of the study is as captured in the SI description document [1]:</w:t>
      </w:r>
    </w:p>
    <w:p>
      <w:pPr>
        <w:pStyle w:val="B1"/>
        <w:rPr/>
      </w:pPr>
      <w:r>
        <w:rPr/>
        <w:t>1)</w:t>
        <w:tab/>
        <w:t xml:space="preserve">From TR 38.801 [3], study the scenarios, the feasibility and the benefits of the separation of the CU-CP (control plane instance of PDCP/RRC protocols) and the CU-UP (the user plane instance of PDCP (and SDAP) protocols). </w:t>
      </w:r>
    </w:p>
    <w:p>
      <w:pPr>
        <w:pStyle w:val="B1"/>
        <w:rPr/>
      </w:pPr>
      <w:r>
        <w:rPr/>
        <w:t>2)</w:t>
        <w:tab/>
        <w:t>Identifying</w:t>
      </w:r>
      <w:r>
        <w:rPr>
          <w:lang w:eastAsia="ja-JP"/>
        </w:rPr>
        <w:t xml:space="preserve"> details solutions e.g. </w:t>
      </w:r>
      <w:r>
        <w:rPr/>
        <w:t xml:space="preserve">introducing a standardised control plane interface between the CU-CP and CU-UP part of the gNB to enable the possibility of optimizing the physical location of different RAN functions based on the scenario and desired performance. </w:t>
      </w:r>
    </w:p>
    <w:p>
      <w:pPr>
        <w:pStyle w:val="B1"/>
        <w:rPr/>
      </w:pPr>
      <w:r>
        <w:rPr/>
        <w:t>3)</w:t>
        <w:tab/>
        <w:t>Study the necessary protocol functions down to the procedure and message level related to the possible identified solutions e.g. a standardised control plane interface to enable set-up, modification, and release of the DRB related resources in the CU-UP, including handling of security keys in the CU-UP for RAN security activation and configuration. This also needs to take the agreed F1 interface general principle, and gNB-CU/DU architecture principle into account.</w:t>
      </w:r>
    </w:p>
    <w:p>
      <w:pPr>
        <w:pStyle w:val="Heading1"/>
        <w:ind w:left="1134" w:hanging="1134"/>
        <w:rPr/>
      </w:pPr>
      <w:bookmarkStart w:id="17" w:name="__RefHeading___Toc503999423"/>
      <w:bookmarkEnd w:id="17"/>
      <w:r>
        <w:rPr/>
        <w:t>5</w:t>
        <w:tab/>
        <w:t>Interface functions and procedures</w:t>
      </w:r>
    </w:p>
    <w:p>
      <w:pPr>
        <w:pStyle w:val="Heading2"/>
        <w:rPr/>
      </w:pPr>
      <w:bookmarkStart w:id="18" w:name="__RefHeading___Toc503999424"/>
      <w:bookmarkEnd w:id="18"/>
      <w:r>
        <w:rPr/>
        <w:t>5.1</w:t>
        <w:tab/>
        <w:t>Introduction</w:t>
      </w:r>
    </w:p>
    <w:p>
      <w:pPr>
        <w:pStyle w:val="Normal"/>
        <w:rPr/>
      </w:pPr>
      <w:r>
        <w:rPr/>
        <w:t xml:space="preserve">The third objective of the SI is reported in the following [1]: </w:t>
      </w:r>
    </w:p>
    <w:p>
      <w:pPr>
        <w:pStyle w:val="B1"/>
        <w:rPr/>
      </w:pPr>
      <w:r>
        <w:rPr/>
        <w:t>-</w:t>
        <w:tab/>
        <w:t>"</w:t>
      </w:r>
      <w:r>
        <w:rPr>
          <w:i/>
        </w:rPr>
        <w:t>Study the necessary protocol functions down to the procedure and message level related to the possible identified solutions e.g. a standardised control plane interface to enable set-up, modification, and release of the DRB related resources in the CU-UP, including handling of security keys in the CU-UP for RAN security activation and configuration. This also needs to take the agreed F1 interface general principle, and gNB-CU/DU architecture principle into account."</w:t>
      </w:r>
    </w:p>
    <w:p>
      <w:pPr>
        <w:pStyle w:val="Normal"/>
        <w:rPr/>
      </w:pPr>
      <w:r>
        <w:rPr/>
        <w:t>In this clause, the functions and procedures of the open interface between CU-CP and CU-UP are discussed.</w:t>
      </w:r>
    </w:p>
    <w:p>
      <w:pPr>
        <w:pStyle w:val="Heading2"/>
        <w:rPr/>
      </w:pPr>
      <w:bookmarkStart w:id="19" w:name="__RefHeading___Toc503999425"/>
      <w:r>
        <w:rPr/>
        <w:t>5.2</w:t>
        <w:tab/>
        <w:t>Interface Name</w:t>
      </w:r>
      <w:bookmarkEnd w:id="19"/>
      <w:r>
        <w:rPr/>
        <w:t xml:space="preserve"> </w:t>
      </w:r>
    </w:p>
    <w:p>
      <w:pPr>
        <w:pStyle w:val="Normal"/>
        <w:rPr/>
      </w:pPr>
      <w:r>
        <w:rPr/>
        <w:t>The open interface between CU-CP and CU-UP is named E1.</w:t>
      </w:r>
    </w:p>
    <w:p>
      <w:pPr>
        <w:pStyle w:val="Heading2"/>
        <w:rPr/>
      </w:pPr>
      <w:bookmarkStart w:id="20" w:name="__RefHeading___Toc503999426"/>
      <w:r>
        <w:rPr/>
        <w:t>5.3</w:t>
        <w:tab/>
        <w:t>Architecture</w:t>
      </w:r>
      <w:bookmarkEnd w:id="20"/>
      <w:r>
        <w:rPr/>
        <w:t xml:space="preserve">  </w:t>
      </w:r>
    </w:p>
    <w:p>
      <w:pPr>
        <w:pStyle w:val="Normal"/>
        <w:rPr/>
      </w:pPr>
      <w:r>
        <w:rPr/>
        <w:t>The architecture is depicted in Figure 5.3-1.</w:t>
      </w:r>
    </w:p>
    <w:p>
      <w:pPr>
        <w:pStyle w:val="TH"/>
        <w:rPr/>
      </w:pPr>
      <w:r>
        <w:rPr/>
        <w:object w:dxaOrig="5541" w:dyaOrig="3681">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233.95pt;height:156.75pt" filled="f" o:ole="">
            <v:imagedata r:id="rId7" o:title=""/>
          </v:shape>
          <o:OLEObject Type="Embed" ProgID="" ShapeID="ole_rId6" DrawAspect="Content" ObjectID="_390780442" r:id="rId6"/>
        </w:object>
      </w:r>
    </w:p>
    <w:p>
      <w:pPr>
        <w:pStyle w:val="TF"/>
        <w:rPr/>
      </w:pPr>
      <w:r>
        <w:rPr/>
        <w:t>Figure 5.3-1: Overall RAN architecture with CU-CP and CU-UP separation</w:t>
      </w:r>
    </w:p>
    <w:p>
      <w:pPr>
        <w:pStyle w:val="Normal"/>
        <w:rPr/>
      </w:pPr>
      <w:r>
        <w:rPr/>
        <w:t>The architecture in Figure 5.2-1 is described as follows:</w:t>
      </w:r>
    </w:p>
    <w:p>
      <w:pPr>
        <w:pStyle w:val="B1"/>
        <w:rPr/>
      </w:pPr>
      <w:r>
        <w:rPr/>
        <w:t>-</w:t>
        <w:tab/>
        <w:t>A gNB may consist of a CU-CP, multiple CU-UPs and multiple DUs;</w:t>
      </w:r>
    </w:p>
    <w:p>
      <w:pPr>
        <w:pStyle w:val="B1"/>
        <w:rPr/>
      </w:pPr>
      <w:r>
        <w:rPr/>
        <w:t>-</w:t>
        <w:tab/>
        <w:t>The CU-CP is connected to the DU through the F1-C interface;</w:t>
      </w:r>
    </w:p>
    <w:p>
      <w:pPr>
        <w:pStyle w:val="B1"/>
        <w:rPr/>
      </w:pPr>
      <w:r>
        <w:rPr/>
        <w:t>-</w:t>
        <w:tab/>
        <w:t>The CU-UP is connected to the DU through the F1-U interface;</w:t>
      </w:r>
    </w:p>
    <w:p>
      <w:pPr>
        <w:pStyle w:val="B1"/>
        <w:rPr/>
      </w:pPr>
      <w:r>
        <w:rPr/>
        <w:t>-</w:t>
        <w:tab/>
        <w:t>The CU-UP is connected to the CU-CP through the E1 interface;</w:t>
      </w:r>
    </w:p>
    <w:p>
      <w:pPr>
        <w:pStyle w:val="B1"/>
        <w:rPr/>
      </w:pPr>
      <w:r>
        <w:rPr/>
        <w:t>-</w:t>
        <w:tab/>
        <w:t>One DU is connected to only one CU-CP;</w:t>
      </w:r>
    </w:p>
    <w:p>
      <w:pPr>
        <w:pStyle w:val="B1"/>
        <w:rPr/>
      </w:pPr>
      <w:r>
        <w:rPr/>
        <w:t>-</w:t>
        <w:tab/>
      </w:r>
      <w:r>
        <w:rPr>
          <w:iCs/>
        </w:rPr>
        <w:t>One CU-UP is connected to only one CU-CP;</w:t>
      </w:r>
    </w:p>
    <w:p>
      <w:pPr>
        <w:pStyle w:val="NO"/>
        <w:rPr/>
      </w:pPr>
      <w:r>
        <w:rPr/>
        <w:t>NOTE 1:</w:t>
        <w:tab/>
        <w:t>For resiliency, a DU and/or a CU-UP may be connected to multiple CU-CPs by appropriate implementation.</w:t>
      </w:r>
    </w:p>
    <w:p>
      <w:pPr>
        <w:pStyle w:val="B1"/>
        <w:rPr/>
      </w:pPr>
      <w:r>
        <w:rPr/>
        <w:t>-</w:t>
        <w:tab/>
        <w:t>One DU can be connected to multiple CU-UPs under the control of the same CU-CP;</w:t>
      </w:r>
    </w:p>
    <w:p>
      <w:pPr>
        <w:pStyle w:val="B1"/>
        <w:rPr/>
      </w:pPr>
      <w:r>
        <w:rPr/>
        <w:t>-</w:t>
        <w:tab/>
        <w:t>One CU-UP can be connected to multiple DUs under the control of the same CU-CP.</w:t>
      </w:r>
    </w:p>
    <w:p>
      <w:pPr>
        <w:pStyle w:val="NO"/>
        <w:rPr/>
      </w:pPr>
      <w:r>
        <w:rPr/>
        <w:t>NOTE 2:</w:t>
        <w:tab/>
        <w:t>The connectivity between a CU-UP and a DU is established by the CU-CP using e.g., Bearer or UE Context Management functions.</w:t>
      </w:r>
    </w:p>
    <w:p>
      <w:pPr>
        <w:pStyle w:val="NO"/>
        <w:rPr/>
      </w:pPr>
      <w:r>
        <w:rPr/>
        <w:t>NOTE 3:</w:t>
        <w:tab/>
        <w:t>The CU-CP selects the appropriate CU-UP(s) for the requested services for the UE.</w:t>
      </w:r>
    </w:p>
    <w:p>
      <w:pPr>
        <w:pStyle w:val="NO"/>
        <w:rPr/>
      </w:pPr>
      <w:r>
        <w:rPr/>
        <w:t>NOTE 4:</w:t>
        <w:tab/>
        <w:t>Data forwarding between CU-UPs should be defined (e.g., reuse Xn-U, E1-U) during the normative work.</w:t>
      </w:r>
    </w:p>
    <w:p>
      <w:pPr>
        <w:pStyle w:val="Heading2"/>
        <w:rPr/>
      </w:pPr>
      <w:bookmarkStart w:id="21" w:name="__RefHeading___Toc503999427"/>
      <w:bookmarkEnd w:id="21"/>
      <w:r>
        <w:rPr/>
        <w:t>5.4</w:t>
        <w:tab/>
        <w:t>E1 Interface General Principles</w:t>
      </w:r>
    </w:p>
    <w:p>
      <w:pPr>
        <w:pStyle w:val="Normal"/>
        <w:rPr/>
      </w:pPr>
      <w:r>
        <w:rPr/>
        <w:t>The general principles for the specification of the F1 interface are as follows:</w:t>
      </w:r>
    </w:p>
    <w:p>
      <w:pPr>
        <w:pStyle w:val="B1"/>
        <w:rPr/>
      </w:pPr>
      <w:r>
        <w:rPr/>
        <w:t>-</w:t>
        <w:tab/>
        <w:t>the E1 interface is open;</w:t>
      </w:r>
    </w:p>
    <w:p>
      <w:pPr>
        <w:pStyle w:val="B1"/>
        <w:rPr/>
      </w:pPr>
      <w:r>
        <w:rPr/>
        <w:t>-</w:t>
        <w:tab/>
        <w:t>the E1 interface supports the exchange of signalling information between the endpoints;</w:t>
      </w:r>
    </w:p>
    <w:p>
      <w:pPr>
        <w:pStyle w:val="B1"/>
        <w:rPr/>
      </w:pPr>
      <w:r>
        <w:rPr/>
        <w:t>-</w:t>
        <w:tab/>
        <w:t xml:space="preserve">from a logical standpoint, the E1 is a point-to-point interface between a CU-CP and a CU-UP. </w:t>
      </w:r>
    </w:p>
    <w:p>
      <w:pPr>
        <w:pStyle w:val="NO"/>
        <w:rPr/>
      </w:pPr>
      <w:r>
        <w:rPr/>
        <w:t>NOTE 1:</w:t>
        <w:tab/>
        <w:t>A point-to-point logical interface should be feasible even in the absence of a physical direct connection between the endpoints.</w:t>
      </w:r>
    </w:p>
    <w:p>
      <w:pPr>
        <w:pStyle w:val="B1"/>
        <w:rPr/>
      </w:pPr>
      <w:r>
        <w:rPr/>
        <w:t>-</w:t>
        <w:tab/>
        <w:t>the E1 interface separates Radio Network Layer and Transport Network Layer;</w:t>
      </w:r>
    </w:p>
    <w:p>
      <w:pPr>
        <w:pStyle w:val="B1"/>
        <w:rPr/>
      </w:pPr>
      <w:r>
        <w:rPr/>
        <w:t>-</w:t>
        <w:tab/>
        <w:t>the E1 interface enables exchange of UE associated information and non-UE associated information;</w:t>
      </w:r>
    </w:p>
    <w:p>
      <w:pPr>
        <w:pStyle w:val="B1"/>
        <w:rPr/>
      </w:pPr>
      <w:r>
        <w:rPr/>
        <w:t>-</w:t>
        <w:tab/>
        <w:t>the E1 interface is future proof to fulfil different new requirements, support of new services and new functions.</w:t>
      </w:r>
    </w:p>
    <w:p>
      <w:pPr>
        <w:pStyle w:val="NO"/>
        <w:rPr/>
      </w:pPr>
      <w:r>
        <w:rPr/>
        <w:t>NOTE 2:</w:t>
        <w:tab/>
        <w:t xml:space="preserve">The E1 interface is a control interface and is not used for user data forwarding. </w:t>
      </w:r>
    </w:p>
    <w:p>
      <w:pPr>
        <w:pStyle w:val="Heading2"/>
        <w:rPr/>
      </w:pPr>
      <w:bookmarkStart w:id="22" w:name="__RefHeading___Toc503999428"/>
      <w:r>
        <w:rPr/>
        <w:t>5.5</w:t>
        <w:tab/>
        <w:t>E1 Interface Protocols and Protocol Structure</w:t>
      </w:r>
      <w:bookmarkEnd w:id="22"/>
      <w:r>
        <w:rPr/>
        <w:t xml:space="preserve"> </w:t>
      </w:r>
    </w:p>
    <w:p>
      <w:pPr>
        <w:pStyle w:val="Normal"/>
        <w:rPr/>
      </w:pPr>
      <w:r>
        <w:rPr/>
        <w:t>Figure 5.5-1 shows the protocol structure for E1. The TNL is based on IP transport, comprising the SCTP on top of IP. The application layer signalling protocol is referred to as E1AP (E1 Application Protocol).</w:t>
      </w:r>
    </w:p>
    <w:p>
      <w:pPr>
        <w:pStyle w:val="TH"/>
        <w:rPr/>
      </w:pPr>
      <w:r>
        <w:rPr/>
        <w:object w:dxaOrig="3840" w:dyaOrig="3405">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185.25pt;height:166.15pt" filled="f" o:ole="">
            <v:imagedata r:id="rId9" o:title=""/>
          </v:shape>
          <o:OLEObject Type="Embed" ProgID="" ShapeID="ole_rId8" DrawAspect="Content" ObjectID="_1353002096" r:id="rId8"/>
        </w:object>
      </w:r>
    </w:p>
    <w:p>
      <w:pPr>
        <w:pStyle w:val="TF"/>
        <w:rPr/>
      </w:pPr>
      <w:r>
        <w:rPr/>
        <w:t>Figure 5.5-1: Interface protocol structure for E1</w:t>
      </w:r>
    </w:p>
    <w:p>
      <w:pPr>
        <w:pStyle w:val="Heading2"/>
        <w:rPr/>
      </w:pPr>
      <w:bookmarkStart w:id="23" w:name="__RefHeading___Toc503999429"/>
      <w:bookmarkEnd w:id="23"/>
      <w:r>
        <w:rPr/>
        <w:t>5.6</w:t>
        <w:tab/>
        <w:t>E1 Interface Functions and Procedures</w:t>
      </w:r>
    </w:p>
    <w:p>
      <w:pPr>
        <w:pStyle w:val="Heading3"/>
        <w:rPr/>
      </w:pPr>
      <w:bookmarkStart w:id="24" w:name="__RefHeading___Toc503999430"/>
      <w:bookmarkEnd w:id="24"/>
      <w:r>
        <w:rPr/>
        <w:t>5.6.1</w:t>
        <w:tab/>
        <w:t>Introduction</w:t>
      </w:r>
    </w:p>
    <w:p>
      <w:pPr>
        <w:pStyle w:val="Normal"/>
        <w:rPr/>
      </w:pPr>
      <w:r>
        <w:rPr/>
        <w:t>The following clauses describe the basic functions supported over the E1 interface.</w:t>
      </w:r>
    </w:p>
    <w:p>
      <w:pPr>
        <w:pStyle w:val="Heading3"/>
        <w:rPr/>
      </w:pPr>
      <w:bookmarkStart w:id="25" w:name="__RefHeading___Toc503999431"/>
      <w:bookmarkEnd w:id="25"/>
      <w:r>
        <w:rPr/>
        <w:t>5.6.2</w:t>
        <w:tab/>
        <w:t>Non-UE-associated E1 functions</w:t>
      </w:r>
    </w:p>
    <w:p>
      <w:pPr>
        <w:pStyle w:val="Heading4"/>
        <w:ind w:left="1418" w:hanging="1418"/>
        <w:rPr/>
      </w:pPr>
      <w:bookmarkStart w:id="26" w:name="__RefHeading___Toc503999432"/>
      <w:r>
        <w:rPr/>
        <w:t>5.6.2.1</w:t>
        <w:tab/>
        <w:t>E1 interface management function</w:t>
      </w:r>
      <w:bookmarkEnd w:id="26"/>
      <w:r>
        <w:rPr/>
        <w:t xml:space="preserve"> </w:t>
      </w:r>
    </w:p>
    <w:p>
      <w:pPr>
        <w:pStyle w:val="Normal"/>
        <w:spacing w:before="0" w:after="144"/>
        <w:rPr/>
      </w:pPr>
      <w:r>
        <w:rPr/>
        <w:t>This function allows to set-up and manage an E1 interface between CU-CP and CU-UP. The E1 interface management function includes the following procedures:</w:t>
      </w:r>
    </w:p>
    <w:p>
      <w:pPr>
        <w:pStyle w:val="B1"/>
        <w:rPr/>
      </w:pPr>
      <w:r>
        <w:rPr>
          <w:i/>
        </w:rPr>
        <w:t>-</w:t>
        <w:tab/>
        <w:t>E1 setup</w:t>
      </w:r>
      <w:r>
        <w:rPr/>
        <w:t>: this procedure allows to setup the E1 interface. It includes the exchange of the parameters needed for interface operation.</w:t>
      </w:r>
    </w:p>
    <w:p>
      <w:pPr>
        <w:pStyle w:val="B1"/>
        <w:rPr/>
      </w:pPr>
      <w:r>
        <w:rPr>
          <w:i/>
        </w:rPr>
        <w:t>-</w:t>
        <w:tab/>
        <w:t>E1 reset</w:t>
      </w:r>
      <w:r>
        <w:rPr/>
        <w:t>: this procedure allows to reset the E1 interface. It is used to initialize the peer entity after node setup and after a failure event occurred. The E1 interface reset is initiated by either the CU-CP or the CU-UP.</w:t>
      </w:r>
    </w:p>
    <w:p>
      <w:pPr>
        <w:pStyle w:val="B1"/>
        <w:rPr/>
      </w:pPr>
      <w:r>
        <w:rPr>
          <w:i/>
        </w:rPr>
        <w:t>-</w:t>
        <w:tab/>
        <w:t>E1 error indication</w:t>
      </w:r>
      <w:r>
        <w:rPr/>
        <w:t xml:space="preserve">: this procedure allows to </w:t>
      </w:r>
      <w:r>
        <w:rPr>
          <w:rFonts w:eastAsia="Yu Mincho"/>
        </w:rPr>
        <w:t xml:space="preserve">report detected errors in one incoming message. </w:t>
      </w:r>
      <w:r>
        <w:rPr/>
        <w:t>The E1 interface reset is initiated by either the CU-CP or the CU-UP.</w:t>
      </w:r>
    </w:p>
    <w:p>
      <w:pPr>
        <w:pStyle w:val="NO"/>
        <w:rPr/>
      </w:pPr>
      <w:r>
        <w:rPr/>
        <w:t>NOTE:</w:t>
        <w:tab/>
        <w:t>Whether E1 setup should be triggered by CU-CP or CU-UP or both should be solved during normative phase.</w:t>
      </w:r>
    </w:p>
    <w:p>
      <w:pPr>
        <w:pStyle w:val="Heading3"/>
        <w:rPr>
          <w:b/>
          <w:b/>
        </w:rPr>
      </w:pPr>
      <w:bookmarkStart w:id="27" w:name="__RefHeading___Toc503999433"/>
      <w:bookmarkEnd w:id="27"/>
      <w:r>
        <w:rPr/>
        <w:t>5.6.3</w:t>
        <w:tab/>
        <w:t>UE-associated E1 functions</w:t>
      </w:r>
    </w:p>
    <w:p>
      <w:pPr>
        <w:pStyle w:val="Heading4"/>
        <w:ind w:left="1418" w:hanging="1418"/>
        <w:rPr/>
      </w:pPr>
      <w:bookmarkStart w:id="28" w:name="__RefHeading___Toc503999434"/>
      <w:r>
        <w:rPr/>
        <w:t>5.6.3.1</w:t>
        <w:tab/>
        <w:t>Bearer management function</w:t>
      </w:r>
      <w:bookmarkEnd w:id="28"/>
      <w:r>
        <w:rPr/>
        <w:t xml:space="preserve"> </w:t>
      </w:r>
    </w:p>
    <w:p>
      <w:pPr>
        <w:pStyle w:val="Normal"/>
        <w:rPr/>
      </w:pPr>
      <w:r>
        <w:rPr/>
        <w:t>This function allows the CU-CP to setup, modify, and release the data radio bearers (DRBs) in the CU-UP. The Bearer management functions includes the following procedures:</w:t>
      </w:r>
    </w:p>
    <w:p>
      <w:pPr>
        <w:pStyle w:val="B1"/>
        <w:rPr/>
      </w:pPr>
      <w:r>
        <w:rPr>
          <w:i/>
        </w:rPr>
        <w:t>-</w:t>
        <w:tab/>
        <w:t>DRB setup</w:t>
      </w:r>
      <w:r>
        <w:rPr/>
        <w:t>: this procedure allows the CU-CP to setup DRBs in the CU-UP, including the QoS-flow to DRB mapping configuration.</w:t>
      </w:r>
    </w:p>
    <w:p>
      <w:pPr>
        <w:pStyle w:val="B1"/>
        <w:rPr/>
      </w:pPr>
      <w:r>
        <w:rPr>
          <w:i/>
        </w:rPr>
        <w:t>-</w:t>
        <w:tab/>
        <w:t>DRB modification</w:t>
      </w:r>
      <w:r>
        <w:rPr/>
        <w:t>: this procedure allows the CU-CP to modify DRBs in the CU-</w:t>
      </w:r>
      <w:r>
        <w:rPr>
          <w:u w:val="single"/>
        </w:rPr>
        <w:t>UP</w:t>
      </w:r>
      <w:r>
        <w:rPr/>
        <w:t xml:space="preserve">, including the modification of the QoS-flow to DRB mapping configuration. It can also be used to suspend/resume data transmission. </w:t>
      </w:r>
    </w:p>
    <w:p>
      <w:pPr>
        <w:pStyle w:val="B1"/>
        <w:rPr>
          <w:i/>
          <w:i/>
          <w:lang w:eastAsia="ja-JP"/>
        </w:rPr>
      </w:pPr>
      <w:r>
        <w:rPr>
          <w:i/>
        </w:rPr>
        <w:t>-</w:t>
        <w:tab/>
        <w:t>DRB release</w:t>
      </w:r>
      <w:r>
        <w:rPr/>
        <w:t xml:space="preserve">: this procedure allows the CU-CP to release DRBs in the CU-UP. It also allows the CU-UP to request the release of DRBs to the CU-CP (e.g., due to inactivity). </w:t>
      </w:r>
    </w:p>
    <w:p>
      <w:pPr>
        <w:pStyle w:val="B1"/>
        <w:rPr>
          <w:i/>
          <w:i/>
          <w:lang w:eastAsia="ja-JP"/>
        </w:rPr>
      </w:pPr>
      <w:r>
        <w:rPr>
          <w:i/>
          <w:lang w:eastAsia="ja-JP"/>
        </w:rPr>
        <w:t>-</w:t>
        <w:tab/>
        <w:t xml:space="preserve">DL Data Notification: </w:t>
      </w:r>
      <w:r>
        <w:rPr>
          <w:lang w:eastAsia="ja-JP"/>
        </w:rPr>
        <w:t xml:space="preserve">this procedure allows the CU-CP to inform the CU-UP in case of new incoming DL traffic for a bearer that was previously suspended. </w:t>
      </w:r>
    </w:p>
    <w:p>
      <w:pPr>
        <w:pStyle w:val="NO"/>
        <w:rPr/>
      </w:pPr>
      <w:r>
        <w:rPr/>
        <w:t>NOTE 1:</w:t>
        <w:tab/>
        <w:t>The DRB Setup and DRB Modification functions might be used by the CU-CP to inform the CU-UP about the reflective QoS configuration in favour of a dedicated procedure.</w:t>
      </w:r>
    </w:p>
    <w:p>
      <w:pPr>
        <w:pStyle w:val="NO"/>
        <w:rPr/>
      </w:pPr>
      <w:r>
        <w:rPr/>
        <w:t>NOTE 2:</w:t>
        <w:tab/>
        <w:t>The DRB Setup and DRB Modification functions may also be used to support the reflective QoS in CP/UP separation.</w:t>
      </w:r>
    </w:p>
    <w:p>
      <w:pPr>
        <w:pStyle w:val="Heading3"/>
        <w:rPr>
          <w:b/>
          <w:b/>
        </w:rPr>
      </w:pPr>
      <w:bookmarkStart w:id="29" w:name="__RefHeading___Toc503999435"/>
      <w:bookmarkEnd w:id="29"/>
      <w:r>
        <w:rPr/>
        <w:t>5.6.4</w:t>
        <w:tab/>
        <w:t>Additional E1 functions</w:t>
      </w:r>
    </w:p>
    <w:p>
      <w:pPr>
        <w:pStyle w:val="Normal"/>
        <w:rPr>
          <w:lang w:eastAsia="ja-JP"/>
        </w:rPr>
      </w:pPr>
      <w:r>
        <w:rPr>
          <w:lang w:eastAsia="ja-JP"/>
        </w:rPr>
        <w:t xml:space="preserve">The following functions have also been discussed: </w:t>
      </w:r>
    </w:p>
    <w:p>
      <w:pPr>
        <w:pStyle w:val="B1"/>
        <w:rPr>
          <w:lang w:eastAsia="ja-JP"/>
        </w:rPr>
      </w:pPr>
      <w:r>
        <w:rPr>
          <w:lang w:eastAsia="ja-JP"/>
        </w:rPr>
        <w:t>-</w:t>
        <w:tab/>
        <w:t>E1 Load Management: this procedure allows CU-UP and CU-CP to exchange load information. T</w:t>
      </w:r>
      <w:r>
        <w:rPr>
          <w:color w:val="000000"/>
        </w:rPr>
        <w:t>his function may also include information related to flow control;</w:t>
      </w:r>
    </w:p>
    <w:p>
      <w:pPr>
        <w:pStyle w:val="B1"/>
        <w:rPr/>
      </w:pPr>
      <w:r>
        <w:rPr>
          <w:lang w:eastAsia="ja-JP"/>
        </w:rPr>
        <w:t>-</w:t>
        <w:tab/>
        <w:t>E1 Configuration Update;</w:t>
      </w:r>
      <w:r>
        <w:rPr/>
        <w:t xml:space="preserve"> </w:t>
      </w:r>
      <w:r>
        <w:rPr>
          <w:lang w:eastAsia="ja-JP"/>
        </w:rPr>
        <w:t>this procedure supports updates in CU-UP configuration;</w:t>
      </w:r>
    </w:p>
    <w:p>
      <w:pPr>
        <w:pStyle w:val="B1"/>
        <w:rPr/>
      </w:pPr>
      <w:r>
        <w:rPr>
          <w:lang w:eastAsia="ja-JP"/>
        </w:rPr>
        <w:t>-</w:t>
        <w:tab/>
        <w:t>Inactivity Detection: This procedure allows CU-UP to indicate that the inactivity timer associated with a UE expires or that the user data is received for a UE whose inactivity timer has expired;</w:t>
      </w:r>
    </w:p>
    <w:p>
      <w:pPr>
        <w:pStyle w:val="B1"/>
        <w:rPr>
          <w:lang w:eastAsia="ja-JP"/>
        </w:rPr>
      </w:pPr>
      <w:r>
        <w:rPr/>
        <w:t>-</w:t>
        <w:tab/>
        <w:t xml:space="preserve">over NG-U interface associated with a new QoS Flow ID (QFI) for which the QoS parameters are already available in the CU-UP, and there is no association to an existent DRB. The discussion on this function is also dependent on whether this use-case will be supported. </w:t>
      </w:r>
    </w:p>
    <w:p>
      <w:pPr>
        <w:pStyle w:val="Normal"/>
        <w:rPr>
          <w:lang w:eastAsia="ja-JP"/>
        </w:rPr>
      </w:pPr>
      <w:r>
        <w:rPr>
          <w:lang w:eastAsia="ja-JP"/>
        </w:rPr>
        <w:t xml:space="preserve">These functions and additional E1 functions should be further discussed in normative phase. </w:t>
      </w:r>
    </w:p>
    <w:p>
      <w:pPr>
        <w:pStyle w:val="Heading2"/>
        <w:rPr/>
      </w:pPr>
      <w:bookmarkStart w:id="30" w:name="__RefHeading___Toc503999436"/>
      <w:bookmarkEnd w:id="30"/>
      <w:r>
        <w:rPr/>
        <w:t>5.7</w:t>
        <w:tab/>
        <w:t>Idle to Connected State Transition</w:t>
      </w:r>
    </w:p>
    <w:p>
      <w:pPr>
        <w:pStyle w:val="B1"/>
        <w:spacing w:before="0" w:after="240"/>
        <w:ind w:left="0" w:hanging="0"/>
        <w:rPr/>
      </w:pPr>
      <w:r>
        <w:rPr/>
        <w:t>This clause shows the example procedure for the Idle to Connected state transition with E1, assuming that the CU-CP allocates the UL TEIDs. Alternatively, the mechanism where CU-UP allocates the UL TEIDs was also recognized.</w:t>
      </w:r>
    </w:p>
    <w:p>
      <w:pPr>
        <w:pStyle w:val="NO"/>
        <w:rPr/>
      </w:pPr>
      <w:r>
        <w:rPr/>
        <w:t>NOTE 1:</w:t>
        <w:tab/>
        <w:t>The detailed procedure for F1 and NG should be aligned with the latest specification during the normative phase.</w:t>
      </w:r>
    </w:p>
    <w:p>
      <w:pPr>
        <w:pStyle w:val="B1"/>
        <w:spacing w:before="0" w:after="240"/>
        <w:ind w:left="0" w:hanging="0"/>
        <w:rPr/>
      </w:pPr>
      <w:r>
        <w:rPr/>
        <w:t xml:space="preserve">The call-flow has the following steps: </w:t>
      </w:r>
    </w:p>
    <w:p>
      <w:pPr>
        <w:pStyle w:val="B1"/>
        <w:rPr/>
      </w:pPr>
      <w:r>
        <w:rPr/>
        <w:t>1-2. UE performs random access procedure.</w:t>
      </w:r>
    </w:p>
    <w:p>
      <w:pPr>
        <w:pStyle w:val="B1"/>
        <w:rPr/>
      </w:pPr>
      <w:r>
        <w:rPr/>
        <w:t>3. UE sends an RRC CONNECTION REQUEST. This message will at least include a CN UE temporary identifier.</w:t>
      </w:r>
    </w:p>
    <w:p>
      <w:pPr>
        <w:pStyle w:val="B1"/>
        <w:rPr/>
      </w:pPr>
      <w:r>
        <w:rPr/>
        <w:t>4a. Network responds with a L2 contention resolution message. In the L2 message the content of the RRC CONNECTION REQUEST is echoed back to the UE. This message can be sent before or after step 4b.</w:t>
      </w:r>
    </w:p>
    <w:p>
      <w:pPr>
        <w:pStyle w:val="B1"/>
        <w:rPr/>
      </w:pPr>
      <w:r>
        <w:rPr/>
        <w:t>4b. The DU forwards the UE RRC message to the CU-CP in an F1-AP INITIAL UL RRC MESSAGE TRANSFER. This message includes additional information such as a F1-AP UE identifier, UE assigned C-RNTI and lower layer configuration.</w:t>
      </w:r>
    </w:p>
    <w:p>
      <w:pPr>
        <w:pStyle w:val="B1"/>
        <w:rPr/>
      </w:pPr>
      <w:r>
        <w:rPr/>
        <w:t>5. In case the CU-CP decides to accept the UE it will generate an RRC CONNECTION SETUP message and send this message in an F1-AP DL RRC TRANSFER message to the DU. In addition to the RRC message the F1-AP message contains an F1-AP UE identifier. The content of the RRC message may include information received from the DU in previous step.</w:t>
      </w:r>
    </w:p>
    <w:p>
      <w:pPr>
        <w:pStyle w:val="B1"/>
        <w:rPr/>
      </w:pPr>
      <w:r>
        <w:rPr/>
        <w:t>6-7. The RRC connection is setup over the radio.</w:t>
      </w:r>
    </w:p>
    <w:p>
      <w:pPr>
        <w:pStyle w:val="B1"/>
        <w:rPr/>
      </w:pPr>
      <w:r>
        <w:rPr/>
        <w:t>8. The DU forwards the UE RRC message to the CU-CP. The forwarded RRC message may contain NAS information, information related to CN node selection and slicing information, etc.</w:t>
      </w:r>
    </w:p>
    <w:p>
      <w:pPr>
        <w:pStyle w:val="B1"/>
        <w:rPr/>
      </w:pPr>
      <w:r>
        <w:rPr/>
        <w:t xml:space="preserve">9. The CU-CP sends an NG-AP INITIAL UE MESSAGE to the 5GC. </w:t>
      </w:r>
    </w:p>
    <w:p>
      <w:pPr>
        <w:pStyle w:val="B1"/>
        <w:rPr/>
      </w:pPr>
      <w:r>
        <w:rPr/>
        <w:t xml:space="preserve">10. In case the 5GC decides to setup the UE context it will send an NG-AP INITIAL CONTEXT SETUP REQUEST message. </w:t>
      </w:r>
    </w:p>
    <w:p>
      <w:pPr>
        <w:pStyle w:val="B1"/>
        <w:rPr/>
      </w:pPr>
      <w:r>
        <w:rPr/>
        <w:t>11. At this point the RAN receives the UE context and may initiate several procedures which some may happen in parallel.</w:t>
      </w:r>
    </w:p>
    <w:p>
      <w:pPr>
        <w:pStyle w:val="TH"/>
        <w:rPr/>
      </w:pPr>
      <w:r>
        <w:rPr/>
        <w:object w:dxaOrig="18344" w:dyaOrig="13103">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455.95pt;height:328.6pt" filled="f" o:ole="">
            <v:imagedata r:id="rId11" o:title=""/>
          </v:shape>
          <o:OLEObject Type="Embed" ProgID="" ShapeID="ole_rId10" DrawAspect="Content" ObjectID="_997913855" r:id="rId10"/>
        </w:object>
      </w:r>
    </w:p>
    <w:p>
      <w:pPr>
        <w:pStyle w:val="TF"/>
        <w:rPr/>
      </w:pPr>
      <w:r>
        <w:rPr/>
        <w:t>Figure 5.7-1: Interface protocol structure for E1</w:t>
      </w:r>
    </w:p>
    <w:p>
      <w:pPr>
        <w:pStyle w:val="B1"/>
        <w:rPr/>
      </w:pPr>
      <w:r>
        <w:rPr/>
        <w:t>11a-14a. These steps correspond to the security mode command procedure triggering the setup of UE security. From this point on subsequent radio signalling or data will be encrypted and the signalling will be integrity protected. These steps can be performed in parallel to 11b-14b.</w:t>
      </w:r>
    </w:p>
    <w:p>
      <w:pPr>
        <w:pStyle w:val="B1"/>
        <w:rPr/>
      </w:pPr>
      <w:r>
        <w:rPr/>
        <w:t xml:space="preserve">11b-14b. Involves setting up resources in the DU and CU-UP for the particular UE. In the call flow, it is shown that the CU-CP first sends F1-AP UE CONTEXT SETUP REQUEST to the DU and after receiving the F1-AP UE CONTEXT SETUP RESPONSE the CU-CP sets up a bearer in the CU-UP. </w:t>
      </w:r>
    </w:p>
    <w:p>
      <w:pPr>
        <w:pStyle w:val="NO"/>
        <w:rPr/>
      </w:pPr>
      <w:r>
        <w:rPr/>
        <w:t>NOTE 2:</w:t>
        <w:tab/>
        <w:t>In case that the CU-UP allocates the UL TEIDs, two additional messages need to be exchanged between CU-CP and CU-UP, so that the CU-CP can retrieve the UL TEIDs before step 11b.</w:t>
      </w:r>
    </w:p>
    <w:p>
      <w:pPr>
        <w:pStyle w:val="B1"/>
        <w:spacing w:before="0" w:after="240"/>
        <w:ind w:left="0" w:hanging="0"/>
        <w:rPr/>
      </w:pPr>
      <w:r>
        <w:rPr/>
        <w:t>In step 11b the DU is provided with UE context information including UE radio access capabilities, UE DRB, UL GTP TEID and QoS related information. The DU then configures and allocates resources for the UE. In step 12b the lower layer configuration of the DRBs are provided to the CU-CP.</w:t>
      </w:r>
    </w:p>
    <w:p>
      <w:pPr>
        <w:pStyle w:val="B1"/>
        <w:rPr/>
      </w:pPr>
      <w:r>
        <w:rPr/>
        <w:t xml:space="preserve">15. The CU generates an RRC CONNECTION RECONFIGURATION message and sends it down to the DU. This step need to be performed after 11b-12b since the RRC message contains lower layer configuration of the DRBs provided by the DU. Step 15 can happen before 14a and 14b. </w:t>
      </w:r>
    </w:p>
    <w:p>
      <w:pPr>
        <w:pStyle w:val="B1"/>
        <w:rPr/>
      </w:pPr>
      <w:r>
        <w:rPr/>
        <w:t>16-17. RRC reconfiguration procedure. After this procedure, UL data transmission can start.</w:t>
      </w:r>
    </w:p>
    <w:p>
      <w:pPr>
        <w:pStyle w:val="B1"/>
        <w:rPr/>
      </w:pPr>
      <w:r>
        <w:rPr/>
        <w:t xml:space="preserve">18. The DU </w:t>
      </w:r>
      <w:r>
        <w:rPr>
          <w:rFonts w:cs="Arial"/>
        </w:rPr>
        <w:t>encapsulates the RRC message in F1-AP UL RRC MESSAGE TRANSFER message and sends</w:t>
      </w:r>
      <w:r>
        <w:rPr/>
        <w:t xml:space="preserve"> to the CU-CP.</w:t>
      </w:r>
    </w:p>
    <w:p>
      <w:pPr>
        <w:pStyle w:val="B1"/>
        <w:rPr/>
      </w:pPr>
      <w:r>
        <w:rPr/>
        <w:t>19. The CU-CP acknowledges the context setup request from the 5GC. It also provides the 5GC with GTP TEIDs for the CU-UP.</w:t>
      </w:r>
    </w:p>
    <w:p>
      <w:pPr>
        <w:pStyle w:val="Heading2"/>
        <w:rPr/>
      </w:pPr>
      <w:bookmarkStart w:id="31" w:name="__RefHeading___Toc503999437"/>
      <w:bookmarkEnd w:id="31"/>
      <w:r>
        <w:rPr/>
        <w:t>5.8</w:t>
        <w:tab/>
        <w:t>Xn Handover</w:t>
      </w:r>
    </w:p>
    <w:p>
      <w:pPr>
        <w:pStyle w:val="Heading3"/>
        <w:rPr/>
      </w:pPr>
      <w:bookmarkStart w:id="32" w:name="__RefHeading___Toc503999438"/>
      <w:r>
        <w:rPr/>
        <w:t>5.8.1</w:t>
        <w:tab/>
        <w:t>Introduction</w:t>
      </w:r>
      <w:bookmarkEnd w:id="32"/>
      <w:r>
        <w:rPr/>
        <w:t xml:space="preserve"> </w:t>
      </w:r>
    </w:p>
    <w:p>
      <w:pPr>
        <w:pStyle w:val="B1"/>
        <w:spacing w:before="0" w:after="120"/>
        <w:ind w:left="0" w:hanging="0"/>
        <w:rPr/>
      </w:pPr>
      <w:r>
        <w:rPr/>
        <w:t>The following clauses shows 2 variants with regards of the Xn handover procedure.</w:t>
      </w:r>
    </w:p>
    <w:p>
      <w:pPr>
        <w:pStyle w:val="NO"/>
        <w:rPr/>
      </w:pPr>
      <w:r>
        <w:rPr/>
        <w:t>NOTE:</w:t>
        <w:tab/>
        <w:t>The detailed procedure for F1 and NG should be aligned with the latest specification during the normative phase.</w:t>
      </w:r>
    </w:p>
    <w:p>
      <w:pPr>
        <w:pStyle w:val="Heading3"/>
        <w:rPr/>
      </w:pPr>
      <w:bookmarkStart w:id="33" w:name="__RefHeading___Toc503999439"/>
      <w:bookmarkEnd w:id="33"/>
      <w:r>
        <w:rPr/>
        <w:t>5.8.2</w:t>
        <w:tab/>
        <w:t>CU-CP Allocates UL TEID</w:t>
      </w:r>
    </w:p>
    <w:p>
      <w:pPr>
        <w:pStyle w:val="Normal"/>
        <w:rPr/>
      </w:pPr>
      <w:r>
        <w:rPr/>
        <w:t xml:space="preserve">In this variant it is assumed that the CU-CP assigns the UL GTP TEID of the CU-UP. This should be possible because the CU-CP controls the operation of the CU-UP, which also implies that the CU-CP acquires detailed knowledge of the CU-UPs (including the UL GTP TEID) via configuration (e.g., during the E1 setup phase). </w:t>
      </w:r>
      <w:r>
        <w:rPr>
          <w:lang w:eastAsia="zh-CN"/>
        </w:rPr>
        <w:t xml:space="preserve">The example of Xn handover </w:t>
      </w:r>
      <w:r>
        <w:rPr/>
        <w:t xml:space="preserve">call-flow is shown in Figure 5.8.2-1. </w:t>
      </w:r>
    </w:p>
    <w:p>
      <w:pPr>
        <w:pStyle w:val="B1"/>
        <w:spacing w:before="0" w:after="120"/>
        <w:ind w:left="0" w:hanging="0"/>
        <w:rPr/>
      </w:pPr>
      <w:r>
        <w:rPr/>
        <w:t>The following terminology is utilized to describe the entities involved in the procedure:</w:t>
      </w:r>
    </w:p>
    <w:p>
      <w:pPr>
        <w:pStyle w:val="B1"/>
        <w:rPr/>
      </w:pPr>
      <w:r>
        <w:rPr/>
        <w:t>-</w:t>
        <w:tab/>
        <w:t>S-gNB: source gNB</w:t>
      </w:r>
    </w:p>
    <w:p>
      <w:pPr>
        <w:pStyle w:val="B1"/>
        <w:rPr/>
      </w:pPr>
      <w:r>
        <w:rPr/>
        <w:t>-</w:t>
        <w:tab/>
        <w:t>T-gNB: target gNB</w:t>
      </w:r>
    </w:p>
    <w:p>
      <w:pPr>
        <w:pStyle w:val="B1"/>
        <w:rPr/>
      </w:pPr>
      <w:r>
        <w:rPr/>
        <w:t>-</w:t>
        <w:tab/>
        <w:t>S-DU: source DU</w:t>
      </w:r>
    </w:p>
    <w:p>
      <w:pPr>
        <w:pStyle w:val="B1"/>
        <w:rPr/>
      </w:pPr>
      <w:r>
        <w:rPr/>
        <w:t>-</w:t>
        <w:tab/>
        <w:t>S-CU-UP: source CU-UP</w:t>
      </w:r>
    </w:p>
    <w:p>
      <w:pPr>
        <w:pStyle w:val="B1"/>
        <w:rPr/>
      </w:pPr>
      <w:r>
        <w:rPr/>
        <w:t>-</w:t>
        <w:tab/>
        <w:t>S-CU-CP: source CU-CP</w:t>
      </w:r>
    </w:p>
    <w:p>
      <w:pPr>
        <w:pStyle w:val="B1"/>
        <w:rPr/>
      </w:pPr>
      <w:r>
        <w:rPr/>
        <w:t>-</w:t>
        <w:tab/>
        <w:t>T-DU: target DU</w:t>
      </w:r>
    </w:p>
    <w:p>
      <w:pPr>
        <w:pStyle w:val="B1"/>
        <w:rPr/>
      </w:pPr>
      <w:r>
        <w:rPr/>
        <w:t>-</w:t>
        <w:tab/>
        <w:t>T-CU-UP: target CU-UP</w:t>
      </w:r>
    </w:p>
    <w:p>
      <w:pPr>
        <w:pStyle w:val="B1"/>
        <w:rPr/>
      </w:pPr>
      <w:r>
        <w:rPr/>
        <w:t>-</w:t>
        <w:tab/>
        <w:t>T-CU-CP: target CU-CP</w:t>
      </w:r>
    </w:p>
    <w:p>
      <w:pPr>
        <w:pStyle w:val="B1"/>
        <w:spacing w:before="0" w:after="240"/>
        <w:ind w:left="0" w:hanging="0"/>
        <w:rPr/>
      </w:pPr>
      <w:r>
        <w:rPr/>
        <w:t>The call-flow can be logically divided into three phases.</w:t>
      </w:r>
    </w:p>
    <w:p>
      <w:pPr>
        <w:pStyle w:val="B1"/>
        <w:rPr/>
      </w:pPr>
      <w:r>
        <w:rPr/>
        <w:t>-</w:t>
        <w:tab/>
        <w:t>The first phase is the Xn handover preparation:</w:t>
      </w:r>
    </w:p>
    <w:p>
      <w:pPr>
        <w:pStyle w:val="B2"/>
        <w:rPr/>
      </w:pPr>
      <w:r>
        <w:rPr/>
        <w:t xml:space="preserve">1.UE sends an RRC MEASUREMENT REPORT to S-DU. The event that triggers the measurement report depends on the UE measurement configuration. </w:t>
      </w:r>
    </w:p>
    <w:p>
      <w:pPr>
        <w:pStyle w:val="B2"/>
        <w:rPr/>
      </w:pPr>
      <w:r>
        <w:rPr/>
        <w:t xml:space="preserve">2.S-DU employs the F1AP UL RRC TRANSFER message to forward the RRC measurement report to S-CU-CP. </w:t>
      </w:r>
    </w:p>
    <w:p>
      <w:pPr>
        <w:pStyle w:val="B2"/>
        <w:rPr/>
      </w:pPr>
      <w:r>
        <w:rPr/>
        <w:t>3.S-CU-CP takes the handover decision, based on the content of the RRC measurement report. S-gNB (S-CU-CP) sends the XnAP HANDOVER REQUEST message to T-gNB (T-CU-CP), passing necessary information to prepare the handover at the target side.</w:t>
      </w:r>
    </w:p>
    <w:p>
      <w:pPr>
        <w:pStyle w:val="B2"/>
        <w:rPr/>
      </w:pPr>
      <w:r>
        <w:rPr/>
        <w:t>4.T-CU-CP performs admission control, creates a UE context, identifies T-DU, and selects T-CU-UP. Then, T-CU-CP sends the F1-AP CONTEXT SETUP REQUEST message to T-DU, including UE context information and CU-UP-UL-TEID for data radio bearers.</w:t>
      </w:r>
    </w:p>
    <w:p>
      <w:pPr>
        <w:pStyle w:val="B2"/>
        <w:rPr/>
      </w:pPr>
      <w:r>
        <w:rPr/>
        <w:t xml:space="preserve">5.T-DU performs admission control, configures the lower-layers, and creates a local UE context (including a C-RNTI for the UE). Then, T-DU sends the F1-AP CONTEXT SETUP RESPONSE message to T-CU-CP, including lower-layers configuration, C-RNTI, and DU-DL-TEID for data radio bearers. </w:t>
      </w:r>
    </w:p>
    <w:p>
      <w:pPr>
        <w:pStyle w:val="B2"/>
        <w:rPr/>
      </w:pPr>
      <w:r>
        <w:rPr/>
        <w:t>6.T-CU-CP sends the E1AP BEARER SETUP message to T-CU-UP, including information for security configuration and QoS-flows to DRB mapping, and DU-DL-TEID.</w:t>
      </w:r>
    </w:p>
    <w:p>
      <w:pPr>
        <w:pStyle w:val="B2"/>
        <w:rPr/>
      </w:pPr>
      <w:r>
        <w:rPr/>
        <w:t>7.T-CU-UP applies the configuration received from T-CU-CP. Then, T-CU-UP sends the E1AP BEARER SETUP RESPONSE message to T-CU-CP.</w:t>
      </w:r>
    </w:p>
    <w:p>
      <w:pPr>
        <w:pStyle w:val="B2"/>
        <w:rPr/>
      </w:pPr>
      <w:r>
        <w:rPr/>
        <w:t>8.T-gNB (T-CU-CP) sends the XnAP HANDOVER REQUEST ACKNOWLEDGE to S-gNB (S-CU-CP). The XnAP HANDOVER REQUEST ACKNOWLEDGE message includes a transparent container to be sent to the UE as an RRC message to perform the handover (includes C-RNTI). The XnAP HANDOVER REQUEST ACKNOWLEDGE message may also include RNL/TNL information for the data forwarding tunnels (if applicable).</w:t>
      </w:r>
    </w:p>
    <w:p>
      <w:pPr>
        <w:pStyle w:val="NO"/>
        <w:rPr/>
      </w:pPr>
      <w:r>
        <w:rPr/>
        <w:t>NOTE 1:</w:t>
        <w:tab/>
        <w:t>Steps 4-7 can be performed in parallel if the T-CU-CP knows the DU-DL-TEID.</w:t>
      </w:r>
    </w:p>
    <w:p>
      <w:pPr>
        <w:pStyle w:val="TH"/>
        <w:rPr/>
      </w:pPr>
      <w:r>
        <w:rPr/>
        <w:object w:dxaOrig="21585" w:dyaOrig="16464">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481.5pt;height:376.5pt" filled="f" o:ole="">
            <v:imagedata r:id="rId13" o:title=""/>
          </v:shape>
          <o:OLEObject Type="Embed" ProgID="" ShapeID="ole_rId12" DrawAspect="Content" ObjectID="_1072561774" r:id="rId12"/>
        </w:object>
      </w:r>
    </w:p>
    <w:p>
      <w:pPr>
        <w:pStyle w:val="TF"/>
        <w:rPr>
          <w:color w:val="231F20"/>
        </w:rPr>
      </w:pPr>
      <w:r>
        <w:rPr/>
        <w:t>Figure 5.8.2-1: Xn handover with E1 interface (CU-CP allocates UL TEID)</w:t>
      </w:r>
    </w:p>
    <w:p>
      <w:pPr>
        <w:pStyle w:val="B1"/>
        <w:rPr/>
      </w:pPr>
      <w:r>
        <w:rPr/>
        <w:t>-</w:t>
        <w:tab/>
        <w:t>The second phase is the Xn handover execution:</w:t>
      </w:r>
    </w:p>
    <w:p>
      <w:pPr>
        <w:pStyle w:val="B2"/>
        <w:rPr/>
      </w:pPr>
      <w:r>
        <w:rPr/>
        <w:t>9.S-CU-CP sends the F1AP UE MOBILITY COMMAND message to S-DU. The F1AP UE MOBILITY COMMAND message includes a transparent container that carries the RRC message to perform handover, which was generated by T-CU-CP and ciphered and integrity protected by S-CU-CP. The F1AP UE MOBILITY COMMAND message contains a specific field value to inform S-DU about the handover.</w:t>
      </w:r>
    </w:p>
    <w:p>
      <w:pPr>
        <w:pStyle w:val="B2"/>
        <w:rPr/>
      </w:pPr>
      <w:r>
        <w:rPr/>
        <w:t>10.S-DU sends the F1AP UE MOBILITY COMMAND ACKNOWLEDGE message to S-CU-CP to confirm that the handover is accepted. The F1AP UE MOBILITY COMMAND ACKNOWLEDGE message contains information about the delivery status of the PDCP PDUs.</w:t>
      </w:r>
    </w:p>
    <w:p>
      <w:pPr>
        <w:pStyle w:val="B2"/>
        <w:rPr/>
      </w:pPr>
      <w:r>
        <w:rPr/>
        <w:t>11.S-DU sends the RRC CONNECTION RECONFIGURATION MESSAGE to the UE.</w:t>
      </w:r>
    </w:p>
    <w:p>
      <w:pPr>
        <w:pStyle w:val="B2"/>
        <w:rPr/>
      </w:pPr>
      <w:r>
        <w:rPr/>
        <w:t xml:space="preserve">12.S-CU-CP sends the E1AP BEARER MODIFICATION message to S-CU-UP. The E1AP BEARER MODIFICATION message may include the RNL/TNL information for the data forwarding tunnels (if applicable).  </w:t>
      </w:r>
    </w:p>
    <w:p>
      <w:pPr>
        <w:pStyle w:val="B2"/>
        <w:rPr/>
      </w:pPr>
      <w:r>
        <w:rPr/>
        <w:t>13.S-CU-UP sends the E1AP BEARER MODIFICATION ACK message to S-CU-CP, including the uplink PDCP SN receiver status and the downlink PDCP SN transmitter status.</w:t>
      </w:r>
    </w:p>
    <w:p>
      <w:pPr>
        <w:pStyle w:val="B2"/>
        <w:rPr/>
      </w:pPr>
      <w:r>
        <w:rPr/>
        <w:t>14.S-gNB (S-CU-CP) sends the XnAP SN STATUS TRANSFER message to T-gNB (T-CU-CP) to convey the uplink PDCP SN receiver status and the downlink PDCP SN transmitter status.</w:t>
      </w:r>
    </w:p>
    <w:p>
      <w:pPr>
        <w:pStyle w:val="B2"/>
        <w:rPr/>
      </w:pPr>
      <w:r>
        <w:rPr/>
        <w:t>15.T-CU-CP sends the E1AP SN STATUS TRANSFER message to T-CU-UP to convey the uplink PDCP SN receiver status and the downlink PDCP SN transmitter status.</w:t>
      </w:r>
    </w:p>
    <w:p>
      <w:pPr>
        <w:pStyle w:val="B2"/>
        <w:rPr/>
      </w:pPr>
      <w:r>
        <w:rPr/>
        <w:t>16.Data forwarding may start from S-CU-UP to T-CU-UP (if applicable).</w:t>
      </w:r>
    </w:p>
    <w:p>
      <w:pPr>
        <w:pStyle w:val="B2"/>
        <w:rPr/>
      </w:pPr>
      <w:r>
        <w:rPr/>
        <w:t>17.UE sends a RANDOM-ACCESS preamble to T-DU. It may employ a dedicated RACH preamble if that was included in the RRC connection reconfiguration message.</w:t>
      </w:r>
    </w:p>
    <w:p>
      <w:pPr>
        <w:pStyle w:val="B2"/>
        <w:rPr/>
      </w:pPr>
      <w:r>
        <w:rPr/>
        <w:t xml:space="preserve">18.T-DU sends a RANDOM-ACCESS RESPONSE to UE. </w:t>
      </w:r>
    </w:p>
    <w:p>
      <w:pPr>
        <w:pStyle w:val="B2"/>
        <w:rPr/>
      </w:pPr>
      <w:r>
        <w:rPr/>
        <w:t>19.UE sends the RRC CONNECTION CONFIGURATION COMPLETE to T-DU (include the C-RNTI to identify the UE).</w:t>
      </w:r>
    </w:p>
    <w:p>
      <w:pPr>
        <w:pStyle w:val="B2"/>
        <w:rPr/>
      </w:pPr>
      <w:r>
        <w:rPr/>
        <w:t>20.T-DU employs the F1AP UL RRC TRANSFER message to forward the RRC connection reconfiguration complete message to T-CU-CP.</w:t>
      </w:r>
    </w:p>
    <w:p>
      <w:pPr>
        <w:pStyle w:val="B2"/>
        <w:rPr/>
      </w:pPr>
      <w:r>
        <w:rPr/>
        <w:t>21.T-gNB (T-CU-CP) sends an NGAP PATH SWITCH REQUEST message to AMF to inform that the UE has changed cell. AMF should then contact the UPF to modify PDU session (not shown). The UPF sends one or more "end marker" packets to the S-CU-UP. Upon receiving the "end marker" packets, the S-CU-UP if forwarding is applicable, forwards the packet toward the T-CU-UP.</w:t>
      </w:r>
    </w:p>
    <w:p>
      <w:pPr>
        <w:pStyle w:val="B2"/>
        <w:rPr/>
      </w:pPr>
      <w:r>
        <w:rPr/>
        <w:t>22.AMF confirms the NGAP PATH SWITCH REQUEST message with the NGAP PATH SWITCH REQUEST ACKNOWLEDGE message.</w:t>
      </w:r>
    </w:p>
    <w:p>
      <w:pPr>
        <w:pStyle w:val="B1"/>
        <w:rPr/>
      </w:pPr>
      <w:r>
        <w:rPr/>
        <w:t>-</w:t>
        <w:tab/>
        <w:t>The last phase is the resource release in the source:</w:t>
      </w:r>
    </w:p>
    <w:p>
      <w:pPr>
        <w:pStyle w:val="B2"/>
        <w:rPr/>
      </w:pPr>
      <w:r>
        <w:rPr/>
        <w:t>23.T-gNB (T-CU-CP) sends the XnAP UE CONTEXT RELEASE message to S-gNB (S-CU-CP). The XnAP UE CONTEXT RELEASE message informs S-gNB (S-CU-CP) that the handover was successful.</w:t>
      </w:r>
    </w:p>
    <w:p>
      <w:pPr>
        <w:pStyle w:val="B2"/>
        <w:rPr/>
      </w:pPr>
      <w:r>
        <w:rPr/>
        <w:t>24.S-CU-CP sends the F1AP UE CONTEXT RELEASE message to S-DU, to allow S-DU to release the resources allocated to the UE.</w:t>
      </w:r>
    </w:p>
    <w:p>
      <w:pPr>
        <w:pStyle w:val="B2"/>
        <w:rPr/>
      </w:pPr>
      <w:r>
        <w:rPr/>
        <w:t>25.S-CU-UP sends the E1AP DATA FORWARD COMPLETE message to S-CU-CP as soon as the data forwarding to the target has been completed.</w:t>
      </w:r>
    </w:p>
    <w:p>
      <w:pPr>
        <w:pStyle w:val="B2"/>
        <w:rPr/>
      </w:pPr>
      <w:r>
        <w:rPr/>
        <w:t>26.S-CU-CP sends the E1AP BEARER RELEASE message to S-CU-UP to release the data radio bearers and release the corresponding resources.</w:t>
      </w:r>
    </w:p>
    <w:p>
      <w:pPr>
        <w:pStyle w:val="NO"/>
        <w:rPr/>
      </w:pPr>
      <w:r>
        <w:rPr/>
        <w:t>NOTE 2:</w:t>
        <w:tab/>
        <w:t>How to perform bearer release should be further discussed during normative work.</w:t>
      </w:r>
    </w:p>
    <w:p>
      <w:pPr>
        <w:pStyle w:val="B2"/>
        <w:rPr/>
      </w:pPr>
      <w:r>
        <w:rPr/>
        <w:t>27.S-DU releases the UE context and responds to S-CU-CP with a UE CONTEXT RELEASE COMPLETE message.</w:t>
      </w:r>
    </w:p>
    <w:p>
      <w:pPr>
        <w:pStyle w:val="Heading3"/>
        <w:rPr/>
      </w:pPr>
      <w:bookmarkStart w:id="34" w:name="__RefHeading___Toc503999440"/>
      <w:r>
        <w:rPr/>
        <w:t>5.8.3</w:t>
        <w:tab/>
        <w:t>CU-UP Allocates UL TEID</w:t>
      </w:r>
      <w:bookmarkEnd w:id="34"/>
      <w:r>
        <w:rPr/>
        <w:t xml:space="preserve"> </w:t>
      </w:r>
    </w:p>
    <w:p>
      <w:pPr>
        <w:pStyle w:val="Normal"/>
        <w:rPr/>
      </w:pPr>
      <w:r>
        <w:rPr/>
        <w:t>In this variant it is assumed that the CU-CP is not aware of the UL GTP TEID of the CU-UP. In this case, the CU-UP would provide the UL GTP TEID to the CU-CP, after step 3 when the XnAP HANDOVER REQUEST is sent. By this addition only the first phase of the Xn handover will be affected, namely the Xn Handover Preparation. In the Figure 5.8.3-1 below only the Xn Handover Preparation phase is depicted. The same terminology as before is used.</w:t>
      </w:r>
    </w:p>
    <w:p>
      <w:pPr>
        <w:pStyle w:val="TH"/>
        <w:rPr/>
      </w:pPr>
      <w:r>
        <w:rPr/>
        <w:object w:dxaOrig="18744" w:dyaOrig="5902">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453.3pt;height:142.45pt" filled="f" o:ole="">
            <v:imagedata r:id="rId15" o:title=""/>
          </v:shape>
          <o:OLEObject Type="Embed" ProgID="" ShapeID="ole_rId14" DrawAspect="Content" ObjectID="_1586584576" r:id="rId14"/>
        </w:object>
      </w:r>
    </w:p>
    <w:p>
      <w:pPr>
        <w:pStyle w:val="TF"/>
        <w:rPr/>
      </w:pPr>
      <w:r>
        <w:rPr/>
        <w:t>Figure 5.8.3-1: Xn Handover with E1 (CU-UP allocates UL TEID)</w:t>
      </w:r>
    </w:p>
    <w:p>
      <w:pPr>
        <w:pStyle w:val="Normal"/>
        <w:rPr/>
      </w:pPr>
      <w:r>
        <w:rPr/>
        <w:t>The steps in the Xn handover preparation phase are as follows:</w:t>
      </w:r>
    </w:p>
    <w:p>
      <w:pPr>
        <w:pStyle w:val="B1"/>
        <w:rPr/>
      </w:pPr>
      <w:r>
        <w:rPr/>
        <w:t xml:space="preserve">1.UE sends an RRC MEASUREMENT REPORT to S-DU. The event that triggers the measurement report depends on the UE measurement configuration. </w:t>
      </w:r>
    </w:p>
    <w:p>
      <w:pPr>
        <w:pStyle w:val="B1"/>
        <w:rPr/>
      </w:pPr>
      <w:r>
        <w:rPr/>
        <w:t xml:space="preserve">2.S-DU employs the F1AP UL RRC TRANSFER message to forward the RRC measurement report to S-CU-CP. </w:t>
      </w:r>
    </w:p>
    <w:p>
      <w:pPr>
        <w:pStyle w:val="B1"/>
        <w:rPr/>
      </w:pPr>
      <w:r>
        <w:rPr/>
        <w:t>3.S-CU-CP takes the handover decision, based on the content of the RRC measurement report. S-gNB (S-CU-CP) sends the XnAP HANDOVER REQUEST message to T-gNB (T-CU-CP), passing necessary information to prepare the handover at the target side.</w:t>
      </w:r>
    </w:p>
    <w:p>
      <w:pPr>
        <w:pStyle w:val="B1"/>
        <w:rPr/>
      </w:pPr>
      <w:r>
        <w:rPr/>
        <w:t xml:space="preserve">4.T-CU-CP sends the E1-AP BEARER SETUP message to T-CU-UP, including information for security configuration and QoS-flows to DRB mapping. </w:t>
      </w:r>
    </w:p>
    <w:p>
      <w:pPr>
        <w:pStyle w:val="B1"/>
        <w:rPr/>
      </w:pPr>
      <w:r>
        <w:rPr/>
        <w:t>5.T-CU-UP applies the configuration received from T-CU-CP. Then, T-CU-UP sends the E1AP BEARER SETUP RESPONSE message to T-CU-CP including at least E1 UL TNL address of each DRB, and NG DL TNL address towards NGC.</w:t>
      </w:r>
    </w:p>
    <w:p>
      <w:pPr>
        <w:pStyle w:val="B1"/>
        <w:rPr/>
      </w:pPr>
      <w:r>
        <w:rPr/>
        <w:t>6.T-CU-CP performs admission control, creates a UE context, identifies T-DU. Then, T-CU-CP sends the F1-AP CONTEXT SETUP REQUEST message to T-DU, including UE context information and CU-UP-UL-TEID for data radio bearers.</w:t>
      </w:r>
    </w:p>
    <w:p>
      <w:pPr>
        <w:pStyle w:val="B1"/>
        <w:rPr/>
      </w:pPr>
      <w:r>
        <w:rPr/>
        <w:t xml:space="preserve">7.T-DU performs admission control, configures the lower-layers, and creates a local UE context (including a C-RNTI for the UE). Then, T-DU sends the F1-AP CONTEXT SETUP RESPONSE message to T-CU-CP, including lower-layers configuration, C-RNTI, and DU-DL-TEID for data radio bearers. </w:t>
      </w:r>
    </w:p>
    <w:p>
      <w:pPr>
        <w:pStyle w:val="B1"/>
        <w:rPr/>
      </w:pPr>
      <w:r>
        <w:rPr/>
        <w:t xml:space="preserve">8.T-CU-CP sends the E1-AP BEARER MODIFICATION message to T-CU-UP with the DU-DL TNL address of T-DU. </w:t>
      </w:r>
    </w:p>
    <w:p>
      <w:pPr>
        <w:pStyle w:val="B1"/>
        <w:rPr/>
      </w:pPr>
      <w:r>
        <w:rPr/>
        <w:t>9.T-CU-UP replies with E1AP BEARER MODIFICATION RESPONSE message to T-CU-CP.</w:t>
      </w:r>
    </w:p>
    <w:p>
      <w:pPr>
        <w:pStyle w:val="B1"/>
        <w:rPr/>
      </w:pPr>
      <w:r>
        <w:rPr/>
        <w:t>10.T-gNB (T-CU-CP) sends the XnAP HANDOVER REQUEST ACKNOWLEDGE to S-gNB (S-CU-CP). The XnAP HANDOVER REQUEST ACKNOWLEDGE message includes a transparent container to be sent to the UE as an RRC message to perform the handover (includes C-RNTI). The XnAP HANDOVER REQUEST ACKNOWLEDGE message may also include RNL/TNL information for the data forwarding tunnels (if applicable).</w:t>
      </w:r>
    </w:p>
    <w:p>
      <w:pPr>
        <w:pStyle w:val="NO"/>
        <w:rPr/>
      </w:pPr>
      <w:r>
        <w:rPr/>
        <w:t>NOTE 3:</w:t>
        <w:tab/>
        <w:t>Steps 6-9 can be performed in parallel if the T-CU-CP knows the DU-DL-TEID.</w:t>
      </w:r>
    </w:p>
    <w:p>
      <w:pPr>
        <w:pStyle w:val="Heading2"/>
        <w:rPr/>
      </w:pPr>
      <w:bookmarkStart w:id="35" w:name="__RefHeading___Toc503999441"/>
      <w:bookmarkEnd w:id="35"/>
      <w:r>
        <w:rPr/>
        <w:t>5.9</w:t>
        <w:tab/>
        <w:t>Secondary Node Addition</w:t>
      </w:r>
    </w:p>
    <w:p>
      <w:pPr>
        <w:pStyle w:val="Normal"/>
        <w:rPr/>
      </w:pPr>
      <w:r>
        <w:rPr/>
        <w:t>The signalling flow illustrated below serves for the purpose of EN-DC operation.</w:t>
      </w:r>
    </w:p>
    <w:p>
      <w:pPr>
        <w:pStyle w:val="Normal"/>
        <w:rPr/>
      </w:pPr>
      <w:r>
        <w:rPr/>
        <w:t xml:space="preserve">This clause gives the </w:t>
      </w:r>
      <w:r>
        <w:rPr/>
        <w:t xml:space="preserve">secondary node addition given that </w:t>
      </w:r>
      <w:r>
        <w:rPr/>
        <w:t>gNB consists of gNB-CU</w:t>
      </w:r>
      <w:r>
        <w:rPr/>
        <w:t>-CP, gNB-CU-UP</w:t>
      </w:r>
      <w:r>
        <w:rPr/>
        <w:t xml:space="preserve"> and gNB-DU(s), as shown in Figure </w:t>
      </w:r>
      <w:r>
        <w:rPr/>
        <w:t>5.9</w:t>
      </w:r>
      <w:r>
        <w:rPr/>
        <w:t xml:space="preserve">-1. </w:t>
      </w:r>
    </w:p>
    <w:p>
      <w:pPr>
        <w:pStyle w:val="TH"/>
        <w:rPr/>
      </w:pPr>
      <w:r>
        <w:rPr/>
        <w:object w:dxaOrig="28632" w:dyaOrig="1806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449.5pt;height:284.4pt" filled="f" o:ole="">
            <v:imagedata r:id="rId17" o:title=""/>
          </v:shape>
          <o:OLEObject Type="Embed" ProgID="" ShapeID="ole_rId16" DrawAspect="Content" ObjectID="_1323016036" r:id="rId16"/>
        </w:object>
      </w:r>
    </w:p>
    <w:p>
      <w:pPr>
        <w:pStyle w:val="TF"/>
        <w:rPr/>
      </w:pPr>
      <w:r>
        <w:rPr/>
        <w:t>Figure 5.9-1: SgNB addition for option3 with CP-UP separation</w:t>
      </w:r>
    </w:p>
    <w:p>
      <w:pPr>
        <w:pStyle w:val="B1"/>
        <w:rPr/>
      </w:pPr>
      <w:r>
        <w:rPr/>
        <w:t>1.</w:t>
        <w:tab/>
        <w:t>The MgNB decides to request the SgNB (i.e., CU-CP) to allocate radio resources for a specific E-RAB, indicating E-RAB characteristics (E-RAB parameters, TNL address information corresponding to bearer type</w:t>
      </w:r>
      <w:r>
        <w:rPr>
          <w:lang w:eastAsia="ja-JP"/>
        </w:rPr>
        <w:t>). T</w:t>
      </w:r>
      <w:r>
        <w:rPr>
          <w:lang w:eastAsia="ja-JP"/>
        </w:rPr>
        <w:t>he MgNB can provide the latest measurement results for the SCG cell(s) requested to be added. The CU-CP may reject the request</w:t>
      </w:r>
      <w:r>
        <w:rPr>
          <w:lang w:eastAsia="ja-JP"/>
        </w:rPr>
        <w:t>.</w:t>
      </w:r>
    </w:p>
    <w:p>
      <w:pPr>
        <w:pStyle w:val="B1"/>
        <w:rPr/>
      </w:pPr>
      <w:r>
        <w:rPr/>
        <w:t xml:space="preserve">2.The CU-CP selects CU-UP and sends E1AP message UE BEARER SETUP REQUEST. For SCG bearer, the message includes information for setup GTP-U tunnel with EPC (e.g., S1 UL TNL address) and security configuration etc. </w:t>
      </w:r>
    </w:p>
    <w:p>
      <w:pPr>
        <w:pStyle w:val="B1"/>
        <w:rPr/>
      </w:pPr>
      <w:r>
        <w:rPr/>
        <w:t xml:space="preserve">3.The CU-UP applies the configurations provided by the CU-CP. It sends back E1AP message UE BEARER SETUP RESPONSE, including at least S1 DL TNL address and F1 UL TNL address for SCG bearer. CU-UP could reject some bearers due to lack of resources.  </w:t>
      </w:r>
    </w:p>
    <w:p>
      <w:pPr>
        <w:pStyle w:val="NO"/>
        <w:rPr/>
      </w:pPr>
      <w:r>
        <w:rPr/>
        <w:t>NOTE:</w:t>
        <w:tab/>
        <w:t>If CU-CP has already got S1 DL TNL address and F1 UL TNL address for SCG bearer, the step 2 and 3 could be skipped. Then the step 6/7 below are just UE BEARER SETUP procedure.</w:t>
      </w:r>
    </w:p>
    <w:p>
      <w:pPr>
        <w:pStyle w:val="B1"/>
        <w:rPr/>
      </w:pPr>
      <w:r>
        <w:rPr/>
        <w:t>4.</w:t>
        <w:tab/>
        <w:t xml:space="preserve">The CU-CP determines DU based on Target Cell ID provided by MeNB. The CU-CP sends F1AP message UE CONTEXT SETUP REQUEST to the DU, including information for bearer configuration, F1 UL TNL address of CU-UP for SCG bearer. </w:t>
      </w:r>
    </w:p>
    <w:p>
      <w:pPr>
        <w:pStyle w:val="B1"/>
        <w:rPr/>
      </w:pPr>
      <w:r>
        <w:rPr/>
        <w:t>5.</w:t>
        <w:tab/>
        <w:t xml:space="preserve">The DU may perform check on accepting the incoming request, allocate respective radio resources and TNL resources. The DU sends response message, including at least F1 DL TNL address for SCG bearer.  </w:t>
      </w:r>
    </w:p>
    <w:p>
      <w:pPr>
        <w:pStyle w:val="B1"/>
        <w:rPr>
          <w:lang w:eastAsia="ja-JP"/>
        </w:rPr>
      </w:pPr>
      <w:r>
        <w:rPr/>
        <w:t>6.</w:t>
        <w:tab/>
        <w:t xml:space="preserve">The CU-CP sends E1AP message UE BEARER MODIFICATION REQUEST to the CU-UP, including at least F1 DL TNL address of DU for SCG bearer. </w:t>
      </w:r>
    </w:p>
    <w:p>
      <w:pPr>
        <w:pStyle w:val="B1"/>
        <w:rPr>
          <w:lang w:eastAsia="ja-JP"/>
        </w:rPr>
      </w:pPr>
      <w:r>
        <w:rPr/>
        <w:t>7.</w:t>
        <w:tab/>
        <w:t xml:space="preserve">The CU-UP confirms the modification of the TNL address. </w:t>
      </w:r>
    </w:p>
    <w:p>
      <w:pPr>
        <w:pStyle w:val="B1"/>
        <w:rPr>
          <w:lang w:eastAsia="ja-JP"/>
        </w:rPr>
      </w:pPr>
      <w:r>
        <w:rPr/>
        <w:t>8.</w:t>
        <w:tab/>
        <w:t>By X2AP message SgNB ADDITION REQUEST ACKNOWLEDGE, the CU-CP provides the new radio resource</w:t>
      </w:r>
      <w:r>
        <w:rPr>
          <w:lang w:eastAsia="ja-JP"/>
        </w:rPr>
        <w:t xml:space="preserve"> of SCG </w:t>
      </w:r>
      <w:r>
        <w:rPr/>
        <w:t>to the MeNB. For SCG bearers, the CU-CP provides the new radio resource</w:t>
      </w:r>
      <w:r>
        <w:rPr>
          <w:lang w:eastAsia="ja-JP"/>
        </w:rPr>
        <w:t xml:space="preserve"> of </w:t>
      </w:r>
      <w:r>
        <w:rPr>
          <w:lang w:eastAsia="ja-JP"/>
        </w:rPr>
        <w:t xml:space="preserve">the </w:t>
      </w:r>
      <w:r>
        <w:rPr>
          <w:lang w:eastAsia="ja-JP"/>
        </w:rPr>
        <w:t xml:space="preserve">SCG </w:t>
      </w:r>
      <w:r>
        <w:rPr/>
        <w:t>together with S1 DL TNL address information for the respective E-RAB</w:t>
      </w:r>
      <w:r>
        <w:rPr>
          <w:lang w:eastAsia="ja-JP"/>
        </w:rPr>
        <w:t xml:space="preserve"> and </w:t>
      </w:r>
      <w:r>
        <w:rPr>
          <w:lang w:eastAsia="ja-JP"/>
        </w:rPr>
        <w:t>secur</w:t>
      </w:r>
      <w:r>
        <w:rPr>
          <w:lang w:eastAsia="ja-JP"/>
        </w:rPr>
        <w:t>ity algorithm</w:t>
      </w:r>
      <w:r>
        <w:rPr/>
        <w:t>, for split bearers together with X2 DL TNL address information.</w:t>
      </w:r>
    </w:p>
    <w:p>
      <w:pPr>
        <w:pStyle w:val="B1"/>
        <w:rPr/>
      </w:pPr>
      <w:r>
        <w:rPr/>
        <w:t>9.</w:t>
        <w:tab/>
        <w:t xml:space="preserve">If the MeNB endorses the new configuration, </w:t>
      </w:r>
      <w:r>
        <w:rPr>
          <w:lang w:eastAsia="ja-JP"/>
        </w:rPr>
        <w:t xml:space="preserve">the MeNB sends the </w:t>
      </w:r>
      <w:r>
        <w:rPr>
          <w:i/>
          <w:lang w:eastAsia="ja-JP"/>
        </w:rPr>
        <w:t>RRCConnectionReconfiguration</w:t>
      </w:r>
      <w:r>
        <w:rPr>
          <w:lang w:eastAsia="ja-JP"/>
        </w:rPr>
        <w:t xml:space="preserve"> message</w:t>
      </w:r>
      <w:r>
        <w:rPr>
          <w:lang w:eastAsia="ja-JP"/>
        </w:rPr>
        <w:t xml:space="preserve"> </w:t>
      </w:r>
      <w:r>
        <w:rPr>
          <w:lang w:eastAsia="ja-JP"/>
        </w:rPr>
        <w:t>to the UE including the new radio resource configuration of SCG</w:t>
      </w:r>
      <w:r>
        <w:rPr/>
        <w:t>.</w:t>
      </w:r>
    </w:p>
    <w:p>
      <w:pPr>
        <w:pStyle w:val="B1"/>
        <w:rPr/>
      </w:pPr>
      <w:r>
        <w:rPr>
          <w:lang w:eastAsia="ja-JP"/>
        </w:rPr>
        <w:t>10.</w:t>
        <w:tab/>
        <w:t>The UE applies the new configuration and repl</w:t>
      </w:r>
      <w:r>
        <w:rPr>
          <w:lang w:eastAsia="ja-JP"/>
        </w:rPr>
        <w:t>ies</w:t>
      </w:r>
      <w:r>
        <w:rPr>
          <w:lang w:eastAsia="ja-JP"/>
        </w:rPr>
        <w:t xml:space="preserve"> </w:t>
      </w:r>
      <w:r>
        <w:rPr>
          <w:lang w:eastAsia="ja-JP"/>
        </w:rPr>
        <w:t>with</w:t>
      </w:r>
      <w:r>
        <w:rPr>
          <w:lang w:eastAsia="ja-JP"/>
        </w:rPr>
        <w:t xml:space="preserve"> </w:t>
      </w:r>
      <w:r>
        <w:rPr>
          <w:i/>
          <w:lang w:eastAsia="ja-JP"/>
        </w:rPr>
        <w:t>RRCConnectionReconfigurationComplete</w:t>
      </w:r>
      <w:r>
        <w:rPr>
          <w:lang w:eastAsia="ja-JP"/>
        </w:rPr>
        <w:t xml:space="preserve"> message. In case the UE is unable to comply with (part of) the configuration included in the </w:t>
      </w:r>
      <w:r>
        <w:rPr>
          <w:i/>
          <w:lang w:eastAsia="ja-JP"/>
        </w:rPr>
        <w:t>RRCConnectionReconfiguration</w:t>
      </w:r>
      <w:r>
        <w:rPr>
          <w:lang w:eastAsia="ja-JP"/>
        </w:rPr>
        <w:t xml:space="preserve"> message, it performs the reconfiguration failure procedure.</w:t>
      </w:r>
    </w:p>
    <w:p>
      <w:pPr>
        <w:pStyle w:val="B1"/>
        <w:rPr/>
      </w:pPr>
      <w:r>
        <w:rPr/>
        <w:t>11.</w:t>
        <w:tab/>
        <w:t>The MeNB informs the CU-CP that the UE has completed the reconfiguration procedure successfully.</w:t>
      </w:r>
    </w:p>
    <w:p>
      <w:pPr>
        <w:pStyle w:val="B1"/>
        <w:rPr/>
      </w:pPr>
      <w:r>
        <w:rPr/>
        <w:t>12.</w:t>
        <w:tab/>
        <w:t xml:space="preserve">The UE performs synchronisation towards the </w:t>
      </w:r>
      <w:r>
        <w:rPr>
          <w:lang w:eastAsia="ja-JP"/>
        </w:rPr>
        <w:t>PSC</w:t>
      </w:r>
      <w:r>
        <w:rPr/>
        <w:t xml:space="preserve">ell of the SgNB. The UE sends the </w:t>
      </w:r>
      <w:r>
        <w:rPr>
          <w:i/>
        </w:rPr>
        <w:t>RRCConnectionReconfigurationComplete</w:t>
      </w:r>
      <w:r>
        <w:rPr/>
        <w:t xml:space="preserve"> message and performs the Random Access procedure towards the SCG is not defined. The successful RA procedure towards the SCG is not required for a successful completion of the RRC</w:t>
      </w:r>
      <w:r>
        <w:rPr>
          <w:rFonts w:eastAsia="Times New Roman Bold;Times New Roman"/>
          <w:lang w:eastAsia="ko-KR"/>
        </w:rPr>
        <w:t xml:space="preserve"> </w:t>
      </w:r>
      <w:r>
        <w:rPr/>
        <w:t>Connection</w:t>
      </w:r>
      <w:r>
        <w:rPr>
          <w:rFonts w:eastAsia="Times New Roman Bold;Times New Roman"/>
          <w:lang w:eastAsia="ko-KR"/>
        </w:rPr>
        <w:t xml:space="preserve"> </w:t>
      </w:r>
      <w:r>
        <w:rPr/>
        <w:t>Reconfiguration procedure.</w:t>
      </w:r>
    </w:p>
    <w:p>
      <w:pPr>
        <w:pStyle w:val="B1"/>
        <w:rPr/>
      </w:pPr>
      <w:r>
        <w:rPr/>
        <w:t>13-15. In case of SCG bearers, and dependent on the bearer characteristics of the respective E-RAB, the MeNB may take actions to minimise service interruption due to activation of dual connectivity (Data forwarding, SN Status Transfer). In step 14, the CU-CP needs to forward SN Status to CU-UP where PDCP-U is located.</w:t>
      </w:r>
    </w:p>
    <w:p>
      <w:pPr>
        <w:pStyle w:val="B1"/>
        <w:rPr/>
      </w:pPr>
      <w:r>
        <w:rPr/>
        <w:t>16-19. For SCG bearers, the update of the UP path towards the EPC is performed.</w:t>
      </w:r>
    </w:p>
    <w:p>
      <w:pPr>
        <w:pStyle w:val="Heading2"/>
        <w:rPr>
          <w:lang w:eastAsia="zh-CN"/>
        </w:rPr>
      </w:pPr>
      <w:bookmarkStart w:id="36" w:name="__RefHeading___Toc503999442"/>
      <w:bookmarkEnd w:id="36"/>
      <w:r>
        <w:rPr/>
        <w:t>5.10</w:t>
        <w:tab/>
        <w:t>Change of CU-UP</w:t>
      </w:r>
    </w:p>
    <w:p>
      <w:pPr>
        <w:pStyle w:val="Normal"/>
        <w:rPr/>
      </w:pPr>
      <w:r>
        <w:rPr>
          <w:lang w:eastAsia="ja-JP"/>
        </w:rPr>
        <w:t xml:space="preserve">Figure 5.10-1 shows the procedure used for the change of CU-UP. </w:t>
      </w:r>
    </w:p>
    <w:p>
      <w:pPr>
        <w:pStyle w:val="TH"/>
        <w:rPr/>
      </w:pPr>
      <w:r>
        <w:rPr/>
        <w:object w:dxaOrig="11111" w:dyaOrig="7415">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455pt;height:303.7pt" filled="f" o:ole="">
            <v:imagedata r:id="rId19" o:title=""/>
          </v:shape>
          <o:OLEObject Type="Embed" ProgID="" ShapeID="ole_rId18" DrawAspect="Content" ObjectID="_1771667830" r:id="rId18"/>
        </w:object>
      </w:r>
    </w:p>
    <w:p>
      <w:pPr>
        <w:pStyle w:val="TF"/>
        <w:rPr/>
      </w:pPr>
      <w:r>
        <w:rPr/>
        <w:t>Figure 5.10-1: Change of CU-UP</w:t>
      </w:r>
    </w:p>
    <w:p>
      <w:pPr>
        <w:pStyle w:val="B1"/>
        <w:rPr/>
      </w:pPr>
      <w:r>
        <w:rPr/>
        <w:t>1.</w:t>
        <w:tab/>
        <w:t>Change of CU-UP is triggered in CU-CP.</w:t>
      </w:r>
    </w:p>
    <w:p>
      <w:pPr>
        <w:pStyle w:val="B1"/>
        <w:rPr/>
      </w:pPr>
      <w:r>
        <w:rPr/>
        <w:t>2.</w:t>
        <w:tab/>
        <w:t>The CU-CP allocates UL TEID for F1-U used at the target CU-UP to receive UL user data from the DU.</w:t>
      </w:r>
    </w:p>
    <w:p>
      <w:pPr>
        <w:pStyle w:val="NO"/>
        <w:rPr/>
      </w:pPr>
      <w:r>
        <w:rPr/>
        <w:t>NOTE 1:</w:t>
        <w:tab/>
        <w:t>As alternative option, the CU-CP communicates with the target CU-UP and obtains the UL TEID used at the target CU-UP. One option should be selected during normative work.</w:t>
      </w:r>
    </w:p>
    <w:p>
      <w:pPr>
        <w:pStyle w:val="B1"/>
        <w:rPr/>
      </w:pPr>
      <w:r>
        <w:rPr/>
        <w:t>3.</w:t>
        <w:tab/>
        <w:t>The CU-CP sends E1AP BEARER SETUP REQUEST message to the target CU-UP to setup one or more bearers at the target CU-UP.</w:t>
      </w:r>
    </w:p>
    <w:p>
      <w:pPr>
        <w:pStyle w:val="B1"/>
        <w:rPr/>
      </w:pPr>
      <w:r>
        <w:rPr/>
        <w:t>4.</w:t>
        <w:tab/>
        <w:t>The target CU-UP responds the CU-CP with an E1AP BEARER SETUP RESPONSE message to confirm the bearer setup.</w:t>
      </w:r>
    </w:p>
    <w:p>
      <w:pPr>
        <w:pStyle w:val="B1"/>
        <w:rPr/>
      </w:pPr>
      <w:r>
        <w:rPr/>
        <w:t>5.</w:t>
        <w:tab/>
        <w:t>The CU-CP sends E1AP BEARER RELEASE REQUEST message including CU-UP change indication to the source CU-UP to initiate of the release of one or more bearers at the source CU-UP. The TEID for data forwarding may be included.</w:t>
      </w:r>
    </w:p>
    <w:p>
      <w:pPr>
        <w:pStyle w:val="B1"/>
        <w:rPr/>
      </w:pPr>
      <w:r>
        <w:rPr/>
        <w:t>6.</w:t>
        <w:tab/>
        <w:t>F1 UE context management procedure is performed to modify one or more bearers at the DU.</w:t>
      </w:r>
    </w:p>
    <w:p>
      <w:pPr>
        <w:pStyle w:val="B1"/>
        <w:rPr/>
      </w:pPr>
      <w:r>
        <w:rPr/>
        <w:t>7.</w:t>
        <w:tab/>
        <w:t>SN Status transfer procedure is performed.</w:t>
      </w:r>
    </w:p>
    <w:p>
      <w:pPr>
        <w:pStyle w:val="B1"/>
        <w:rPr/>
      </w:pPr>
      <w:r>
        <w:rPr/>
        <w:t>8.</w:t>
        <w:tab/>
        <w:t>Data Forwarding is performed from the source CU-UP to the target CU-UP.</w:t>
      </w:r>
    </w:p>
    <w:p>
      <w:pPr>
        <w:pStyle w:val="NO"/>
        <w:rPr/>
      </w:pPr>
      <w:r>
        <w:rPr/>
        <w:t>NOTE 2:</w:t>
        <w:tab/>
        <w:t>As alternative option, data forwarding is performed from the source CU-UP to the target CU-UP through CU-CP (i.e. U-plane is supported in E1). One option should be selected during normative work.</w:t>
      </w:r>
    </w:p>
    <w:p>
      <w:pPr>
        <w:pStyle w:val="B1"/>
        <w:rPr/>
      </w:pPr>
      <w:r>
        <w:rPr/>
        <w:t>9-11.</w:t>
        <w:tab/>
        <w:t>Path Update procedure is performed to update the DL TEID towards the core network. The source CU-UP releases the resources for the UE when it receives the end marker packet.</w:t>
      </w:r>
    </w:p>
    <w:p>
      <w:pPr>
        <w:pStyle w:val="Heading2"/>
        <w:rPr/>
      </w:pPr>
      <w:bookmarkStart w:id="37" w:name="__RefHeading___Toc503999443"/>
      <w:bookmarkEnd w:id="37"/>
      <w:r>
        <w:rPr/>
        <w:t>5.11</w:t>
        <w:tab/>
        <w:t>Security handling</w:t>
      </w:r>
    </w:p>
    <w:p>
      <w:pPr>
        <w:pStyle w:val="Heading3"/>
        <w:rPr/>
      </w:pPr>
      <w:bookmarkStart w:id="38" w:name="__RefHeading___Toc503999444"/>
      <w:bookmarkEnd w:id="38"/>
      <w:r>
        <w:rPr/>
        <w:t>5.11.1</w:t>
        <w:tab/>
        <w:t>General</w:t>
      </w:r>
    </w:p>
    <w:p>
      <w:pPr>
        <w:pStyle w:val="Normal"/>
        <w:rPr/>
      </w:pPr>
      <w:r>
        <w:rPr/>
        <w:t>Due to CP and UP separation, security handling mechanism should be investigated, i.e. if NAS security and AS security would be impacted or not. Since NAS security is negotiated between MME and UE by NAS SMC procedure, CP and UP separation is AS level architecture update which is invisible to NAS, NAS level security will not be impacted. Hence, security impacts, if any, may mainly be on AS level, i.e. on CU-CP and CU-UP. It is worth noting that the following discussions are based on LTE.</w:t>
      </w:r>
    </w:p>
    <w:p>
      <w:pPr>
        <w:pStyle w:val="Heading3"/>
        <w:rPr/>
      </w:pPr>
      <w:bookmarkStart w:id="39" w:name="__RefHeading___Toc503999445"/>
      <w:bookmarkEnd w:id="39"/>
      <w:r>
        <w:rPr/>
        <w:t>5.11.2</w:t>
        <w:tab/>
        <w:t>Considerations on CU-CP</w:t>
      </w:r>
    </w:p>
    <w:p>
      <w:pPr>
        <w:pStyle w:val="Normal"/>
        <w:rPr/>
      </w:pPr>
      <w:r>
        <w:rPr/>
        <w:t>Technically, security handling for both CU-CP and CU-UP belongs to AS level security. For AS security, there're two key issues, i.e., security algorithm selection and security key derivation. For security algorithm, take LTE as an example, there are key derivation algorithm, encryption algorithm and integrity algorithm. Specifically, key derivation algorithm is used to derivate K</w:t>
      </w:r>
      <w:r>
        <w:rPr>
          <w:sz w:val="16"/>
        </w:rPr>
        <w:t>RRCenc</w:t>
      </w:r>
      <w:r>
        <w:rPr/>
        <w:t>, K</w:t>
      </w:r>
      <w:r>
        <w:rPr>
          <w:sz w:val="16"/>
        </w:rPr>
        <w:t>RRCint</w:t>
      </w:r>
      <w:r>
        <w:rPr/>
        <w:t>, K</w:t>
      </w:r>
      <w:r>
        <w:rPr>
          <w:sz w:val="16"/>
        </w:rPr>
        <w:t>UPenc</w:t>
      </w:r>
      <w:r>
        <w:rPr/>
        <w:t xml:space="preserve"> and K</w:t>
      </w:r>
      <w:r>
        <w:rPr>
          <w:sz w:val="16"/>
        </w:rPr>
        <w:t>UPint</w:t>
      </w:r>
      <w:r>
        <w:rPr/>
        <w:t xml:space="preserve"> based on K</w:t>
      </w:r>
      <w:r>
        <w:rPr>
          <w:sz w:val="16"/>
        </w:rPr>
        <w:t>e</w:t>
      </w:r>
      <w:r>
        <w:rPr/>
        <w:t xml:space="preserve">NB, which is defined in TS 33.401 [3]. Meanwhile, encryption and integrity algorithm are selected based on eNB and UE's security capability by AS SMC procedure. </w:t>
      </w:r>
    </w:p>
    <w:p>
      <w:pPr>
        <w:pStyle w:val="Normal"/>
        <w:rPr/>
      </w:pPr>
      <w:r>
        <w:rPr/>
        <w:t>Since AS SMC procedure is also performed in RRC entity, while PDCP-C is located in CU-CP where RRC entity is also located, and PDCP-C handles control plane data by performing encryption and integrity based on control plane key (i.e. K</w:t>
      </w:r>
      <w:r>
        <w:rPr>
          <w:sz w:val="16"/>
        </w:rPr>
        <w:t>RRCenc</w:t>
      </w:r>
      <w:r>
        <w:rPr/>
        <w:t>, K</w:t>
      </w:r>
      <w:r>
        <w:rPr>
          <w:sz w:val="16"/>
        </w:rPr>
        <w:t>RRCint</w:t>
      </w:r>
      <w:r>
        <w:rPr/>
        <w:t>). So, for control plane security handling, CU-CP should be responsible, i.e. CU-CP to handle control plane security using AS SMC procedure. Based on this observation, whether there are impacts on control plane security depends on AS SMC procedure to be used in 5G.</w:t>
      </w:r>
    </w:p>
    <w:p>
      <w:pPr>
        <w:pStyle w:val="Heading3"/>
        <w:rPr/>
      </w:pPr>
      <w:bookmarkStart w:id="40" w:name="__RefHeading___Toc503999446"/>
      <w:bookmarkEnd w:id="40"/>
      <w:r>
        <w:rPr/>
        <w:t>5.11.3</w:t>
        <w:tab/>
        <w:t>Considerations on CU-UP</w:t>
      </w:r>
    </w:p>
    <w:p>
      <w:pPr>
        <w:pStyle w:val="Heading4"/>
        <w:ind w:left="1418" w:hanging="1418"/>
        <w:rPr/>
      </w:pPr>
      <w:bookmarkStart w:id="41" w:name="__RefHeading___Toc503999447"/>
      <w:bookmarkEnd w:id="41"/>
      <w:r>
        <w:rPr/>
        <w:t>5.11.3.1</w:t>
        <w:tab/>
        <w:t>Key derivation</w:t>
      </w:r>
    </w:p>
    <w:p>
      <w:pPr>
        <w:pStyle w:val="Normal"/>
        <w:rPr/>
      </w:pPr>
      <w:r>
        <w:rPr/>
        <w:t>While for PDCP-U, since it is located in CU-UP, which handles user plane data by performing encryption and integrity based on user plane key (i.e., K</w:t>
      </w:r>
      <w:r>
        <w:rPr>
          <w:sz w:val="16"/>
        </w:rPr>
        <w:t>UP.enc</w:t>
      </w:r>
      <w:r>
        <w:rPr/>
        <w:t>, K</w:t>
      </w:r>
      <w:r>
        <w:rPr>
          <w:sz w:val="16"/>
        </w:rPr>
        <w:t>UP.int</w:t>
      </w:r>
      <w:r>
        <w:rPr/>
        <w:t>). The strait forward way is to let CU-CP to derive the K</w:t>
      </w:r>
      <w:r>
        <w:rPr>
          <w:sz w:val="16"/>
        </w:rPr>
        <w:t>UP.enc</w:t>
      </w:r>
      <w:r>
        <w:rPr/>
        <w:t xml:space="preserve"> and K</w:t>
      </w:r>
      <w:r>
        <w:rPr>
          <w:sz w:val="16"/>
        </w:rPr>
        <w:t xml:space="preserve">UP.int </w:t>
      </w:r>
      <w:r>
        <w:rPr/>
        <w:t>for CU-UP, and also negotiate with UE about the encryption and integrity algorithm for CU-UP, then forward to CU-UP.</w:t>
      </w:r>
    </w:p>
    <w:p>
      <w:pPr>
        <w:pStyle w:val="Normal"/>
        <w:rPr/>
      </w:pPr>
      <w:r>
        <w:rPr/>
        <w:t>However, if CU-CP itself is located in a place close to air interface, e.g. outdoor site where is not a security place, then there may be another option, i.e. it might be safer that this CU-CP just forward the KgNB for the CU-UP itself to generate K</w:t>
      </w:r>
      <w:r>
        <w:rPr>
          <w:sz w:val="16"/>
        </w:rPr>
        <w:t>UP.enc</w:t>
      </w:r>
      <w:r>
        <w:rPr/>
        <w:t>, K</w:t>
      </w:r>
      <w:r>
        <w:rPr>
          <w:sz w:val="16"/>
        </w:rPr>
        <w:t>UP.int, i</w:t>
      </w:r>
      <w:r>
        <w:rPr/>
        <w:t>.e. there are two options for key derivation:</w:t>
      </w:r>
    </w:p>
    <w:p>
      <w:pPr>
        <w:pStyle w:val="B1"/>
        <w:rPr/>
      </w:pPr>
      <w:r>
        <w:rPr/>
        <w:t>Option 1: To let CU-CP derive K</w:t>
      </w:r>
      <w:r>
        <w:rPr>
          <w:sz w:val="16"/>
        </w:rPr>
        <w:t>UP.enc</w:t>
      </w:r>
      <w:r>
        <w:rPr/>
        <w:t>, K</w:t>
      </w:r>
      <w:r>
        <w:rPr>
          <w:sz w:val="16"/>
        </w:rPr>
        <w:t>UPCint</w:t>
      </w:r>
      <w:r>
        <w:rPr/>
        <w:t xml:space="preserve"> and forward to CU-UP;</w:t>
      </w:r>
    </w:p>
    <w:p>
      <w:pPr>
        <w:pStyle w:val="B1"/>
        <w:rPr/>
      </w:pPr>
      <w:r>
        <w:rPr/>
        <w:t>Option 2: To let CU-UP derive K</w:t>
      </w:r>
      <w:r>
        <w:rPr>
          <w:sz w:val="16"/>
        </w:rPr>
        <w:t>UP.enc</w:t>
      </w:r>
      <w:r>
        <w:rPr/>
        <w:t>, K</w:t>
      </w:r>
      <w:r>
        <w:rPr>
          <w:sz w:val="16"/>
        </w:rPr>
        <w:t>UPCint</w:t>
      </w:r>
      <w:r>
        <w:rPr/>
        <w:t xml:space="preserve"> according to the KgNB forwarded by CU-CP. </w:t>
      </w:r>
    </w:p>
    <w:p>
      <w:pPr>
        <w:pStyle w:val="Normal"/>
        <w:rPr/>
      </w:pPr>
      <w:r>
        <w:rPr/>
        <w:t xml:space="preserve">As security algorithm selection is performed between CU-CP and UE, CU-CP selects both encryption and integrity algorithm. However, PDCP-U in CU-UP needs user plane encryption and integrity algorithm, so CU-CP needs to forward the selected encryption and integrity algorithm to CU-UP. </w:t>
      </w:r>
    </w:p>
    <w:p>
      <w:pPr>
        <w:pStyle w:val="Normal"/>
        <w:rPr/>
      </w:pPr>
      <w:r>
        <w:rPr/>
        <w:t xml:space="preserve">Since CU-CP and CU-UP are two different logical network elements which are very likely separated physically, then it might be also safer to have different KgNB (e.g. KgNB and K*gNB) for different network node. </w:t>
      </w:r>
    </w:p>
    <w:p>
      <w:pPr>
        <w:pStyle w:val="Heading4"/>
        <w:ind w:left="1418" w:hanging="1418"/>
        <w:rPr/>
      </w:pPr>
      <w:bookmarkStart w:id="42" w:name="__RefHeading___Toc503999448"/>
      <w:bookmarkEnd w:id="42"/>
      <w:r>
        <w:rPr/>
        <w:t>5.11.3.2</w:t>
        <w:tab/>
        <w:t>PDCP count wrap around</w:t>
      </w:r>
    </w:p>
    <w:p>
      <w:pPr>
        <w:pStyle w:val="Normal"/>
        <w:spacing w:before="0" w:after="144"/>
        <w:rPr/>
      </w:pPr>
      <w:r>
        <w:rPr/>
        <w:t>As PDCP-U is located in CU-UP, when the CU-UP finds</w:t>
      </w:r>
      <w:r>
        <w:rPr/>
        <w:t xml:space="preserve"> </w:t>
      </w:r>
      <w:r>
        <w:rPr/>
        <w:t xml:space="preserve">out that uplink or downlink PDCP COUNTs are about to wrap around, the KgNB needs to be updated. So it is obvious that CU-UP could trigger the KgNB update procedure. </w:t>
      </w:r>
    </w:p>
    <w:p>
      <w:pPr>
        <w:pStyle w:val="Normal"/>
        <w:spacing w:before="0" w:after="144"/>
        <w:rPr/>
      </w:pPr>
      <w:r>
        <w:rPr/>
        <w:t xml:space="preserve">Then the further issue is, which node to perform key update. Since KgNB update depends on which node to perform user plane key derivation. If user plane key derivation based on KgNB is performed at CU-CP, CU-CP will update the KgNB, otherwise CU-UP can do the KgNB update itself. Since CU-CP is the entity handling RRC message, if CU-UP performs KgNB update, CU-UP still needs to forward the updated KgNB and counter to CU-CP so as to generate RRC message to inform UE to be aligned with the key update.   </w:t>
      </w:r>
    </w:p>
    <w:p>
      <w:pPr>
        <w:pStyle w:val="Heading4"/>
        <w:ind w:left="1418" w:hanging="1418"/>
        <w:rPr/>
      </w:pPr>
      <w:bookmarkStart w:id="43" w:name="__RefHeading___Toc503999449"/>
      <w:bookmarkEnd w:id="43"/>
      <w:r>
        <w:rPr/>
        <w:t>5.11.3.3</w:t>
        <w:tab/>
        <w:t>Counter checks</w:t>
      </w:r>
    </w:p>
    <w:p>
      <w:pPr>
        <w:pStyle w:val="Normal"/>
        <w:spacing w:before="0" w:after="144"/>
        <w:rPr>
          <w:lang w:eastAsia="ja-JP"/>
        </w:rPr>
      </w:pPr>
      <w:r>
        <w:rPr/>
        <w:t xml:space="preserve">As PDCP-U is located in CU-UP, the CU-UP should be the trigger to start counter check. As analyzed above, anyway CU-CP preserves the updated KgNB and counter in order to inform UE about the key update. Similarly, it is CU-CP's responsibility to perform counter check with UE by RRC messages. That is, CU-CP executes a </w:t>
      </w:r>
      <w:r>
        <w:rPr/>
        <w:t>c</w:t>
      </w:r>
      <w:r>
        <w:rPr/>
        <w:t xml:space="preserve">ounter </w:t>
      </w:r>
      <w:r>
        <w:rPr/>
        <w:t>c</w:t>
      </w:r>
      <w:r>
        <w:rPr/>
        <w:t xml:space="preserve">heck procedure </w:t>
      </w:r>
      <w:r>
        <w:rPr>
          <w:lang w:eastAsia="ja-JP"/>
        </w:rPr>
        <w:t>t</w:t>
      </w:r>
      <w:r>
        <w:rPr/>
        <w:t xml:space="preserve">o verify the value of the PDCP COUNTs associated with </w:t>
      </w:r>
      <w:r>
        <w:rPr/>
        <w:t>bearer</w:t>
      </w:r>
      <w:r>
        <w:rPr/>
        <w:t xml:space="preserve">s </w:t>
      </w:r>
      <w:r>
        <w:rPr/>
        <w:t>established in</w:t>
      </w:r>
      <w:r>
        <w:rPr/>
        <w:t xml:space="preserve"> the CU-UP</w:t>
      </w:r>
      <w:r>
        <w:rPr>
          <w:lang w:eastAsia="ja-JP"/>
        </w:rPr>
        <w:t>.</w:t>
      </w:r>
      <w:r>
        <w:rPr>
          <w:lang w:eastAsia="ja-JP"/>
        </w:rPr>
        <w:t xml:space="preserve"> In short, CU-UP needs to trigger counter check procedure between CU-CP and UE. </w:t>
      </w:r>
    </w:p>
    <w:p>
      <w:pPr>
        <w:pStyle w:val="Heading1"/>
        <w:ind w:left="1134" w:hanging="1134"/>
        <w:rPr/>
      </w:pPr>
      <w:bookmarkStart w:id="44" w:name="__RefHeading___Toc503999450"/>
      <w:bookmarkEnd w:id="44"/>
      <w:r>
        <w:rPr/>
        <w:t>6</w:t>
        <w:tab/>
        <w:t>CP-UP separation: scenarios and assessment results</w:t>
      </w:r>
    </w:p>
    <w:p>
      <w:pPr>
        <w:pStyle w:val="Heading2"/>
        <w:rPr/>
      </w:pPr>
      <w:bookmarkStart w:id="45" w:name="__RefHeading___Toc503999451"/>
      <w:r>
        <w:rPr/>
        <w:t>6.1</w:t>
        <w:tab/>
        <w:t>Introduction</w:t>
      </w:r>
      <w:bookmarkEnd w:id="45"/>
      <w:r>
        <w:rPr/>
        <w:t xml:space="preserve"> </w:t>
      </w:r>
    </w:p>
    <w:p>
      <w:pPr>
        <w:pStyle w:val="Normal"/>
        <w:rPr/>
      </w:pPr>
      <w:r>
        <w:rPr/>
        <w:t>The first objective of the SI is reported in the following [1].</w:t>
      </w:r>
    </w:p>
    <w:p>
      <w:pPr>
        <w:pStyle w:val="B1"/>
        <w:rPr/>
      </w:pPr>
      <w:r>
        <w:rPr/>
        <w:t>-</w:t>
        <w:tab/>
      </w:r>
      <w:r>
        <w:rPr>
          <w:i/>
        </w:rPr>
        <w:t>"From TR 38.801, study the scenarios, the feasibility and the benefits of the separation of the CU-CP (control plane instance of PDCP/RRC protocols) and the CU-UP (the user plane instance of PDCP (and SDAP) protocols)."</w:t>
      </w:r>
    </w:p>
    <w:p>
      <w:pPr>
        <w:pStyle w:val="Normal"/>
        <w:rPr/>
      </w:pPr>
      <w:r>
        <w:rPr/>
        <w:t>In the flowing, the scenarios, benefits, and drawbacks are described.</w:t>
      </w:r>
    </w:p>
    <w:p>
      <w:pPr>
        <w:pStyle w:val="Heading2"/>
        <w:rPr/>
      </w:pPr>
      <w:bookmarkStart w:id="46" w:name="__RefHeading___Toc503999452"/>
      <w:bookmarkEnd w:id="46"/>
      <w:r>
        <w:rPr/>
        <w:t>6.2</w:t>
        <w:tab/>
        <w:t>Scenarios</w:t>
      </w:r>
    </w:p>
    <w:p>
      <w:pPr>
        <w:pStyle w:val="Heading3"/>
        <w:rPr/>
      </w:pPr>
      <w:bookmarkStart w:id="47" w:name="__RefHeading___Toc503999453"/>
      <w:bookmarkEnd w:id="47"/>
      <w:r>
        <w:rPr/>
        <w:t>6.2.1</w:t>
        <w:tab/>
        <w:t>Introduction</w:t>
      </w:r>
    </w:p>
    <w:p>
      <w:pPr>
        <w:pStyle w:val="Normal"/>
        <w:rPr/>
      </w:pPr>
      <w:r>
        <w:rPr/>
        <w:t xml:space="preserve">Scenarios for the separation of CU-CP and CU-UP are described in the following. In this clause, the DU, CU-CP and CU-UP represent logical entities, as defined in clause 3.1. The "Distributed entity", "Central UP entity" and "Central CP entity" represent entities which may be deployed at different physical sites. </w:t>
      </w:r>
    </w:p>
    <w:p>
      <w:pPr>
        <w:pStyle w:val="Heading3"/>
        <w:rPr/>
      </w:pPr>
      <w:bookmarkStart w:id="48" w:name="__RefHeading___Toc503999454"/>
      <w:bookmarkEnd w:id="48"/>
      <w:r>
        <w:rPr/>
        <w:t>6.2.2</w:t>
        <w:tab/>
        <w:t>Scenario 1: CU-CP and CU-UP centralized</w:t>
      </w:r>
    </w:p>
    <w:p>
      <w:pPr>
        <w:pStyle w:val="Normal"/>
        <w:rPr/>
      </w:pPr>
      <w:r>
        <w:rPr/>
        <w:t xml:space="preserve">This scenario represents the basic case for CU-DU split with dedicated CU-CP and CU-UP parts which may be located in one common or separated central entities. The CU-CP is centralized to coordinate the operation of several DUs. The CU-UP is centralized to provide a central termination point for UP traffic in dual-connectivity (DC) configurations. An example of this scenario, is depicted in the Figure 6.2.2-1. </w:t>
      </w:r>
    </w:p>
    <w:p>
      <w:pPr>
        <w:pStyle w:val="TH"/>
        <w:rPr/>
      </w:pPr>
      <w:r>
        <w:rPr/>
        <w:object w:dxaOrig="6744" w:dyaOrig="3444">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337.25pt;height:171.55pt" filled="f" o:ole="">
            <v:imagedata r:id="rId21" o:title=""/>
          </v:shape>
          <o:OLEObject Type="Embed" ProgID="" ShapeID="ole_rId20" DrawAspect="Content" ObjectID="_1865117238" r:id="rId20"/>
        </w:object>
      </w:r>
    </w:p>
    <w:p>
      <w:pPr>
        <w:pStyle w:val="TF"/>
        <w:rPr/>
      </w:pPr>
      <w:r>
        <w:rPr/>
        <w:t>Figure 6.2.2-1: CU-CP and CU-UP centralized</w:t>
      </w:r>
    </w:p>
    <w:p>
      <w:pPr>
        <w:pStyle w:val="Heading3"/>
        <w:rPr/>
      </w:pPr>
      <w:bookmarkStart w:id="49" w:name="__RefHeading___Toc503999455"/>
      <w:bookmarkEnd w:id="49"/>
      <w:r>
        <w:rPr/>
        <w:t>6.2.3</w:t>
        <w:tab/>
        <w:t>Scenario 2: CU-CP distributed and CU-UP centralized</w:t>
      </w:r>
    </w:p>
    <w:p>
      <w:pPr>
        <w:pStyle w:val="Normal"/>
        <w:rPr/>
      </w:pPr>
      <w:r>
        <w:rPr/>
        <w:t>CU-CP is deployed in a distributed manner and co-located with the DU. The CU-CP supervises the operation of a single DU. The CU-UP is centralized to provide a central termination point for UP traffic in DC configurations. An example of this scenario, is depicted in the Figure 6.2.3-1. In this scenario, the latency of the control signalling toward the UE and F1-C signalling is reduced as the CU-CP is co-located with the DU.</w:t>
      </w:r>
    </w:p>
    <w:p>
      <w:pPr>
        <w:pStyle w:val="TH"/>
        <w:rPr/>
      </w:pPr>
      <w:r>
        <w:rPr/>
        <w:object w:dxaOrig="6384" w:dyaOrig="3107">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319.25pt;height:154.6pt" filled="f" o:ole="">
            <v:imagedata r:id="rId23" o:title=""/>
          </v:shape>
          <o:OLEObject Type="Embed" ProgID="" ShapeID="ole_rId22" DrawAspect="Content" ObjectID="_1753127402" r:id="rId22"/>
        </w:object>
      </w:r>
    </w:p>
    <w:p>
      <w:pPr>
        <w:pStyle w:val="TF"/>
        <w:rPr/>
      </w:pPr>
      <w:r>
        <w:rPr/>
        <w:t>Figure 6.2.3-1: CU-CP distributed and CU-UP centralized</w:t>
      </w:r>
    </w:p>
    <w:p>
      <w:pPr>
        <w:pStyle w:val="Heading3"/>
        <w:rPr/>
      </w:pPr>
      <w:bookmarkStart w:id="50" w:name="__RefHeading___Toc503999456"/>
      <w:bookmarkEnd w:id="50"/>
      <w:r>
        <w:rPr/>
        <w:t>6.2.4</w:t>
        <w:tab/>
        <w:t>Scenario 3: CU-CP centralized and CU-UP distributed</w:t>
      </w:r>
    </w:p>
    <w:p>
      <w:pPr>
        <w:pStyle w:val="Normal"/>
        <w:rPr/>
      </w:pPr>
      <w:r>
        <w:rPr/>
        <w:t>CU-CP is centralized to coordinate the operation of several DUs. The CU-UP is distributed and co-located with a single DU. An example of this scenario, is depicted in the Figure 6.2.4-1.</w:t>
      </w:r>
    </w:p>
    <w:p>
      <w:pPr>
        <w:pStyle w:val="TH"/>
        <w:rPr/>
      </w:pPr>
      <w:r>
        <w:rPr/>
        <w:object w:dxaOrig="6780" w:dyaOrig="3792">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339.7pt;height:189.65pt" filled="f" o:ole="">
            <v:imagedata r:id="rId25" o:title=""/>
          </v:shape>
          <o:OLEObject Type="Embed" ProgID="" ShapeID="ole_rId24" DrawAspect="Content" ObjectID="_688280300" r:id="rId24"/>
        </w:object>
      </w:r>
    </w:p>
    <w:p>
      <w:pPr>
        <w:pStyle w:val="TF"/>
        <w:rPr/>
      </w:pPr>
      <w:r>
        <w:rPr/>
        <w:t>Figure 6.2.4-1: CU-CP centralize and CU-UP distributed</w:t>
      </w:r>
    </w:p>
    <w:p>
      <w:pPr>
        <w:pStyle w:val="Heading2"/>
        <w:rPr/>
      </w:pPr>
      <w:bookmarkStart w:id="51" w:name="__RefHeading___Toc503999457"/>
      <w:bookmarkEnd w:id="51"/>
      <w:r>
        <w:rPr/>
        <w:t>6.3</w:t>
        <w:tab/>
        <w:t>Benefits and drawbacks</w:t>
      </w:r>
    </w:p>
    <w:p>
      <w:pPr>
        <w:pStyle w:val="Heading3"/>
        <w:rPr/>
      </w:pPr>
      <w:bookmarkStart w:id="52" w:name="__RefHeading___Toc503999458"/>
      <w:bookmarkEnd w:id="52"/>
      <w:r>
        <w:rPr/>
        <w:t>6.3.1</w:t>
        <w:tab/>
        <w:t>Introduction</w:t>
      </w:r>
    </w:p>
    <w:p>
      <w:pPr>
        <w:pStyle w:val="Normal"/>
        <w:rPr/>
      </w:pPr>
      <w:r>
        <w:rPr/>
        <w:t xml:space="preserve">Some benefits for the separation of CU-CP and CU-UP common to the analysed scenarios were identified: </w:t>
      </w:r>
    </w:p>
    <w:p>
      <w:pPr>
        <w:pStyle w:val="B1"/>
        <w:rPr/>
      </w:pPr>
      <w:r>
        <w:rPr/>
        <w:t>-</w:t>
        <w:tab/>
        <w:t>Flexibility to operate and manage complex networks, supporting different network topologies, resources, and new service requirements;</w:t>
      </w:r>
    </w:p>
    <w:p>
      <w:pPr>
        <w:pStyle w:val="B1"/>
        <w:rPr/>
      </w:pPr>
      <w:r>
        <w:rPr/>
        <w:t>-</w:t>
        <w:tab/>
        <w:t>Alignment with SDN concept that would result in a functional decomposition of the radio access, based on a partial de-coupled architecture, between user and control plane entities and on network abstractions;</w:t>
      </w:r>
    </w:p>
    <w:p>
      <w:pPr>
        <w:pStyle w:val="B1"/>
        <w:rPr/>
      </w:pPr>
      <w:r>
        <w:rPr/>
        <w:t>-</w:t>
        <w:tab/>
        <w:t>For functions purely handling with CP or UP processes, independent scaling and realization for control and user plane functions operation;</w:t>
      </w:r>
    </w:p>
    <w:p>
      <w:pPr>
        <w:pStyle w:val="B1"/>
        <w:rPr/>
      </w:pPr>
      <w:r>
        <w:rPr/>
        <w:t>-</w:t>
        <w:tab/>
        <w:t>Support of multi-vendor interoperability (e.g., CU-CP and CU-UP could be provided by different vendors).</w:t>
      </w:r>
    </w:p>
    <w:p>
      <w:pPr>
        <w:pStyle w:val="B1"/>
        <w:rPr/>
      </w:pPr>
      <w:r>
        <w:rPr/>
        <w:t>-</w:t>
        <w:tab/>
        <w:t xml:space="preserve">The gNB deployment with separate CU-CP and CU-UP provides the possibility of optimizing the location of different RAN functions based on the scenario and desired performance. For example, the CU-CP could be placed in a location close to the DU to provide short latency for the critical CP procedures. The CU-UP could be centralized in a regional or national data center, thus favouring cloud implementation. An additional CU-UP could be also placed closer to the DU to provide a local termination point for [...] URLLC traffic.  </w:t>
      </w:r>
    </w:p>
    <w:p>
      <w:pPr>
        <w:pStyle w:val="B1"/>
        <w:rPr/>
      </w:pPr>
      <w:r>
        <w:rPr/>
        <w:t>-</w:t>
        <w:tab/>
        <w:t>Support of radio resource isolation and improving resource utilization for network slicing. A slicing instance may cover a geographic area of several ten to several hundred of gNBs. Central RRM may provide slice-level isolation as well as improve resource utilization.</w:t>
      </w:r>
    </w:p>
    <w:p>
      <w:pPr>
        <w:pStyle w:val="Normal"/>
        <w:rPr/>
      </w:pPr>
      <w:r>
        <w:rPr/>
        <w:t>On the other hand, the separation of CU-CP and CU-UP introduces new logical nodes, which may make networking and topology more complicated, thus efforts on network maintenance may also increase. Furthermore, depending on the deployment scenarios and topology, control and user plane signalling messages and their delay between CU-CP and CU-UP may increase.</w:t>
      </w:r>
    </w:p>
    <w:p>
      <w:pPr>
        <w:pStyle w:val="Normal"/>
        <w:rPr/>
      </w:pPr>
      <w:r>
        <w:rPr/>
        <w:t>The following aspects are specific for the identified scenarios, meaning that above mentioned benefits and drawbacks are applied to all the scenarios generally.</w:t>
      </w:r>
    </w:p>
    <w:p>
      <w:pPr>
        <w:pStyle w:val="Heading3"/>
        <w:rPr/>
      </w:pPr>
      <w:bookmarkStart w:id="53" w:name="__RefHeading___Toc503999459"/>
      <w:bookmarkEnd w:id="53"/>
      <w:r>
        <w:rPr/>
        <w:t>6.3.2</w:t>
        <w:tab/>
        <w:t>Scenario 1</w:t>
      </w:r>
    </w:p>
    <w:p>
      <w:pPr>
        <w:pStyle w:val="Normal"/>
        <w:rPr>
          <w:b/>
          <w:b/>
        </w:rPr>
      </w:pPr>
      <w:r>
        <w:rPr>
          <w:b/>
        </w:rPr>
        <w:t>Benefits</w:t>
      </w:r>
    </w:p>
    <w:p>
      <w:pPr>
        <w:pStyle w:val="Normal"/>
        <w:rPr/>
      </w:pPr>
      <w:r>
        <w:rPr/>
        <w:t>Centralized CU-CP potentially provides efficient load balancing and radio coordination of several DUs. This scenario allows to take maximum advantage of cloud technologies because both the CU-CP and CU-UP can be implemented in a virtualized environment. For the case where both CU-CP and CU-UP are deployed within the same physical node(s), the signalling over the E1 interface would be internal to the gNB and would not flow over the transport network.</w:t>
      </w:r>
    </w:p>
    <w:p>
      <w:pPr>
        <w:pStyle w:val="Heading3"/>
        <w:rPr/>
      </w:pPr>
      <w:bookmarkStart w:id="54" w:name="__RefHeading___Toc503999460"/>
      <w:bookmarkEnd w:id="54"/>
      <w:r>
        <w:rPr/>
        <w:t>6.3.3</w:t>
        <w:tab/>
        <w:t>Scenario 2</w:t>
      </w:r>
    </w:p>
    <w:p>
      <w:pPr>
        <w:pStyle w:val="Normal"/>
        <w:rPr>
          <w:b/>
          <w:b/>
        </w:rPr>
      </w:pPr>
      <w:r>
        <w:rPr>
          <w:b/>
        </w:rPr>
        <w:t>Benefits</w:t>
      </w:r>
    </w:p>
    <w:p>
      <w:pPr>
        <w:pStyle w:val="Normal"/>
        <w:rPr/>
      </w:pPr>
      <w:r>
        <w:rPr/>
        <w:t>This scenario allows to take advantage of cloud technologies for user plane functions while ensuring low latency for critical control plane procedures</w:t>
      </w:r>
    </w:p>
    <w:p>
      <w:pPr>
        <w:pStyle w:val="Normal"/>
        <w:rPr>
          <w:b/>
          <w:b/>
        </w:rPr>
      </w:pPr>
      <w:r>
        <w:rPr>
          <w:b/>
        </w:rPr>
        <w:t>Drawbacks</w:t>
      </w:r>
    </w:p>
    <w:p>
      <w:pPr>
        <w:pStyle w:val="Normal"/>
        <w:rPr/>
      </w:pPr>
      <w:r>
        <w:rPr/>
        <w:t>E1 signalling between the local Control and the User Plane function would flow over the transport network, e.g., between the distributed entity and the data center. This scenario may introduce higher control plane latency for E1 interface compared to Scenario 1. The impact of the extra-latency depends on the characteristics of the transport network and can be limited by a careful network design and opportune transport network infrastructure.</w:t>
      </w:r>
    </w:p>
    <w:p>
      <w:pPr>
        <w:pStyle w:val="Heading3"/>
        <w:rPr/>
      </w:pPr>
      <w:bookmarkStart w:id="55" w:name="__RefHeading___Toc503999461"/>
      <w:bookmarkEnd w:id="55"/>
      <w:r>
        <w:rPr/>
        <w:t>6.3.4</w:t>
        <w:tab/>
        <w:t>Scenario 3</w:t>
      </w:r>
    </w:p>
    <w:p>
      <w:pPr>
        <w:pStyle w:val="Normal"/>
        <w:rPr>
          <w:b/>
          <w:b/>
        </w:rPr>
      </w:pPr>
      <w:r>
        <w:rPr>
          <w:b/>
        </w:rPr>
        <w:t>Benefits</w:t>
      </w:r>
    </w:p>
    <w:p>
      <w:pPr>
        <w:pStyle w:val="Normal"/>
        <w:rPr/>
      </w:pPr>
      <w:r>
        <w:rPr/>
        <w:t>Centralized CU-CP potentially provides efficient load balancing and radio coordination of several DUs. This scenario also allows to take advantage of cloud technologies while ensuring low latency for user plane traffic, which is important for some applications (e.g., critical MTC).</w:t>
      </w:r>
    </w:p>
    <w:p>
      <w:pPr>
        <w:pStyle w:val="Normal"/>
        <w:rPr>
          <w:b/>
          <w:b/>
        </w:rPr>
      </w:pPr>
      <w:r>
        <w:rPr>
          <w:b/>
        </w:rPr>
        <w:t>Drawbacks</w:t>
      </w:r>
    </w:p>
    <w:p>
      <w:pPr>
        <w:pStyle w:val="Normal"/>
        <w:rPr/>
      </w:pPr>
      <w:r>
        <w:rPr/>
        <w:t>This scenario may introduce higher control plane latency compared to Scenario 1. The impact of the extra-latency depends on the characteristics of the transport network and can be limited by a careful network design and opportune transport network infrastructure.</w:t>
      </w:r>
    </w:p>
    <w:p>
      <w:pPr>
        <w:pStyle w:val="Heading2"/>
        <w:rPr/>
      </w:pPr>
      <w:bookmarkStart w:id="56" w:name="__RefHeading___Toc503999462"/>
      <w:bookmarkEnd w:id="56"/>
      <w:r>
        <w:rPr/>
        <w:t>6.4</w:t>
        <w:tab/>
        <w:t>Conclusions for scenarios and benefits</w:t>
      </w:r>
    </w:p>
    <w:p>
      <w:pPr>
        <w:pStyle w:val="Normal"/>
        <w:rPr/>
      </w:pPr>
      <w:r>
        <w:rPr/>
        <w:t xml:space="preserve">Based on the study for each option, all the scenarios can be considered as possible deployment with regards of their own benefits and drawbacks. </w:t>
      </w:r>
    </w:p>
    <w:p>
      <w:pPr>
        <w:pStyle w:val="Heading1"/>
        <w:ind w:left="1134" w:hanging="1134"/>
        <w:rPr/>
      </w:pPr>
      <w:bookmarkStart w:id="57" w:name="__RefHeading___Toc503999463"/>
      <w:bookmarkEnd w:id="57"/>
      <w:r>
        <w:rPr/>
        <w:t>7</w:t>
        <w:tab/>
        <w:t>CP-UP separation: solutions</w:t>
      </w:r>
    </w:p>
    <w:p>
      <w:pPr>
        <w:pStyle w:val="Normal"/>
        <w:rPr/>
      </w:pPr>
      <w:r>
        <w:rPr/>
        <w:t xml:space="preserve">Solution #1) The separation of the </w:t>
      </w:r>
      <w:r>
        <w:rPr>
          <w:bCs/>
        </w:rPr>
        <w:t>CU-CP (control plane instance of PDCP/RRC protocols) and the CU-UP (the user plane instance of PDCP (and SDAP) protocols) could be realized by implementation dependent (i.e. no standardized interface).</w:t>
      </w:r>
    </w:p>
    <w:p>
      <w:pPr>
        <w:pStyle w:val="Normal"/>
        <w:rPr>
          <w:bCs/>
        </w:rPr>
      </w:pPr>
      <w:r>
        <w:rPr>
          <w:bCs/>
        </w:rPr>
        <w:t>Solution #2) It can be achieved by a new interface i.e. standardisation of a dedicated Application Protocols and Transport Network Layer. A standardized interface could facilitate multivendor scenario.</w:t>
      </w:r>
    </w:p>
    <w:p>
      <w:pPr>
        <w:pStyle w:val="Heading1"/>
        <w:ind w:left="1134" w:hanging="1134"/>
        <w:rPr/>
      </w:pPr>
      <w:bookmarkStart w:id="58" w:name="__RefHeading___Toc503999464"/>
      <w:bookmarkEnd w:id="58"/>
      <w:r>
        <w:rPr/>
        <w:t>8</w:t>
        <w:tab/>
      </w:r>
      <w:r>
        <w:rPr/>
        <w:t>Conclusions</w:t>
      </w:r>
    </w:p>
    <w:p>
      <w:pPr>
        <w:pStyle w:val="Normal"/>
        <w:rPr>
          <w:rFonts w:cs="Arial"/>
        </w:rPr>
      </w:pPr>
      <w:r>
        <w:rPr>
          <w:rFonts w:cs="Arial"/>
        </w:rPr>
        <w:t xml:space="preserve">During the study item, it was recognized that the separation of CU-CP and CU-UP within the gNB based on the introduction of a new interface is technically feasible and beneficial. </w:t>
      </w:r>
    </w:p>
    <w:p>
      <w:pPr>
        <w:pStyle w:val="Normal"/>
        <w:rPr>
          <w:rFonts w:cs="Arial"/>
        </w:rPr>
      </w:pPr>
      <w:r>
        <w:rPr>
          <w:rFonts w:cs="Arial"/>
        </w:rPr>
        <w:t xml:space="preserve">Three scenarios of gNB internal architecture were identified and all the scenarios can be considered as possible deployments with regards to their own benefits and drawbacks. </w:t>
      </w:r>
    </w:p>
    <w:p>
      <w:pPr>
        <w:pStyle w:val="Normal"/>
        <w:rPr>
          <w:rFonts w:cs="Arial"/>
        </w:rPr>
      </w:pPr>
      <w:r>
        <w:rPr>
          <w:rFonts w:cs="Arial"/>
        </w:rPr>
        <w:t xml:space="preserve">The general architecture and principles have been defined. Furthermore, the CU-CP and CU-UP interface functions, protocol stack and overall procedures have been described, including stage 3 aspects. </w:t>
      </w:r>
    </w:p>
    <w:p>
      <w:pPr>
        <w:pStyle w:val="Normal"/>
        <w:rPr>
          <w:rFonts w:cs="Arial"/>
        </w:rPr>
      </w:pPr>
      <w:r>
        <w:rPr>
          <w:rFonts w:cs="Arial"/>
        </w:rPr>
        <w:t>Some details are to be solved during the normative work including the introduction of additional interface functions, associated mechanisms, security aspects (including check with SA3) and the data forwarding between CU-UPs.</w:t>
      </w:r>
      <w:r>
        <w:br w:type="page"/>
      </w:r>
    </w:p>
    <w:p>
      <w:pPr>
        <w:pStyle w:val="Heading9"/>
        <w:rPr>
          <w:lang w:eastAsia="zh-CN"/>
        </w:rPr>
      </w:pPr>
      <w:bookmarkStart w:id="59" w:name="__RefHeading___Toc503999465"/>
      <w:bookmarkEnd w:id="59"/>
      <w:r>
        <w:rPr>
          <w:lang w:eastAsia="zh-CN"/>
        </w:rPr>
        <w:t>Annex A:</w:t>
        <w:br/>
        <w:t>Change history</w:t>
      </w:r>
    </w:p>
    <w:tbl>
      <w:tblPr>
        <w:tblW w:w="9639" w:type="dxa"/>
        <w:jc w:val="left"/>
        <w:tblInd w:w="-7" w:type="dxa"/>
        <w:tblLayout w:type="fixed"/>
        <w:tblCellMar>
          <w:top w:w="0" w:type="dxa"/>
          <w:left w:w="40" w:type="dxa"/>
          <w:bottom w:w="0" w:type="dxa"/>
          <w:right w:w="40" w:type="dxa"/>
        </w:tblCellMar>
      </w:tblPr>
      <w:tblGrid>
        <w:gridCol w:w="800"/>
        <w:gridCol w:w="800"/>
        <w:gridCol w:w="1094"/>
        <w:gridCol w:w="425"/>
        <w:gridCol w:w="425"/>
        <w:gridCol w:w="425"/>
        <w:gridCol w:w="4962"/>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TDoc</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Cat</w:t>
            </w:r>
          </w:p>
        </w:tc>
        <w:tc>
          <w:tcPr>
            <w:tcW w:w="4962"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rPr>
              <w:t>2017-06</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rPr>
              <w:t xml:space="preserve">RAN3 NR#2 </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R3-172534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Initial Skeleton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rPr>
              <w:t>2017-08</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rPr>
              <w:t>RAN3-97</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R3-173331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lang w:eastAsia="zh-CN"/>
              </w:rPr>
            </w:pPr>
            <w:r>
              <w:rPr>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Initial Skeleton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2017-10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RAN3-97bis</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lang w:eastAsia="zh-CN"/>
              </w:rPr>
              <w:t>R3-174143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rPr>
              <w:t>Version 0.1.0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0.1.1</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2017-10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RAN3-97bis</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R3-174256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rPr>
            </w:pPr>
            <w:r>
              <w:rPr>
                <w:iCs/>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rPr>
            </w:pPr>
            <w:r>
              <w:rPr>
                <w:iCs/>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iCs/>
                <w:sz w:val="16"/>
                <w:szCs w:val="16"/>
              </w:rPr>
            </w:pPr>
            <w:r>
              <w:rPr>
                <w:iCs/>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Version 0.2.0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0.2.0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2017-12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RAN3-98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R3-175069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lang w:eastAsia="zh-CN"/>
              </w:rPr>
            </w:pPr>
            <w:r>
              <w:rPr>
                <w:iCs/>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lang w:eastAsia="zh-CN"/>
              </w:rPr>
            </w:pPr>
            <w:r>
              <w:rPr>
                <w:iCs/>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iCs/>
                <w:sz w:val="16"/>
                <w:szCs w:val="16"/>
              </w:rPr>
            </w:pPr>
            <w:r>
              <w:rPr>
                <w:iCs/>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Version 0.3.0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0.3.0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2017-12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RP-</w:t>
            </w:r>
            <w:r>
              <w:rPr>
                <w:iCs/>
                <w:sz w:val="16"/>
                <w:szCs w:val="16"/>
              </w:rPr>
              <w:t>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rPr>
            </w:pPr>
            <w:r>
              <w:rPr>
                <w:iCs/>
                <w:sz w:val="16"/>
                <w:szCs w:val="16"/>
              </w:rPr>
              <w:t>RP-172466</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lang w:eastAsia="zh-CN"/>
              </w:rPr>
            </w:pPr>
            <w:r>
              <w:rPr>
                <w:iCs/>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lang w:eastAsia="zh-CN"/>
              </w:rPr>
            </w:pPr>
            <w:r>
              <w:rPr>
                <w:iCs/>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iCs/>
                <w:sz w:val="16"/>
                <w:szCs w:val="16"/>
              </w:rPr>
            </w:pPr>
            <w:r>
              <w:rPr>
                <w:iCs/>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TR submitted to RAN for approval</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1.0.0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2017-12</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sz w:val="16"/>
                <w:szCs w:val="16"/>
              </w:rPr>
              <w:t>RP-</w:t>
            </w:r>
            <w:r>
              <w:rPr>
                <w:iCs/>
                <w:sz w:val="16"/>
                <w:szCs w:val="16"/>
              </w:rPr>
              <w:t>78</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rPr>
            </w:pPr>
            <w:r>
              <w:rPr>
                <w:iCs/>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lang w:eastAsia="zh-CN"/>
              </w:rPr>
            </w:pPr>
            <w:r>
              <w:rPr>
                <w:iCs/>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iCs/>
                <w:sz w:val="16"/>
                <w:szCs w:val="16"/>
                <w:lang w:eastAsia="zh-CN"/>
              </w:rPr>
            </w:pPr>
            <w:r>
              <w:rPr>
                <w:iCs/>
                <w:sz w:val="16"/>
                <w:szCs w:val="16"/>
                <w:lang w:eastAsia="zh-CN"/>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iCs/>
                <w:sz w:val="16"/>
                <w:szCs w:val="16"/>
              </w:rPr>
            </w:pPr>
            <w:r>
              <w:rPr>
                <w:iCs/>
                <w:sz w:val="16"/>
                <w:szCs w:val="16"/>
              </w:rPr>
            </w:r>
          </w:p>
        </w:tc>
        <w:tc>
          <w:tcPr>
            <w:tcW w:w="4962"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TR is approved by RAN plenary</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iCs/>
                <w:sz w:val="16"/>
                <w:szCs w:val="16"/>
                <w:lang w:eastAsia="zh-CN"/>
              </w:rPr>
            </w:pPr>
            <w:r>
              <w:rPr>
                <w:iCs/>
                <w:sz w:val="16"/>
                <w:szCs w:val="16"/>
                <w:lang w:eastAsia="zh-CN"/>
              </w:rPr>
              <w:t>15.0.0</w:t>
            </w:r>
          </w:p>
        </w:tc>
      </w:tr>
    </w:tbl>
    <w:p>
      <w:pPr>
        <w:pStyle w:val="Normal"/>
        <w:widowControl/>
        <w:overflowPunct w:val="false"/>
        <w:autoSpaceDE w:val="false"/>
        <w:bidi w:val="0"/>
        <w:spacing w:before="0" w:after="180"/>
        <w:textAlignment w:val="baseline"/>
        <w:rPr/>
      </w:pPr>
      <w:r>
        <w:rPr/>
      </w:r>
    </w:p>
    <w:sectPr>
      <w:headerReference w:type="default" r:id="rId26"/>
      <w:footerReference w:type="default" r:id="rId27"/>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Liberation Sans">
    <w:altName w:val="Arial"/>
    <w:charset w:val="01"/>
    <w:family w:val="swiss"/>
    <w:pitch w:val="variable"/>
  </w:font>
  <w:font w:name="Tahoma">
    <w:charset w:val="00"/>
    <w:family w:val="swiss"/>
    <w:pitch w:val="variable"/>
  </w:font>
  <w:font w:name="Calibri">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43">
              <wp:simplePos x="0" y="0"/>
              <wp:positionH relativeFrom="margin">
                <wp:align>right</wp:align>
              </wp:positionH>
              <wp:positionV relativeFrom="paragraph">
                <wp:posOffset>635</wp:posOffset>
              </wp:positionV>
              <wp:extent cx="1824990" cy="131445"/>
              <wp:effectExtent l="0" t="0" r="0" b="0"/>
              <wp:wrapSquare wrapText="largest"/>
              <wp:docPr id="14" name="Frame10"/>
              <a:graphic xmlns:a="http://schemas.openxmlformats.org/drawingml/2006/main">
                <a:graphicData uri="http://schemas.microsoft.com/office/word/2010/wordprocessingShape">
                  <wps:wsp>
                    <wps:cNvSpPr txBox="1"/>
                    <wps:spPr>
                      <a:xfrm>
                        <a:off x="0" y="0"/>
                        <a:ext cx="1824990" cy="131445"/>
                      </a:xfrm>
                      <a:prstGeom prst="rect"/>
                      <a:solidFill>
                        <a:srgbClr val="FFFFFF">
                          <a:alpha val="0"/>
                        </a:srgbClr>
                      </a:solidFill>
                    </wps:spPr>
                    <wps:txbx>
                      <w:txbxContent>
                        <w:p>
                          <w:pPr>
                            <w:pStyle w:val="Header"/>
                            <w:widowControl/>
                            <w:rPr/>
                          </w:pPr>
                          <w:r>
                            <w:fldChar w:fldCharType="begin"/>
                          </w:r>
                          <w:r>
                            <w:rPr/>
                            <w:instrText xml:space="preserve"> STYLEREF ZA </w:instrText>
                          </w:r>
                          <w:r>
                            <w:rPr/>
                          </w:r>
                          <w:r>
                            <w:rPr/>
                            <w:fldChar w:fldCharType="separate"/>
                          </w:r>
                          <w:r>
                            <w:rPr/>
                            <w:t>3GPP TR 38.806 V15.0.0 (2017-12)</w:t>
                          </w:r>
                          <w:r>
                            <w:rPr/>
                          </w:r>
                          <w:r>
                            <w:rPr/>
                            <w:fldChar w:fldCharType="end"/>
                          </w:r>
                        </w:p>
                      </w:txbxContent>
                    </wps:txbx>
                    <wps:bodyPr anchor="t" lIns="0" tIns="0" rIns="0" bIns="0">
                      <a:noAutofit/>
                    </wps:bodyPr>
                  </wps:wsp>
                </a:graphicData>
              </a:graphic>
            </wp:anchor>
          </w:drawing>
        </mc:Choice>
        <mc:Fallback>
          <w:pict>
            <v:rect fillcolor="#FFFFFF" style="position:absolute;rotation:-0;width:143.7pt;height:10.35pt;mso-wrap-distance-left:0pt;mso-wrap-distance-right:0pt;mso-wrap-distance-top:0pt;mso-wrap-distance-bottom:0pt;margin-top:0.05pt;mso-position-vertical-relative:text;margin-left:338.3pt;mso-position-horizontal:right;mso-position-horizontal-relative:margin">
              <v:fill opacity="0f"/>
              <v:textbox inset="0in,0in,0in,0in">
                <w:txbxContent>
                  <w:p>
                    <w:pPr>
                      <w:pStyle w:val="Header"/>
                      <w:widowControl/>
                      <w:rPr/>
                    </w:pPr>
                    <w:r>
                      <w:fldChar w:fldCharType="begin"/>
                    </w:r>
                    <w:r>
                      <w:rPr/>
                      <w:instrText xml:space="preserve"> STYLEREF ZA </w:instrText>
                    </w:r>
                    <w:r>
                      <w:rPr/>
                    </w:r>
                    <w:r>
                      <w:rPr/>
                      <w:fldChar w:fldCharType="separate"/>
                    </w:r>
                    <w:r>
                      <w:rPr/>
                      <w:t>3GPP TR 38.806 V15.0.0 (2017-12)</w:t>
                    </w:r>
                    <w:r>
                      <w:rPr/>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64">
              <wp:simplePos x="0" y="0"/>
              <wp:positionH relativeFrom="margin">
                <wp:align>center</wp:align>
              </wp:positionH>
              <wp:positionV relativeFrom="paragraph">
                <wp:posOffset>635</wp:posOffset>
              </wp:positionV>
              <wp:extent cx="127635" cy="131445"/>
              <wp:effectExtent l="0" t="0" r="0" b="0"/>
              <wp:wrapSquare wrapText="largest"/>
              <wp:docPr id="15"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22</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6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22</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85">
              <wp:simplePos x="0" y="0"/>
              <wp:positionH relativeFrom="margin">
                <wp:align>left</wp:align>
              </wp:positionH>
              <wp:positionV relativeFrom="paragraph">
                <wp:posOffset>635</wp:posOffset>
              </wp:positionV>
              <wp:extent cx="591820" cy="131445"/>
              <wp:effectExtent l="0" t="0" r="0" b="0"/>
              <wp:wrapSquare wrapText="largest"/>
              <wp:docPr id="16"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pPr>
                          <w:r>
                            <w:fldChar w:fldCharType="begin"/>
                          </w:r>
                          <w:r>
                            <w:rPr/>
                            <w:instrText xml:space="preserve"> STYLEREF ZGSM </w:instrText>
                          </w:r>
                          <w:r>
                            <w:rPr/>
                          </w:r>
                          <w:r>
                            <w:rPr/>
                            <w:fldChar w:fldCharType="separate"/>
                          </w:r>
                          <w:r>
                            <w:rPr/>
                            <w:t>Release 15</w:t>
                          </w:r>
                          <w:r>
                            <w:rPr/>
                          </w:r>
                          <w:r>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pPr>
                    <w:r>
                      <w:fldChar w:fldCharType="begin"/>
                    </w:r>
                    <w:r>
                      <w:rPr/>
                      <w:instrText xml:space="preserve"> STYLEREF ZGSM </w:instrText>
                    </w:r>
                    <w:r>
                      <w:rPr/>
                    </w:r>
                    <w:r>
                      <w:rPr/>
                      <w:fldChar w:fldCharType="separate"/>
                    </w:r>
                    <w:r>
                      <w:rPr/>
                      <w:t>Release 15</w:t>
                    </w:r>
                    <w:r>
                      <w:rPr/>
                    </w:r>
                    <w:r>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737"/>
        </w:tabs>
        <w:ind w:left="737" w:hanging="453"/>
      </w:pPr>
      <w:rPr>
        <w:rFonts w:ascii="Symbol" w:hAnsi="Symbol" w:cs="Symbol" w:hint="default"/>
        <w:color w:val="000000"/>
      </w:rPr>
    </w:lvl>
  </w:abstractNum>
  <w:abstractNum w:abstractNumId="3">
    <w:lvl w:ilvl="0">
      <w:start w:val="1"/>
      <w:numFmt w:val="decimal"/>
      <w:lvlText w:val="[%1]"/>
      <w:lvlJc w:val="left"/>
      <w:pPr>
        <w:tabs>
          <w:tab w:val="num" w:pos="567"/>
        </w:tabs>
        <w:ind w:left="567" w:hanging="567"/>
      </w:pPr>
      <w:rPr/>
    </w:lvl>
  </w:abstractNum>
  <w:abstractNum w:abstractNumId="4">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style>
  <w:style w:type="character" w:styleId="WW8Num14z0">
    <w:name w:val="WW8Num14z0"/>
    <w:qFormat/>
    <w:rPr>
      <w:rFonts w:ascii="Times New Roman" w:hAnsi="Times New Roman" w:eastAsia="MS Mincho;ＭＳ 明朝"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color w:val="000000"/>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Times New Roman"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2z5">
    <w:name w:val="WW8Num22z5"/>
    <w:qFormat/>
    <w:rPr>
      <w:rFonts w:ascii="Wingdings" w:hAnsi="Wingdings" w:cs="Wingdings"/>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rFonts w:ascii="Arial" w:hAnsi="Arial" w:cs="Aria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Arial" w:hAnsi="Arial" w:cs="Aria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rFonts w:ascii="Symbol" w:hAnsi="Symbol" w:cs="Symbol"/>
    </w:rPr>
  </w:style>
  <w:style w:type="character" w:styleId="WW8Num28z1">
    <w:name w:val="WW8Num28z1"/>
    <w:qFormat/>
    <w:rPr>
      <w:rFonts w:ascii="Courier New" w:hAnsi="Courier New" w:cs="Times New Roman"/>
    </w:rPr>
  </w:style>
  <w:style w:type="character" w:styleId="WW8Num28z2">
    <w:name w:val="WW8Num28z2"/>
    <w:qFormat/>
    <w:rPr>
      <w:rFonts w:cs="Times New Roman"/>
    </w:rPr>
  </w:style>
  <w:style w:type="character" w:styleId="WW8Num29z0">
    <w:name w:val="WW8Num29z0"/>
    <w:qFormat/>
    <w:rPr>
      <w:rFonts w:ascii="Arial" w:hAnsi="Arial" w:eastAsia="MS Mincho;ＭＳ 明朝" w:cs="Arial"/>
    </w:rPr>
  </w:style>
  <w:style w:type="character" w:styleId="WW8Num30z0">
    <w:name w:val="WW8Num30z0"/>
    <w:qFormat/>
    <w:rPr>
      <w:rFonts w:ascii="Arial" w:hAnsi="Arial" w:eastAsia="MS Mincho;ＭＳ 明朝" w:cs="Arial"/>
    </w:rPr>
  </w:style>
  <w:style w:type="character" w:styleId="WW8Num30z3">
    <w:name w:val="WW8Num30z3"/>
    <w:qFormat/>
    <w:rPr>
      <w:rFonts w:ascii="Symbol" w:hAnsi="Symbol" w:cs="Symbol"/>
    </w:rPr>
  </w:style>
  <w:style w:type="character" w:styleId="WW8Num30z4">
    <w:name w:val="WW8Num30z4"/>
    <w:qFormat/>
    <w:rPr>
      <w:rFonts w:ascii="Courier New" w:hAnsi="Courier New" w:cs="Courier New"/>
    </w:rPr>
  </w:style>
  <w:style w:type="character" w:styleId="WW8Num30z5">
    <w:name w:val="WW8Num30z5"/>
    <w:qFormat/>
    <w:rPr>
      <w:rFonts w:ascii="Wingdings" w:hAnsi="Wingdings" w:cs="Wingdings"/>
    </w:rPr>
  </w:style>
  <w:style w:type="character" w:styleId="WW8Num31z1">
    <w:name w:val="WW8Num31z1"/>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B1Char1">
    <w:name w:val="B1 Char1"/>
    <w:qFormat/>
    <w:rPr>
      <w:rFonts w:eastAsia="Times New Roman"/>
    </w:rPr>
  </w:style>
  <w:style w:type="character" w:styleId="EditorsNoteChar">
    <w:name w:val="Editor's Note Char"/>
    <w:qFormat/>
    <w:rPr>
      <w:rFonts w:eastAsia="Times New Roman"/>
      <w:color w:val="FF0000"/>
    </w:rPr>
  </w:style>
  <w:style w:type="character" w:styleId="THChar">
    <w:name w:val="TH Char"/>
    <w:qFormat/>
    <w:rPr>
      <w:rFonts w:ascii="Arial" w:hAnsi="Arial" w:eastAsia="Times New Roman" w:cs="Arial"/>
      <w:b/>
    </w:rPr>
  </w:style>
  <w:style w:type="character" w:styleId="TFChar">
    <w:name w:val="TF Char"/>
    <w:qFormat/>
    <w:rPr>
      <w:rFonts w:ascii="Arial" w:hAnsi="Arial" w:eastAsia="Times New Roman" w:cs="Arial"/>
      <w:b/>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ListParagraphChar">
    <w:name w:val="List Paragraph Char"/>
    <w:qFormat/>
    <w:rPr>
      <w:rFonts w:ascii="Arial" w:hAnsi="Arial" w:eastAsia="MS Mincho;ＭＳ 明朝" w:cs="Arial"/>
      <w:lang w:eastAsia="zh-CN"/>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CommentReference">
    <w:name w:val="Comment Reference"/>
    <w:qFormat/>
    <w:rPr>
      <w:sz w:val="16"/>
    </w:rPr>
  </w:style>
  <w:style w:type="character" w:styleId="Emphasis">
    <w:name w:val="Emphasis"/>
    <w:qFormat/>
    <w:rPr>
      <w:i/>
      <w:iCs/>
    </w:rPr>
  </w:style>
  <w:style w:type="character" w:styleId="BalloonTextChar">
    <w:name w:val="Balloon Text Char"/>
    <w:qFormat/>
    <w:rPr>
      <w:rFonts w:ascii="Segoe UI" w:hAnsi="Segoe UI" w:cs="Segoe UI"/>
      <w:sz w:val="18"/>
      <w:szCs w:val="18"/>
      <w:lang w:val="en-GB"/>
    </w:rPr>
  </w:style>
  <w:style w:type="character" w:styleId="B1Zchn">
    <w:name w:val="B1 Zchn"/>
    <w:qFormat/>
    <w:rPr>
      <w:lang w:val="en-GB"/>
    </w:rPr>
  </w:style>
  <w:style w:type="character" w:styleId="TALChar">
    <w:name w:val="TAL Char"/>
    <w:qFormat/>
    <w:rPr>
      <w:rFonts w:ascii="Arial" w:hAnsi="Arial" w:eastAsia="Times New Roman" w:cs="Arial"/>
      <w:sz w:val="18"/>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rPr/>
  </w:style>
  <w:style w:type="paragraph" w:styleId="List">
    <w:name w:val="List"/>
    <w:basedOn w:val="Normal"/>
    <w:pPr>
      <w:ind w:left="568" w:hanging="284"/>
    </w:pPr>
    <w:rPr/>
  </w:style>
  <w:style w:type="paragraph" w:styleId="Caption">
    <w:name w:val="Caption"/>
    <w:basedOn w:val="Normal"/>
    <w:next w:val="Normal"/>
    <w:qFormat/>
    <w:pPr>
      <w:spacing w:before="120" w:after="120"/>
    </w:pPr>
    <w:rPr>
      <w:b/>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Next w:val="true"/>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eastAsia="en-US" w:bidi="ar-SA"/>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lang w:val="en-US" w:eastAsia="en-US"/>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eastAsia="en-US" w:bidi="ar-SA"/>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Contents2">
    <w:name w:val="TOC 2"/>
    <w:basedOn w:val="Contents1"/>
    <w:pPr>
      <w:keepNext w:val="false"/>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spacing w:before="0" w:after="0"/>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rPr>
  </w:style>
  <w:style w:type="paragraph" w:styleId="Footnote">
    <w:name w:val="Footnote Text"/>
    <w:basedOn w:val="Normal"/>
    <w:pPr>
      <w:keepLines/>
      <w:spacing w:before="0" w:after="0"/>
      <w:ind w:left="454" w:hanging="454"/>
    </w:pPr>
    <w:rPr>
      <w:sz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eastAsia="en-US" w:bidi="ar-SA"/>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ListNumber">
    <w:name w:val="List Number"/>
    <w:basedOn w:val="List"/>
    <w:qFormat/>
    <w:pPr>
      <w:numPr>
        <w:ilvl w:val="0"/>
        <w:numId w:val="4"/>
      </w:numPr>
    </w:pPr>
    <w:rPr/>
  </w:style>
  <w:style w:type="paragraph" w:styleId="ListNumber2">
    <w:name w:val="List Number 2"/>
    <w:basedOn w:val="ListNumber"/>
    <w:qFormat/>
    <w:pPr>
      <w:numPr>
        <w:ilvl w:val="0"/>
        <w:numId w:val="5"/>
      </w:numPr>
      <w:ind w:left="851" w:hanging="284"/>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eastAsia="en-US" w:bidi="ar-SA"/>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6"/>
      </w:numPr>
    </w:pPr>
    <w:rPr/>
  </w:style>
  <w:style w:type="paragraph" w:styleId="ListBullet2">
    <w:name w:val="List Bullet 2"/>
    <w:basedOn w:val="ListBullet"/>
    <w:qFormat/>
    <w:pPr>
      <w:numPr>
        <w:ilvl w:val="0"/>
        <w:numId w:val="7"/>
      </w:numPr>
      <w:ind w:left="851" w:hanging="284"/>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11">
    <w:name w:val="B1+"/>
    <w:basedOn w:val="B1"/>
    <w:qFormat/>
    <w:pPr>
      <w:numPr>
        <w:ilvl w:val="0"/>
        <w:numId w:val="2"/>
      </w:numPr>
    </w:pPr>
    <w:rPr/>
  </w:style>
  <w:style w:type="paragraph" w:styleId="ListParagraph">
    <w:name w:val="List Paragraph"/>
    <w:basedOn w:val="Normal"/>
    <w:qFormat/>
    <w:pPr>
      <w:overflowPunct w:val="false"/>
      <w:autoSpaceDE w:val="false"/>
      <w:spacing w:before="0" w:after="120"/>
      <w:ind w:left="720" w:hanging="0"/>
      <w:contextualSpacing/>
      <w:jc w:val="both"/>
      <w:textAlignment w:val="baseline"/>
    </w:pPr>
    <w:rPr>
      <w:rFonts w:ascii="Arial" w:hAnsi="Arial" w:eastAsia="MS Mincho;ＭＳ 明朝" w:cs="Arial"/>
      <w:lang w:eastAsia="zh-CN"/>
    </w:rPr>
  </w:style>
  <w:style w:type="paragraph" w:styleId="DocumentMap">
    <w:name w:val="Document Map"/>
    <w:basedOn w:val="Normal"/>
    <w:qFormat/>
    <w:pPr>
      <w:shd w:fill="000080" w:val="clear"/>
    </w:pPr>
    <w:rPr>
      <w:rFonts w:ascii="Tahoma" w:hAnsi="Tahoma" w:cs="Tahoma"/>
    </w:rPr>
  </w:style>
  <w:style w:type="paragraph" w:styleId="PlainText">
    <w:name w:val="Plain Text"/>
    <w:basedOn w:val="Normal"/>
    <w:qFormat/>
    <w:pPr/>
    <w:rPr>
      <w:rFonts w:ascii="Courier New" w:hAnsi="Courier New" w:cs="Courier New"/>
      <w:lang w:val="nb-NO"/>
    </w:rPr>
  </w:style>
  <w:style w:type="paragraph" w:styleId="Reference">
    <w:name w:val="Reference"/>
    <w:basedOn w:val="Normal"/>
    <w:qFormat/>
    <w:pPr>
      <w:numPr>
        <w:ilvl w:val="0"/>
        <w:numId w:val="3"/>
      </w:numPr>
      <w:overflowPunct w:val="false"/>
      <w:autoSpaceDE w:val="false"/>
      <w:spacing w:before="0" w:after="120"/>
      <w:jc w:val="both"/>
      <w:textAlignment w:val="baseline"/>
    </w:pPr>
    <w:rPr>
      <w:rFonts w:ascii="Arial" w:hAnsi="Arial" w:eastAsia="MS Mincho;ＭＳ 明朝" w:cs="Arial"/>
      <w:lang w:eastAsia="zh-CN"/>
    </w:rPr>
  </w:style>
  <w:style w:type="paragraph" w:styleId="BalloonText">
    <w:name w:val="Balloon Text"/>
    <w:basedOn w:val="Normal"/>
    <w:qFormat/>
    <w:pPr>
      <w:spacing w:before="0" w:after="0"/>
    </w:pPr>
    <w:rPr>
      <w:rFonts w:ascii="Segoe UI" w:hAnsi="Segoe UI" w:cs="Segoe UI"/>
      <w:sz w:val="18"/>
      <w:szCs w:val="18"/>
    </w:rPr>
  </w:style>
  <w:style w:type="paragraph" w:styleId="FL">
    <w:name w:val="FL"/>
    <w:basedOn w:val="Normal"/>
    <w:qFormat/>
    <w:pPr>
      <w:keepNext w:val="true"/>
      <w:keepLines/>
      <w:spacing w:before="60" w:after="180"/>
      <w:jc w:val="center"/>
    </w:pPr>
    <w:rPr>
      <w:rFonts w:ascii="Arial" w:hAnsi="Arial" w:cs="Arial"/>
      <w:b/>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oleObject" Target="embeddings/oleObject1.bin"/><Relationship Id="rId7" Type="http://schemas.openxmlformats.org/officeDocument/2006/relationships/image" Target="media/image3.wmf"/><Relationship Id="rId8" Type="http://schemas.openxmlformats.org/officeDocument/2006/relationships/oleObject" Target="embeddings/oleObject2.bin"/><Relationship Id="rId9" Type="http://schemas.openxmlformats.org/officeDocument/2006/relationships/image" Target="media/image4.wmf"/><Relationship Id="rId10" Type="http://schemas.openxmlformats.org/officeDocument/2006/relationships/oleObject" Target="embeddings/oleObject3.bin"/><Relationship Id="rId11" Type="http://schemas.openxmlformats.org/officeDocument/2006/relationships/image" Target="media/image5.wmf"/><Relationship Id="rId12" Type="http://schemas.openxmlformats.org/officeDocument/2006/relationships/oleObject" Target="embeddings/oleObject4.bin"/><Relationship Id="rId13" Type="http://schemas.openxmlformats.org/officeDocument/2006/relationships/image" Target="media/image6.wmf"/><Relationship Id="rId14" Type="http://schemas.openxmlformats.org/officeDocument/2006/relationships/oleObject" Target="embeddings/oleObject5.bin"/><Relationship Id="rId15" Type="http://schemas.openxmlformats.org/officeDocument/2006/relationships/image" Target="media/image7.wmf"/><Relationship Id="rId16" Type="http://schemas.openxmlformats.org/officeDocument/2006/relationships/oleObject" Target="embeddings/oleObject6.bin"/><Relationship Id="rId17" Type="http://schemas.openxmlformats.org/officeDocument/2006/relationships/image" Target="media/image8.wmf"/><Relationship Id="rId18" Type="http://schemas.openxmlformats.org/officeDocument/2006/relationships/oleObject" Target="embeddings/oleObject7.bin"/><Relationship Id="rId19" Type="http://schemas.openxmlformats.org/officeDocument/2006/relationships/image" Target="media/image9.wmf"/><Relationship Id="rId20" Type="http://schemas.openxmlformats.org/officeDocument/2006/relationships/oleObject" Target="embeddings/oleObject8.bin"/><Relationship Id="rId21" Type="http://schemas.openxmlformats.org/officeDocument/2006/relationships/image" Target="media/image10.wmf"/><Relationship Id="rId22" Type="http://schemas.openxmlformats.org/officeDocument/2006/relationships/oleObject" Target="embeddings/oleObject9.bin"/><Relationship Id="rId23" Type="http://schemas.openxmlformats.org/officeDocument/2006/relationships/image" Target="media/image11.wmf"/><Relationship Id="rId24" Type="http://schemas.openxmlformats.org/officeDocument/2006/relationships/oleObject" Target="embeddings/oleObject10.bin"/><Relationship Id="rId25" Type="http://schemas.openxmlformats.org/officeDocument/2006/relationships/image" Target="media/image12.wmf"/><Relationship Id="rId26" Type="http://schemas.openxmlformats.org/officeDocument/2006/relationships/header" Target="header1.xml"/><Relationship Id="rId27" Type="http://schemas.openxmlformats.org/officeDocument/2006/relationships/footer" Target="footer1.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282</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2018-01-05T10:12:00Z</dcterms:created>
  <dc:creator>MCC Support</dc:creator>
  <dc:description/>
  <cp:keywords>NR-RAN Radio</cp:keywords>
  <dc:language>en-US</dc:language>
  <cp:lastModifiedBy>Issam</cp:lastModifiedBy>
  <dcterms:modified xsi:type="dcterms:W3CDTF">2018-01-17T23:41:00Z</dcterms:modified>
  <cp:revision>29</cp:revision>
  <dc:subject>Study of separation of NR Control Plane (CP) and User Plane(UP) for split option 2; (Release 15)</dc:subject>
  <dc:title>3GPP TR 38.806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_ms_pID_72543">
    <vt:lpwstr>(3)Oypl8X4uJzL2ezLmchAalMZkMMgGP2j6/VsHCrHRI+7pvQITY1GX1EhZpjY9UpkQ6aiMU/u0
z9t2C7jcj3MJsBL5EDcAGFxQDncdqBuuVS86DATSmBvpLicJ3Ai2ANhmEZ5nYyIMBv4N505q
/rloEvaZhvvFZdu4olYSjb34c15Uq3gPDtGBVjBiiRkgQwVTc2uGlxes56t10nUSlYb/WWZc
IlA3y/yWi/ObWpxiO9</vt:lpwstr>
  </property>
  <property fmtid="{D5CDD505-2E9C-101B-9397-08002B2CF9AE}" pid="3" name="_new_ms_pID_725431">
    <vt:lpwstr>54L20qwx+qTrvOy0t7Wc/JOUpY8B8d1Ee8rXmIbaliGVGEgD2Umzxx
OxBPI7f/4VDIVTIwEqw0Fvs1OuZ7rkqCitZUmXNdl6ykbtlxlwx08/7YnWBhhdoj196Y7vtf
YQkLD2BYXiSW8qIOPmR8ZqGvbf47PM4DbUyvCxpsUHDIFFvq6gNbyh0sh15bMTqBdBxDjHN0
ydb3VmDfSmX9e6tWf+sM+Kz8prjFyw9txryI</vt:lpwstr>
  </property>
  <property fmtid="{D5CDD505-2E9C-101B-9397-08002B2CF9AE}" pid="4" name="_new_ms_pID_725431_00">
    <vt:lpwstr>_new_ms_pID_725431</vt:lpwstr>
  </property>
  <property fmtid="{D5CDD505-2E9C-101B-9397-08002B2CF9AE}" pid="5" name="_new_ms_pID_725432">
    <vt:lpwstr>ARb2W38j80JPhvmMftaKJsiJQHb8yDczToyN
z1kd1BPlyKDJhHj/QPYePsGBCb7sfNvOEVos5w6IgX2JQA3/c5Y=</vt:lpwstr>
  </property>
  <property fmtid="{D5CDD505-2E9C-101B-9397-08002B2CF9AE}" pid="6" name="_new_ms_pID_725432_00">
    <vt:lpwstr>_new_ms_pID_725432</vt:lpwstr>
  </property>
  <property fmtid="{D5CDD505-2E9C-101B-9397-08002B2CF9AE}" pid="7" name="_new_ms_pID_72543_00">
    <vt:lpwstr>_new_ms_pID_72543</vt:lpwstr>
  </property>
  <property fmtid="{D5CDD505-2E9C-101B-9397-08002B2CF9AE}" pid="8" name="sflag">
    <vt:lpwstr>1439289165</vt:lpwstr>
  </property>
</Properties>
</file>