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F4F1E9" w:val="clear"/>
            <w:vAlign w:val="top"/>
          </w:tcPr>
          <w:p>
            <w:pPr>
              <w:spacing w:before="3944"/>
            </w:pPr>
          </w:p>
          <w:p>
            <w:pPr>
              <w:pBdr>
                <w:bottom w:val="single" w:color="FF6A3B" w:sz="6" w:space="8"/>
              </w:pBdr>
              <w:spacing w:after="500"/>
              <w:ind w:left="1200" w:right="800"/>
            </w:pPr>
            <w:r>
              <w:rPr>
                <w:rFonts w:ascii="Calibri" w:eastAsia="SimHei"/>
                <w:color w:val="FF6A3B"/>
                <w:spacing w:val="40"/>
                <w:sz w:val="18"/>
                <w:szCs w:val="18"/>
              </w:rPr>
              <w:t xml:space="preserve">W  A  V  E     R  E  P  O  R  T</w:t>
            </w:r>
          </w:p>
          <w:p>
            <w:pPr>
              <w:spacing w:after="100" w:line="920" w:lineRule="atLeast"/>
              <w:ind w:left="1200"/>
            </w:pPr>
            <w:r>
              <w:rPr>
                <w:rFonts w:ascii="Arial" w:eastAsia="SimHei"/>
                <w:b/>
                <w:bCs/>
                <w:color w:val="15857A"/>
                <w:sz w:val="80"/>
                <w:szCs w:val="80"/>
              </w:rPr>
              <w:t xml:space="preserve">Wave-7 Authoring</w:t>
            </w:r>
          </w:p>
          <w:p>
            <w:pPr>
              <w:spacing w:after="300" w:line="920" w:lineRule="atLeast"/>
              <w:ind w:left="1200"/>
            </w:pPr>
            <w:r>
              <w:rPr>
                <w:rFonts w:ascii="Arial" w:eastAsia="SimHei"/>
                <w:b/>
                <w:bCs/>
                <w:color w:val="15857A"/>
                <w:sz w:val="80"/>
                <w:szCs w:val="80"/>
              </w:rPr>
              <w:t xml:space="preserve">Wave Report</w:t>
            </w:r>
          </w:p>
          <w:p>
            <w:pPr>
              <w:spacing w:after="800"/>
              <w:ind w:left="1200" w:right="800"/>
            </w:pPr>
            <w:r>
              <w:rPr>
                <w:rFonts w:ascii="Arial" w:eastAsia="Microsoft YaHei"/>
                <w:color w:val="606060"/>
                <w:sz w:val="24"/>
                <w:szCs w:val="24"/>
              </w:rPr>
              <w:t xml:space="preserve">Topic 2 Inorganic Chemistry completes at thirty-six of thirty-six with all eight subtopics closed, the programme reaches 69.6 percent, and all nine notes carry designed declarations only</w:t>
            </w:r>
          </w:p>
          <w:p>
            <w:pPr>
              <w:pBdr>
                <w:left w:val="single" w:color="FF6A3B" w:sz="8" w:space="12"/>
              </w:pBdr>
              <w:spacing w:after="80"/>
              <w:ind w:left="1400"/>
            </w:pPr>
            <w:r>
              <w:rPr>
                <w:rFonts w:ascii="Arial" w:eastAsia="Microsoft YaHei"/>
                <w:color w:val="707070"/>
                <w:sz w:val="24"/>
                <w:szCs w:val="24"/>
              </w:rPr>
              <w:t xml:space="preserve">Wave of record: wave-7, Topic T2 Inorganic Chemistry (Acids, Bases &amp; Salt Preparations close, Chemical Tests close), complete 2026-10-25 - 9/9 register notes exported clean first-pass</w:t>
            </w:r>
          </w:p>
          <w:p>
            <w:pPr>
              <w:pBdr>
                <w:left w:val="single" w:color="FF6A3B" w:sz="8" w:space="12"/>
              </w:pBdr>
              <w:spacing w:after="80"/>
              <w:ind w:left="1400"/>
            </w:pPr>
            <w:r>
              <w:rPr>
                <w:rFonts w:ascii="Arial" w:eastAsia="Microsoft YaHei"/>
                <w:color w:val="707070"/>
                <w:sz w:val="24"/>
                <w:szCs w:val="24"/>
              </w:rPr>
              <w:t xml:space="preserve">Posture of record: OPEN, build it fully (operator ignition on the recorded wave-7 next step); paced by wave-pacing-open/0.1</w:t>
            </w:r>
          </w:p>
          <w:p>
            <w:pPr>
              <w:pBdr>
                <w:left w:val="single" w:color="FF6A3B" w:sz="8" w:space="12"/>
              </w:pBdr>
              <w:spacing w:after="80"/>
              <w:ind w:left="1400"/>
            </w:pPr>
            <w:r>
              <w:rPr>
                <w:rFonts w:ascii="Arial" w:eastAsia="Microsoft YaHei"/>
                <w:color w:val="707070"/>
                <w:sz w:val="24"/>
                <w:szCs w:val="24"/>
              </w:rPr>
              <w:t xml:space="preserve">Progress of record: 78 of 112 notes authored (69.6 percent) - Topic 1 40/40, Topic 2 COMPLETE 36/36, sixteen of 28 subtopics closed outright</w:t>
            </w:r>
          </w:p>
          <w:p>
            <w:pPr>
              <w:pBdr>
                <w:left w:val="single" w:color="FF6A3B" w:sz="8" w:space="12"/>
              </w:pBdr>
              <w:spacing w:after="80"/>
              <w:ind w:left="1400"/>
            </w:pPr>
            <w:r>
              <w:rPr>
                <w:rFonts w:ascii="Arial" w:eastAsia="Microsoft YaHei"/>
                <w:color w:val="707070"/>
                <w:sz w:val="24"/>
                <w:szCs w:val="24"/>
              </w:rPr>
              <w:t xml:space="preserve">Quality of record: 9/9 schema PASS first-pass, 0 lint hard-fails, 9 designed declarations, 95 checks, 285 named-misconception distractors, zero gate-blocked exports</w:t>
            </w:r>
          </w:p>
          <w:p>
            <w:pPr>
              <w:pBdr>
                <w:left w:val="single" w:color="FF6A3B" w:sz="8" w:space="12"/>
              </w:pBdr>
              <w:spacing w:after="80"/>
              <w:ind w:left="1400"/>
            </w:pPr>
            <w:r>
              <w:rPr>
                <w:rFonts w:ascii="Arial" w:eastAsia="Microsoft YaHei"/>
                <w:color w:val="707070"/>
                <w:sz w:val="24"/>
                <w:szCs w:val="24"/>
              </w:rPr>
              <w:t xml:space="preserve">Integrity of record: P0 permanent guard clean on all nine logs; idempotence held, zero re-exports; spec-text parity chain extended to the wave-6 of-record texts</w:t>
            </w:r>
          </w:p>
          <w:p>
            <w:pPr>
              <w:spacing w:before="3944"/>
            </w:pPr>
          </w:p>
          <w:p>
            <w:pPr>
              <w:pBdr>
                <w:top w:val="single" w:color="FF6A3B" w:sz="2" w:space="8"/>
              </w:pBdr>
              <w:spacing w:before="200"/>
              <w:ind w:left="1200" w:right="800"/>
            </w:pPr>
            <w:r>
              <w:rPr>
                <w:rFonts w:ascii="Arial"/>
                <w:color w:val="A0A0A0"/>
                <w:sz w:val="16"/>
                <w:szCs w:val="16"/>
              </w:rPr>
              <w:t xml:space="preserve">SyllabAI Product Engineering</w:t>
            </w:r>
            <w:r>
              <w:t xml:space="preserve">                                        </w:t>
            </w:r>
            <w:r>
              <w:rPr>
                <w:rFonts w:ascii="Arial"/>
                <w:color w:val="A0A0A0"/>
                <w:sz w:val="16"/>
                <w:szCs w:val="16"/>
              </w:rPr>
              <w:t xml:space="preserve">Complete 2026-10-25</w:t>
            </w:r>
          </w:p>
        </w:tc>
      </w:tr>
    </w:tbl>
    <w:p>
      <w:pPr>
        <w:sectPr>
          <w:pgSz w:w="11906" w:h="16838" w:orient="portrait"/>
          <w:pgMar w:top="0" w:right="0" w:bottom="0" w:left="0" w:header="708" w:footer="708" w:gutter="0"/>
          <w:pgNumType/>
          <w:docGrid w:linePitch="360"/>
        </w:sectPr>
      </w:pPr>
    </w:p>
    <w:p>
      <w:pPr>
        <w:spacing w:after="80" w:before="200"/>
        <w:jc w:val="center"/>
      </w:pPr>
      <w:r>
        <w:rPr>
          <w:rFonts w:ascii="Times New Roman" w:eastAsia="SimSun" w:hAnsi="Times New Roman"/>
          <w:b/>
          <w:bCs/>
          <w:color w:val="15857A"/>
          <w:sz w:val="32"/>
          <w:szCs w:val="32"/>
        </w:rPr>
        <w:t xml:space="preserve">Table of Contents</w:t>
      </w:r>
    </w:p>
    <w:p>
      <w:pPr>
        <w:spacing w:after="120"/>
        <w:jc w:val="center"/>
      </w:pPr>
      <w:r>
        <w:rPr>
          <w:rFonts w:ascii="Times New Roman" w:eastAsia="SimSun" w:hAnsi="Times New Roman"/>
          <w:i/>
          <w:iCs/>
          <w:color w:val="888888"/>
          <w:sz w:val="18"/>
          <w:szCs w:val="18"/>
        </w:rPr>
        <w:t xml:space="preserve">Note: This Table of Contents is generated via field codes. To ensure page number accuracy after editing, please right-click the TOC and select "Update Field."</w:t>
      </w:r>
    </w:p>
    <w:sdt>
      <w:sdtPr>
        <w:alias w:val="Table of Contents"/>
      </w:sdtPr>
      <w:sdtContent>
        <w:p>
          <w:pPr>
            <w:pStyle w:val="TOC1"/>
            <w:tabs>
              <w:tab w:val="right" w:pos="8788" w:leader="dot"/>
            </w:tabs>
          </w:pPr>
          <w:r>
            <w:fldChar w:fldCharType="begin" w:dirty="true"/>
            <w:instrText xml:space="preserve">TOC \h \o "1-2"</w:instrText>
            <w:fldChar w:fldCharType="separate"/>
          </w:r>
          <w:hyperlink w:history="1" w:anchor="_Toc1">
            <w:r>
              <w:t xml:space="preserve">1. Executive Summary</w:t>
            </w:r>
            <w:r>
              <w:tab/>
            </w:r>
            <w:r>
              <w:fldChar w:fldCharType="begin" w:dirty="true"/>
              <w:instrText xml:space="preserve">PAGEREF _Toc1 \h</w:instrText>
              <w:fldChar w:fldCharType="separate"/>
              <w:fldChar w:fldCharType="end"/>
            </w:r>
          </w:hyperlink>
        </w:p>
        <w:p>
          <w:pPr>
            <w:pStyle w:val="TOC1"/>
            <w:tabs>
              <w:tab w:val="right" w:pos="8788" w:leader="dot"/>
            </w:tabs>
          </w:pPr>
          <w:hyperlink w:history="1" w:anchor="_Toc2">
            <w:r>
              <w:t xml:space="preserve">2. Posture and Protocol</w:t>
            </w:r>
            <w:r>
              <w:tab/>
            </w:r>
            <w:r>
              <w:fldChar w:fldCharType="begin" w:dirty="true"/>
              <w:instrText xml:space="preserve">PAGEREF _Toc2 \h</w:instrText>
              <w:fldChar w:fldCharType="separate"/>
              <w:fldChar w:fldCharType="end"/>
            </w:r>
          </w:hyperlink>
        </w:p>
        <w:p>
          <w:pPr>
            <w:pStyle w:val="TOC1"/>
            <w:tabs>
              <w:tab w:val="right" w:pos="8788" w:leader="dot"/>
            </w:tabs>
          </w:pPr>
          <w:hyperlink w:history="1" w:anchor="_Toc3">
            <w:r>
              <w:t xml:space="preserve">3. Corpus Pin and Register</w:t>
            </w:r>
            <w:r>
              <w:tab/>
            </w:r>
            <w:r>
              <w:fldChar w:fldCharType="begin" w:dirty="true"/>
              <w:instrText xml:space="preserve">PAGEREF _Toc3 \h</w:instrText>
              <w:fldChar w:fldCharType="separate"/>
              <w:fldChar w:fldCharType="end"/>
            </w:r>
          </w:hyperlink>
        </w:p>
        <w:p>
          <w:pPr>
            <w:pStyle w:val="TOC1"/>
            <w:tabs>
              <w:tab w:val="right" w:pos="8788" w:leader="dot"/>
            </w:tabs>
          </w:pPr>
          <w:hyperlink w:history="1" w:anchor="_Toc4">
            <w:r>
              <w:t xml:space="preserve">4. Results</w:t>
            </w:r>
            <w:r>
              <w:tab/>
            </w:r>
            <w:r>
              <w:fldChar w:fldCharType="begin" w:dirty="true"/>
              <w:instrText xml:space="preserve">PAGEREF _Toc4 \h</w:instrText>
              <w:fldChar w:fldCharType="separate"/>
              <w:fldChar w:fldCharType="end"/>
            </w:r>
          </w:hyperlink>
        </w:p>
        <w:p>
          <w:pPr>
            <w:pStyle w:val="TOC1"/>
            <w:tabs>
              <w:tab w:val="right" w:pos="8788" w:leader="dot"/>
            </w:tabs>
          </w:pPr>
          <w:hyperlink w:history="1" w:anchor="_Toc5">
            <w:r>
              <w:t xml:space="preserve">5. Quality</w:t>
            </w:r>
            <w:r>
              <w:tab/>
            </w:r>
            <w:r>
              <w:fldChar w:fldCharType="begin" w:dirty="true"/>
              <w:instrText xml:space="preserve">PAGEREF _Toc5 \h</w:instrText>
              <w:fldChar w:fldCharType="separate"/>
              <w:fldChar w:fldCharType="end"/>
            </w:r>
          </w:hyperlink>
        </w:p>
        <w:p>
          <w:pPr>
            <w:pStyle w:val="TOC1"/>
            <w:tabs>
              <w:tab w:val="right" w:pos="8788" w:leader="dot"/>
            </w:tabs>
          </w:pPr>
          <w:hyperlink w:history="1" w:anchor="_Toc6">
            <w:r>
              <w:t xml:space="preserve">6. Measurement Integrity</w:t>
            </w:r>
            <w:r>
              <w:tab/>
            </w:r>
            <w:r>
              <w:fldChar w:fldCharType="begin" w:dirty="true"/>
              <w:instrText xml:space="preserve">PAGEREF _Toc6 \h</w:instrText>
              <w:fldChar w:fldCharType="separate"/>
              <w:fldChar w:fldCharType="end"/>
            </w:r>
          </w:hyperlink>
        </w:p>
        <w:p>
          <w:pPr>
            <w:pStyle w:val="TOC1"/>
            <w:tabs>
              <w:tab w:val="right" w:pos="8788" w:leader="dot"/>
            </w:tabs>
          </w:pPr>
          <w:hyperlink w:history="1" w:anchor="_Toc7">
            <w:r>
              <w:t xml:space="preserve">7. Recalibration Checkpoint</w:t>
            </w:r>
            <w:r>
              <w:tab/>
            </w:r>
            <w:r>
              <w:fldChar w:fldCharType="begin" w:dirty="true"/>
              <w:instrText xml:space="preserve">PAGEREF _Toc7 \h</w:instrText>
              <w:fldChar w:fldCharType="separate"/>
              <w:fldChar w:fldCharType="end"/>
            </w:r>
          </w:hyperlink>
        </w:p>
        <w:p>
          <w:pPr>
            <w:pStyle w:val="TOC1"/>
            <w:tabs>
              <w:tab w:val="right" w:pos="8788" w:leader="dot"/>
            </w:tabs>
          </w:pPr>
          <w:hyperlink w:history="1" w:anchor="_Toc8">
            <w:r>
              <w:t xml:space="preserve">8. Interpretation and Progress</w:t>
            </w:r>
            <w:r>
              <w:tab/>
            </w:r>
            <w:r>
              <w:fldChar w:fldCharType="begin" w:dirty="true"/>
              <w:instrText xml:space="preserve">PAGEREF _Toc8 \h</w:instrText>
              <w:fldChar w:fldCharType="separate"/>
              <w:fldChar w:fldCharType="end"/>
            </w:r>
          </w:hyperlink>
        </w:p>
        <w:p>
          <w:pPr>
            <w:pStyle w:val="TOC1"/>
            <w:tabs>
              <w:tab w:val="right" w:pos="8788" w:leader="dot"/>
            </w:tabs>
          </w:pPr>
          <w:hyperlink w:history="1" w:anchor="_Toc9">
            <w:r>
              <w:t xml:space="preserve">9. Artifacts</w:t>
            </w:r>
            <w:r>
              <w:tab/>
            </w:r>
            <w:r>
              <w:fldChar w:fldCharType="begin" w:dirty="true"/>
              <w:instrText xml:space="preserve">PAGEREF _Toc9 \h</w:instrText>
              <w:fldChar w:fldCharType="separate"/>
              <w:fldChar w:fldCharType="end"/>
            </w:r>
          </w:hyperlink>
        </w:p>
        <w:p>
          <w:pPr>
            <w:pStyle w:val="TOC1"/>
            <w:tabs>
              <w:tab w:val="right" w:pos="8788" w:leader="dot"/>
            </w:tabs>
          </w:pPr>
          <w:hyperlink w:history="1" w:anchor="_Toc10">
            <w:r>
              <w:t xml:space="preserve">10. Next Steps</w:t>
            </w:r>
            <w:r>
              <w:tab/>
            </w:r>
            <w:r>
              <w:fldChar w:fldCharType="begin" w:dirty="true"/>
              <w:instrText xml:space="preserve">PAGEREF _Toc10 \h</w:instrText>
              <w:fldChar w:fldCharType="separate"/>
              <w:fldChar w:fldCharType="end"/>
            </w:r>
          </w:hyperlink>
        </w:p>
        <w:p>
          <w:r>
            <w:fldChar w:fldCharType="end"/>
          </w:r>
        </w:p>
      </w:sdtContent>
    </w:sdt>
    <w:p>
      <w:pPr>
        <w:sectPr>
          <w:footerReference w:type="default" r:id="rId6"/>
          <w:type w:val="nextPage"/>
          <w:pgSz w:w="11906" w:h="16838" w:orient="portrait"/>
          <w:pgMar w:top="1440" w:right="1417" w:bottom="1440" w:left="1701" w:header="708" w:footer="708" w:gutter="0"/>
          <w:pgNumType w:start="1" w:fmt="upperRoman"/>
          <w:docGrid w:linePitch="360"/>
        </w:sectPr>
      </w:pPr>
    </w:p>
    <w:p>
      <w:pPr>
        <w:pStyle w:val="Heading1"/>
        <w:keepNext/>
        <w:spacing w:after="160" w:before="360" w:line="312"/>
      </w:pPr>
      <w:bookmarkStart w:name="_Toc1" w:id="1"/>
      <w:r>
        <w:rPr>
          <w:rFonts w:ascii="Times New Roman" w:eastAsia="SimSun" w:hAnsi="Times New Roman"/>
          <w:b/>
          <w:bCs/>
          <w:color w:val="15857A"/>
          <w:sz w:val="32"/>
          <w:szCs w:val="32"/>
        </w:rPr>
        <w:t xml:space="preserve">1. Executive Summary</w:t>
      </w:r>
      <w:bookmarkEnd w:id="1"/>
    </w:p>
    <w:p>
      <w:pPr>
        <w:spacing w:after="120" w:line="312"/>
        <w:jc w:val="both"/>
      </w:pPr>
      <w:r>
        <w:rPr>
          <w:rFonts w:ascii="Times New Roman" w:eastAsia="SimSun" w:hAnsi="Times New Roman"/>
          <w:color w:val="000000"/>
          <w:sz w:val="24"/>
          <w:szCs w:val="24"/>
        </w:rPr>
        <w:t xml:space="preserve">Wave-7 is complete of record: nine of nine register notes authored and exported first-pass clean under a single operator ignition (the operator's “Wave-7 — 9” on the recorded wave-7 next step), the fourth fully single-ignition wave of the programme. The wave closed Acids, Bases &amp; Salt Preparations with its five remaining notes and closed Chemical Tests with its four notes, and with those closures </w:t>
      </w:r>
      <w:r>
        <w:rPr>
          <w:rFonts w:ascii="Times New Roman" w:eastAsia="SimSun" w:hAnsi="Times New Roman"/>
          <w:b/>
          <w:bCs/>
          <w:color w:val="000000"/>
          <w:sz w:val="24"/>
          <w:szCs w:val="24"/>
        </w:rPr>
        <w:t xml:space="preserve">Topic 2 Inorganic Chemistry completes of record at thirty-six of thirty-six notes with all eight subtopics closed</w:t>
      </w:r>
      <w:r>
        <w:rPr>
          <w:rFonts w:ascii="Times New Roman" w:eastAsia="SimSun" w:hAnsi="Times New Roman"/>
          <w:color w:val="000000"/>
          <w:sz w:val="24"/>
          <w:szCs w:val="24"/>
        </w:rPr>
        <w:t xml:space="preserve">. The wave carried nineteen lessons with ninety-five explained checks, ninety-five key points and fifty-one glossary terms over eighteen thousand nine hundred and sixty-four characters of pinned source corpus. Every layer passed the schema gate and the house-style lint before any chain fired, and every chain closed with exactly one export event, zero re-exports, zero pauses and the permanent P0 guard clean on all nine event logs.</w:t>
      </w:r>
    </w:p>
    <w:p>
      <w:pPr>
        <w:spacing w:after="120" w:line="312"/>
        <w:jc w:val="both"/>
      </w:pPr>
      <w:r>
        <w:rPr>
          <w:rFonts w:ascii="Times New Roman" w:eastAsia="SimSun" w:hAnsi="Times New Roman"/>
          <w:color w:val="000000"/>
          <w:sz w:val="24"/>
          <w:szCs w:val="24"/>
        </w:rPr>
        <w:t xml:space="preserve">The headline result is a milestone: the programme stands at seventy-eight of one hundred and twelve notes authored, 69.6 percent, with both of the first two topics now complete. Topic 1 Principles of Chemistry closed at forty of forty in wave-4; Topic 2 Inorganic Chemistry closed this wave at thirty-six of thirty-six, its eight subtopics having fallen across waves 5, 6 and 7. Cumulative subtopic closures now stand at sixteen of twenty-eight, with Topic 3 Physical Chemistry and Topic 4 Organic Chemistry holding the remaining twelve subtopics. The full quality picture held: zero non-designed lint warnings, nine designed declarations across the nine notes, and no non-designed warning of any kind surviving to export.</w:t>
      </w:r>
    </w:p>
    <w:p>
      <w:pPr>
        <w:spacing w:after="120" w:line="312"/>
        <w:jc w:val="both"/>
      </w:pPr>
      <w:r>
        <w:rPr>
          <w:rFonts w:ascii="Times New Roman" w:eastAsia="SimSun" w:hAnsi="Times New Roman"/>
          <w:color w:val="000000"/>
          <w:sz w:val="24"/>
          <w:szCs w:val="24"/>
        </w:rPr>
        <w:t xml:space="preserve">The wave's signature note is Tests for Gases, the largest source body of the wave at four thousand three hundred and ninety-four characters and the only three-lesson note, carrying all five gas tests from the litmus pair through limewater to the splint pair. Its quiet counterpart is Tests for Water, the smallest body at one thousand three hundred and ninety-seven characters, which still delivered the two-test structure, chemical then physical, that the specification demands. Both extremes of the source corpus, largest and smallest, landed inside the same first-pass cadence.</w:t>
      </w:r>
    </w:p>
    <w:p>
      <w:pPr>
        <w:pStyle w:val="Heading1"/>
        <w:keepNext/>
        <w:spacing w:after="160" w:before="360" w:line="312"/>
      </w:pPr>
      <w:bookmarkStart w:name="_Toc2" w:id="2"/>
      <w:r>
        <w:rPr>
          <w:rFonts w:ascii="Times New Roman" w:eastAsia="SimSun" w:hAnsi="Times New Roman"/>
          <w:b/>
          <w:bCs/>
          <w:color w:val="15857A"/>
          <w:sz w:val="32"/>
          <w:szCs w:val="32"/>
        </w:rPr>
        <w:t xml:space="preserve">2. Posture and Protocol</w:t>
      </w:r>
      <w:bookmarkEnd w:id="2"/>
    </w:p>
    <w:p>
      <w:pPr>
        <w:spacing w:after="120" w:line="312"/>
        <w:jc w:val="both"/>
      </w:pPr>
      <w:r>
        <w:rPr>
          <w:rFonts w:ascii="Times New Roman" w:eastAsia="SimSun" w:hAnsi="Times New Roman"/>
          <w:color w:val="000000"/>
          <w:sz w:val="24"/>
          <w:szCs w:val="24"/>
        </w:rPr>
        <w:t xml:space="preserve">The wave ran under the OPEN posture of record (build it fully, operator decision standing from trace 1a1683ec43a016a9, brief A5-Posture-Decision-Brief-Open-20261023.docx), paced by wave-pacing-open/0.1. Pacing is a schedule, not a gate: the register of nine notes was drawn from the pacing file's wavePlan wave-7 entry verbatim and cross-asserted at receipt build. Measurement discipline follows the A1 specification section 7 in its batch-flow form: declared assistance per phase, pauses logged with reason codes (none occurred), and the corpus pinned to the snapshot of record.</w:t>
      </w:r>
    </w:p>
    <w:p>
      <w:pPr>
        <w:spacing w:after="120" w:line="312"/>
        <w:jc w:val="both"/>
      </w:pPr>
      <w:r>
        <w:rPr>
          <w:rFonts w:ascii="Times New Roman" w:eastAsia="SimSun" w:hAnsi="Times New Roman"/>
          <w:color w:val="000000"/>
          <w:sz w:val="24"/>
          <w:szCs w:val="24"/>
        </w:rPr>
        <w:t xml:space="preserve">The chain discipline of record was applied natively for the sixth consecutive wave through the persisted per-note runner script. Each note ran as one single-shell invocation: the harness start command opened P0 as a read-only phase; the first phase command, P1, closed P0 unflagged; phases P2 through P8 then closed with the declared-assist flag; and the export command closed P8 mechanically while validating the schema, running the lint and filing the timing receipt beside the layer. Assisted phases are therefore exactly P1 through P7 on every receipt, P0 and P8 are unflagged on every event log, and the wave-3 permanent guard asserting an unflagged P0 closure passed on all nine logs.</w:t>
      </w:r>
    </w:p>
    <w:p>
      <w:pPr>
        <w:spacing w:after="120" w:line="312"/>
        <w:jc w:val="both"/>
      </w:pPr>
      <w:r>
        <w:rPr>
          <w:rFonts w:ascii="Times New Roman" w:eastAsia="SimSun" w:hAnsi="Times New Roman"/>
          <w:color w:val="000000"/>
          <w:sz w:val="24"/>
          <w:szCs w:val="24"/>
        </w:rPr>
        <w:t xml:space="preserve">Lane hygiene was maintained without exception. Database contact for the entire wave was zero: all nine note bodies came from the pinned local snapshot with per-note SHA verification at preparation, and the official spec texts were resolved from the graph content pack in the repository rather than from any database. No production surface was written, no deployment was touched, and the only GitHub writes of the programme remain the operator-convention additive commits to the syllabai-resources repository. Tokens were never echoed.</w:t>
      </w:r>
    </w:p>
    <w:p>
      <w:pPr>
        <w:pStyle w:val="Heading1"/>
        <w:keepNext/>
        <w:spacing w:after="160" w:before="360" w:line="312"/>
      </w:pPr>
      <w:bookmarkStart w:name="_Toc3" w:id="3"/>
      <w:r>
        <w:rPr>
          <w:rFonts w:ascii="Times New Roman" w:eastAsia="SimSun" w:hAnsi="Times New Roman"/>
          <w:b/>
          <w:bCs/>
          <w:color w:val="15857A"/>
          <w:sz w:val="32"/>
          <w:szCs w:val="32"/>
        </w:rPr>
        <w:t xml:space="preserve">3. Corpus Pin and Register</w:t>
      </w:r>
      <w:bookmarkEnd w:id="3"/>
    </w:p>
    <w:p>
      <w:pPr>
        <w:spacing w:after="120" w:line="312"/>
        <w:jc w:val="both"/>
      </w:pPr>
      <w:r>
        <w:rPr>
          <w:rFonts w:ascii="Times New Roman" w:eastAsia="SimSun" w:hAnsi="Times New Roman"/>
          <w:color w:val="000000"/>
          <w:sz w:val="24"/>
          <w:szCs w:val="24"/>
        </w:rPr>
        <w:t xml:space="preserve">The snapshot file pin was recomputed at wave entry and again at close-out, and matched the minted pin both times: e23e2ab7 through 487d, the file of record since the wave-2 re-verification. The snapshot manifest carries the corpus shape of record: four topics, twenty-eight subtopics, one hundred and twelve notes at forty, thirty-six, fifteen and twenty-one per topic, a single corpus version, and three hundred sixty-one thousand two hundred seventy-two body characters. The nine wave-7 bodies were read end to end from this pinned snapshot and each recomputed body hash matched its registered row hash.</w:t>
      </w:r>
    </w:p>
    <w:p>
      <w:pPr>
        <w:spacing w:after="120" w:line="312"/>
        <w:jc w:val="both"/>
      </w:pPr>
      <w:r>
        <w:rPr>
          <w:rFonts w:ascii="Times New Roman" w:eastAsia="SimSun" w:hAnsi="Times New Roman"/>
          <w:color w:val="000000"/>
          <w:sz w:val="24"/>
          <w:szCs w:val="24"/>
        </w:rPr>
        <w:t xml:space="preserve">Official spec texts followed the zero-database path proven in waves 5 and 6: all eleven unique wave-7 codes were resolved from the specification-points pack in the repository's knowledge graph, after a four-probe parity check against wave-6's of-record layer texts returned four exact matches. The probe discipline was sharpened this wave: codes whose pack wording ends with a colon are exactly the documented multi-bullet flattening class, so verbatim parity is probed only on the non-flattened codes, and the four probes were drawn accordingly. Three multi-bullet statements needed the documented flattening treatment, all from the wave-7 note bodies' own spec-point bullet lists, wording verbatim: the five gases for 2.44, the five cation flame colours for 2.46, and the two cation-test families for 2.47.</w:t>
      </w:r>
    </w:p>
    <w:p>
      <w:pPr>
        <w:keepNext/>
        <w:spacing w:after="80" w:before="200" w:line="312"/>
      </w:pPr>
      <w:r>
        <w:rPr>
          <w:rFonts w:ascii="Times New Roman" w:eastAsia="SimSun" w:hAnsi="Times New Roman"/>
          <w:b/>
          <w:bCs/>
          <w:color w:val="404040"/>
          <w:sz w:val="21"/>
          <w:szCs w:val="21"/>
        </w:rPr>
        <w:t xml:space="preserve">Table 1 - Wave-7 register of record (pacing file wavePlan wave-7, cross-asserted at receipt build)</w:t>
      </w:r>
    </w:p>
    <w:tbl>
      <w:tblPr>
        <w:tblW w:type="pct" w:w="5000"/>
        <w:tblBorders>
          <w:top w:val="single" w:color="15857A" w:sz="4"/>
          <w:left w:val="none" w:color="FFFFFF" w:sz="0"/>
          <w:bottom w:val="single" w:color="15857A" w:sz="4"/>
          <w:right w:val="none" w:color="FFFFFF" w:sz="0"/>
          <w:insideH w:val="single" w:color="D5D0C8" w:sz="1"/>
          <w:insideV w:val="none" w:color="FFFFFF" w:sz="0"/>
        </w:tblBorders>
      </w:tblPr>
      <w:tblGrid>
        <w:gridCol w:w="2988"/>
        <w:gridCol w:w="1933"/>
        <w:gridCol w:w="791"/>
        <w:gridCol w:w="2197"/>
        <w:gridCol w:w="879"/>
      </w:tblGrid>
      <w:tr>
        <w:trPr>
          <w:cantSplit/>
          <w:tblHeader/>
        </w:trPr>
        <w:tc>
          <w:tcPr>
            <w:tcW w:type="pct" w:w="17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Note</w:t>
            </w:r>
          </w:p>
        </w:tc>
        <w:tc>
          <w:tcPr>
            <w:tcW w:type="pct" w:w="11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Subtopic</w:t>
            </w:r>
          </w:p>
        </w:tc>
        <w:tc>
          <w:tcPr>
            <w:tcW w:type="pct" w:w="45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Chars</w:t>
            </w:r>
          </w:p>
        </w:tc>
        <w:tc>
          <w:tcPr>
            <w:tcW w:type="pct" w:w="125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Spec points</w:t>
            </w:r>
          </w:p>
        </w:tc>
        <w:tc>
          <w:tcPr>
            <w:tcW w:type="pct" w:w="5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Lessons</w:t>
            </w:r>
          </w:p>
        </w:tc>
      </w:tr>
      <w:tr>
        <w:trPr>
          <w:cantSplit/>
        </w:trPr>
        <w:tc>
          <w:tcPr>
            <w:tcW w:type="pct" w:w="1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Bases</w:t>
            </w:r>
          </w:p>
        </w:tc>
        <w:tc>
          <w:tcPr>
            <w:tcW w:type="pct" w:w="11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Acids, Bases &amp; Salt Preparations</w:t>
            </w:r>
          </w:p>
        </w:tc>
        <w:tc>
          <w:tcPr>
            <w:tcW w:type="pct" w:w="4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1,547</w:t>
            </w:r>
          </w:p>
        </w:tc>
        <w:tc>
          <w:tcPr>
            <w:tcW w:type="pct" w:w="12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2.38</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r>
      <w:tr>
        <w:trPr>
          <w:cantSplit/>
        </w:trPr>
        <w:tc>
          <w:tcPr>
            <w:tcW w:type="pct" w:w="1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Prepare a Soluble Salt</w:t>
            </w:r>
          </w:p>
        </w:tc>
        <w:tc>
          <w:tcPr>
            <w:tcW w:type="pct" w:w="11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Acids, Bases &amp; Salt Preparations</w:t>
            </w:r>
          </w:p>
        </w:tc>
        <w:tc>
          <w:tcPr>
            <w:tcW w:type="pct" w:w="4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2,436</w:t>
            </w:r>
          </w:p>
        </w:tc>
        <w:tc>
          <w:tcPr>
            <w:tcW w:type="pct" w:w="12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2.39</w:t>
            </w:r>
          </w:p>
        </w:tc>
        <w:tc>
          <w:tcPr>
            <w:tcW w:type="pct" w:w="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r>
      <w:tr>
        <w:trPr>
          <w:cantSplit/>
        </w:trPr>
        <w:tc>
          <w:tcPr>
            <w:tcW w:type="pct" w:w="1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Prepare a Soluble Salt II</w:t>
            </w:r>
          </w:p>
        </w:tc>
        <w:tc>
          <w:tcPr>
            <w:tcW w:type="pct" w:w="11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Acids, Bases &amp; Salt Preparations</w:t>
            </w:r>
          </w:p>
        </w:tc>
        <w:tc>
          <w:tcPr>
            <w:tcW w:type="pct" w:w="4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1,536</w:t>
            </w:r>
          </w:p>
        </w:tc>
        <w:tc>
          <w:tcPr>
            <w:tcW w:type="pct" w:w="12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2.40C</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r>
      <w:tr>
        <w:trPr>
          <w:cantSplit/>
        </w:trPr>
        <w:tc>
          <w:tcPr>
            <w:tcW w:type="pct" w:w="1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Prepare an Insoluble Salt</w:t>
            </w:r>
          </w:p>
        </w:tc>
        <w:tc>
          <w:tcPr>
            <w:tcW w:type="pct" w:w="11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Acids, Bases &amp; Salt Preparations</w:t>
            </w:r>
          </w:p>
        </w:tc>
        <w:tc>
          <w:tcPr>
            <w:tcW w:type="pct" w:w="4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1,473</w:t>
            </w:r>
          </w:p>
        </w:tc>
        <w:tc>
          <w:tcPr>
            <w:tcW w:type="pct" w:w="12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2.41C</w:t>
            </w:r>
          </w:p>
        </w:tc>
        <w:tc>
          <w:tcPr>
            <w:tcW w:type="pct" w:w="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r>
      <w:tr>
        <w:trPr>
          <w:cantSplit/>
        </w:trPr>
        <w:tc>
          <w:tcPr>
            <w:tcW w:type="pct" w:w="1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Practical: Prepare Lead(II)Sulfate</w:t>
            </w:r>
          </w:p>
        </w:tc>
        <w:tc>
          <w:tcPr>
            <w:tcW w:type="pct" w:w="11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Acids, Bases &amp; Salt Preparations</w:t>
            </w:r>
          </w:p>
        </w:tc>
        <w:tc>
          <w:tcPr>
            <w:tcW w:type="pct" w:w="4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2,055</w:t>
            </w:r>
          </w:p>
        </w:tc>
        <w:tc>
          <w:tcPr>
            <w:tcW w:type="pct" w:w="12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2.41C, 2.43C</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r>
      <w:tr>
        <w:trPr>
          <w:cantSplit/>
        </w:trPr>
        <w:tc>
          <w:tcPr>
            <w:tcW w:type="pct" w:w="1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Tests for Gases</w:t>
            </w:r>
          </w:p>
        </w:tc>
        <w:tc>
          <w:tcPr>
            <w:tcW w:type="pct" w:w="11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Chemical Tests</w:t>
            </w:r>
          </w:p>
        </w:tc>
        <w:tc>
          <w:tcPr>
            <w:tcW w:type="pct" w:w="4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4,394</w:t>
            </w:r>
          </w:p>
        </w:tc>
        <w:tc>
          <w:tcPr>
            <w:tcW w:type="pct" w:w="12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2.44</w:t>
            </w:r>
          </w:p>
        </w:tc>
        <w:tc>
          <w:tcPr>
            <w:tcW w:type="pct" w:w="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w:t>
            </w:r>
          </w:p>
        </w:tc>
      </w:tr>
      <w:tr>
        <w:trPr>
          <w:cantSplit/>
        </w:trPr>
        <w:tc>
          <w:tcPr>
            <w:tcW w:type="pct" w:w="1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Flame Tests</w:t>
            </w:r>
          </w:p>
        </w:tc>
        <w:tc>
          <w:tcPr>
            <w:tcW w:type="pct" w:w="11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Chemical Tests</w:t>
            </w:r>
          </w:p>
        </w:tc>
        <w:tc>
          <w:tcPr>
            <w:tcW w:type="pct" w:w="4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1,801</w:t>
            </w:r>
          </w:p>
        </w:tc>
        <w:tc>
          <w:tcPr>
            <w:tcW w:type="pct" w:w="12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2.45, 2.46</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r>
      <w:tr>
        <w:trPr>
          <w:cantSplit/>
        </w:trPr>
        <w:tc>
          <w:tcPr>
            <w:tcW w:type="pct" w:w="1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Tests for Cations</w:t>
            </w:r>
          </w:p>
        </w:tc>
        <w:tc>
          <w:tcPr>
            <w:tcW w:type="pct" w:w="11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Chemical Tests</w:t>
            </w:r>
          </w:p>
        </w:tc>
        <w:tc>
          <w:tcPr>
            <w:tcW w:type="pct" w:w="4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2,325</w:t>
            </w:r>
          </w:p>
        </w:tc>
        <w:tc>
          <w:tcPr>
            <w:tcW w:type="pct" w:w="12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2.47</w:t>
            </w:r>
          </w:p>
        </w:tc>
        <w:tc>
          <w:tcPr>
            <w:tcW w:type="pct" w:w="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r>
      <w:tr>
        <w:trPr>
          <w:cantSplit/>
        </w:trPr>
        <w:tc>
          <w:tcPr>
            <w:tcW w:type="pct" w:w="1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Tests for Water</w:t>
            </w:r>
          </w:p>
        </w:tc>
        <w:tc>
          <w:tcPr>
            <w:tcW w:type="pct" w:w="11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Chemical Tests</w:t>
            </w:r>
          </w:p>
        </w:tc>
        <w:tc>
          <w:tcPr>
            <w:tcW w:type="pct" w:w="4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1,397</w:t>
            </w:r>
          </w:p>
        </w:tc>
        <w:tc>
          <w:tcPr>
            <w:tcW w:type="pct" w:w="12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2.49, 2.50</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r>
    </w:tbl>
    <w:p>
      <w:pPr>
        <w:spacing w:after="120" w:line="312"/>
        <w:jc w:val="both"/>
      </w:pPr>
      <w:r>
        <w:rPr>
          <w:rFonts w:ascii="Times New Roman" w:eastAsia="SimSun" w:hAnsi="Times New Roman"/>
          <w:color w:val="000000"/>
          <w:sz w:val="24"/>
          <w:szCs w:val="24"/>
        </w:rPr>
        <w:t xml:space="preserve">The register's size extremes bracket the wave: Tests for Gases at four thousand three hundred and ninety-four characters is the wave flagship and earned three lessons, the wave-5 convention for the richest notes, while Tests for Water at one thousand three hundred and ninety-seven is the smallest body of the wave. The other eight notes carried two lessons each, giving the nineteen lesson total. Each lesson maps to one or two source headings and reuses the note's own phrasing for its title, continuing the established authoring convention.</w:t>
      </w:r>
    </w:p>
    <w:p>
      <w:pPr>
        <w:pStyle w:val="Heading1"/>
        <w:keepNext/>
        <w:spacing w:after="160" w:before="360" w:line="312"/>
      </w:pPr>
      <w:bookmarkStart w:name="_Toc4" w:id="4"/>
      <w:r>
        <w:rPr>
          <w:rFonts w:ascii="Times New Roman" w:eastAsia="SimSun" w:hAnsi="Times New Roman"/>
          <w:b/>
          <w:bCs/>
          <w:color w:val="15857A"/>
          <w:sz w:val="32"/>
          <w:szCs w:val="32"/>
        </w:rPr>
        <w:t xml:space="preserve">4. Results</w:t>
      </w:r>
      <w:bookmarkEnd w:id="4"/>
    </w:p>
    <w:p>
      <w:pPr>
        <w:spacing w:after="120" w:line="312"/>
        <w:jc w:val="both"/>
      </w:pPr>
      <w:r>
        <w:rPr>
          <w:rFonts w:ascii="Times New Roman" w:eastAsia="SimSun" w:hAnsi="Times New Roman"/>
          <w:color w:val="000000"/>
          <w:sz w:val="24"/>
          <w:szCs w:val="24"/>
        </w:rPr>
        <w:t xml:space="preserve">All nine layers were pre-flighted clean before any chain fired: schema validation passed and the lint reported zero hard fails on every layer, with the warning state at the designed-or-none target of exactly one designed declaration per note, the workedExample-null declaration every source note in this wave owes. The nine chains then ran without a single blocked export, re-export or pause: each note exported on its first attempt, and the aggregate receipt's mechanical asserts confirmed nineteen events per log, exactly one P8 closure per log, and unflagged P0 closures throughout.</w:t>
      </w:r>
    </w:p>
    <w:p>
      <w:pPr>
        <w:spacing w:after="120" w:line="312"/>
        <w:jc w:val="both"/>
      </w:pPr>
      <w:r>
        <w:rPr>
          <w:rFonts w:ascii="Times New Roman" w:eastAsia="SimSun" w:hAnsi="Times New Roman"/>
          <w:color w:val="000000"/>
          <w:sz w:val="24"/>
          <w:szCs w:val="24"/>
        </w:rPr>
        <w:t xml:space="preserve">The measured tally is the all-zero form the programme has used since wave-2's posture shift: focused time zero seconds per note and wall-clock zero seconds wave-wide, because authoring sits outside the instrumented chain under the batch-flow placement. The event logs nonetheless carry real ground truth at millisecond resolution: P0-through-P7 flag closures ranged from two hundred two to two hundred twenty-eight milliseconds per note, and the P8 window was sub-resolution on every single-pass note. This is chain telemetry and is classified of record as export-gate evidence, not authoring effort.</w:t>
      </w:r>
    </w:p>
    <w:p>
      <w:pPr>
        <w:keepNext/>
        <w:spacing w:after="80" w:before="200" w:line="312"/>
      </w:pPr>
      <w:r>
        <w:rPr>
          <w:rFonts w:ascii="Times New Roman" w:eastAsia="SimSun" w:hAnsi="Times New Roman"/>
          <w:b/>
          <w:bCs/>
          <w:color w:val="404040"/>
          <w:sz w:val="21"/>
          <w:szCs w:val="21"/>
        </w:rPr>
        <w:t xml:space="preserve">Table 2 - Per-note results of record (9/9 exported first-pass clean)</w:t>
      </w:r>
    </w:p>
    <w:tbl>
      <w:tblPr>
        <w:tblW w:type="pct" w:w="5000"/>
        <w:tblBorders>
          <w:top w:val="single" w:color="15857A" w:sz="4"/>
          <w:left w:val="none" w:color="FFFFFF" w:sz="0"/>
          <w:bottom w:val="single" w:color="15857A" w:sz="4"/>
          <w:right w:val="none" w:color="FFFFFF" w:sz="0"/>
          <w:insideH w:val="single" w:color="D5D0C8" w:sz="1"/>
          <w:insideV w:val="none" w:color="FFFFFF" w:sz="0"/>
        </w:tblBorders>
      </w:tblPr>
      <w:tblGrid>
        <w:gridCol w:w="3515"/>
        <w:gridCol w:w="967"/>
        <w:gridCol w:w="967"/>
        <w:gridCol w:w="2109"/>
        <w:gridCol w:w="1230"/>
      </w:tblGrid>
      <w:tr>
        <w:trPr>
          <w:cantSplit/>
          <w:tblHeader/>
        </w:trPr>
        <w:tc>
          <w:tcPr>
            <w:tcW w:type="pct" w:w="20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Note</w:t>
            </w:r>
          </w:p>
        </w:tc>
        <w:tc>
          <w:tcPr>
            <w:tcW w:type="pct" w:w="55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Lessons</w:t>
            </w:r>
          </w:p>
        </w:tc>
        <w:tc>
          <w:tcPr>
            <w:tcW w:type="pct" w:w="55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Checks</w:t>
            </w:r>
          </w:p>
        </w:tc>
        <w:tc>
          <w:tcPr>
            <w:tcW w:type="pct" w:w="12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Worked example</w:t>
            </w:r>
          </w:p>
        </w:tc>
        <w:tc>
          <w:tcPr>
            <w:tcW w:type="pct" w:w="7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Lint warnings</w:t>
            </w:r>
          </w:p>
        </w:tc>
      </w:tr>
      <w:tr>
        <w:trPr>
          <w:cantSplit/>
        </w:trPr>
        <w:tc>
          <w:tcPr>
            <w:tcW w:type="pct" w:w="20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Bases</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12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(designed)</w:t>
            </w:r>
          </w:p>
        </w:tc>
        <w:tc>
          <w:tcPr>
            <w:tcW w:type="pct" w:w="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r>
        <w:trPr>
          <w:cantSplit/>
        </w:trPr>
        <w:tc>
          <w:tcPr>
            <w:tcW w:type="pct" w:w="20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Prepare a Soluble Salt</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12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(designed)</w:t>
            </w:r>
          </w:p>
        </w:tc>
        <w:tc>
          <w:tcPr>
            <w:tcW w:type="pct" w:w="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r>
        <w:trPr>
          <w:cantSplit/>
        </w:trPr>
        <w:tc>
          <w:tcPr>
            <w:tcW w:type="pct" w:w="20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Prepare a Soluble Salt II</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12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(designed)</w:t>
            </w:r>
          </w:p>
        </w:tc>
        <w:tc>
          <w:tcPr>
            <w:tcW w:type="pct" w:w="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r>
        <w:trPr>
          <w:cantSplit/>
        </w:trPr>
        <w:tc>
          <w:tcPr>
            <w:tcW w:type="pct" w:w="20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Prepare an Insoluble Salt</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12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(designed)</w:t>
            </w:r>
          </w:p>
        </w:tc>
        <w:tc>
          <w:tcPr>
            <w:tcW w:type="pct" w:w="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r>
        <w:trPr>
          <w:cantSplit/>
        </w:trPr>
        <w:tc>
          <w:tcPr>
            <w:tcW w:type="pct" w:w="20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Practical: Prepare Lead(II)Sulfate</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12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(designed)</w:t>
            </w:r>
          </w:p>
        </w:tc>
        <w:tc>
          <w:tcPr>
            <w:tcW w:type="pct" w:w="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r>
        <w:trPr>
          <w:cantSplit/>
        </w:trPr>
        <w:tc>
          <w:tcPr>
            <w:tcW w:type="pct" w:w="20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Tests for Gases</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15</w:t>
            </w:r>
          </w:p>
        </w:tc>
        <w:tc>
          <w:tcPr>
            <w:tcW w:type="pct" w:w="12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(designed)</w:t>
            </w:r>
          </w:p>
        </w:tc>
        <w:tc>
          <w:tcPr>
            <w:tcW w:type="pct" w:w="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r>
        <w:trPr>
          <w:cantSplit/>
        </w:trPr>
        <w:tc>
          <w:tcPr>
            <w:tcW w:type="pct" w:w="20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Flame Tests</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12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(designed)</w:t>
            </w:r>
          </w:p>
        </w:tc>
        <w:tc>
          <w:tcPr>
            <w:tcW w:type="pct" w:w="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r>
        <w:trPr>
          <w:cantSplit/>
        </w:trPr>
        <w:tc>
          <w:tcPr>
            <w:tcW w:type="pct" w:w="20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Tests for Cations</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12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(designed)</w:t>
            </w:r>
          </w:p>
        </w:tc>
        <w:tc>
          <w:tcPr>
            <w:tcW w:type="pct" w:w="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r>
        <w:trPr>
          <w:cantSplit/>
        </w:trPr>
        <w:tc>
          <w:tcPr>
            <w:tcW w:type="pct" w:w="20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Tests for Water</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12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(designed)</w:t>
            </w:r>
          </w:p>
        </w:tc>
        <w:tc>
          <w:tcPr>
            <w:tcW w:type="pct" w:w="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bl>
    <w:p>
      <w:pPr>
        <w:spacing w:after="120" w:line="312"/>
        <w:jc w:val="both"/>
      </w:pPr>
      <w:r>
        <w:rPr>
          <w:rFonts w:ascii="Times New Roman" w:eastAsia="SimSun" w:hAnsi="Times New Roman"/>
          <w:color w:val="000000"/>
          <w:sz w:val="24"/>
          <w:szCs w:val="24"/>
        </w:rPr>
        <w:t xml:space="preserve">Totals of record: nineteen lessons, ninety-five checks, ninety-five key points, fifty-one glossary terms and two hundred and eighty-five named-misconception distractors. Every check offers four options with exactly one keyed correct, every option carries an explanation of one or two sentences, and every distractor names the misconception it catches, continuing the wave-3 through wave-6 cadence without exception.</w:t>
      </w:r>
    </w:p>
    <w:p>
      <w:pPr>
        <w:pStyle w:val="Heading1"/>
        <w:keepNext/>
        <w:spacing w:after="160" w:before="360" w:line="312"/>
      </w:pPr>
      <w:bookmarkStart w:name="_Toc5" w:id="5"/>
      <w:r>
        <w:rPr>
          <w:rFonts w:ascii="Times New Roman" w:eastAsia="SimSun" w:hAnsi="Times New Roman"/>
          <w:b/>
          <w:bCs/>
          <w:color w:val="15857A"/>
          <w:sz w:val="32"/>
          <w:szCs w:val="32"/>
        </w:rPr>
        <w:t xml:space="preserve">5. Quality</w:t>
      </w:r>
      <w:bookmarkEnd w:id="5"/>
    </w:p>
    <w:p>
      <w:pPr>
        <w:spacing w:after="120" w:line="312"/>
        <w:jc w:val="both"/>
      </w:pPr>
      <w:r>
        <w:rPr>
          <w:rFonts w:ascii="Times New Roman" w:eastAsia="SimSun" w:hAnsi="Times New Roman"/>
          <w:color w:val="000000"/>
          <w:sz w:val="24"/>
          <w:szCs w:val="24"/>
        </w:rPr>
        <w:t xml:space="preserve">The warning ledger closes at nine designed declarations and nothing else. Every source note in this wave carries no worked example of any kind, so every layer declares workedExample-null and the lint's declaration line is the of-record receipt of that design decision. No non-numeric ports and no numeric ports were needed: none of the nine sources carries a worked-example block or a results table, so this is the first wave of the programme in which the entire warning inventory sits in the single workedExample-null class. Zero non-designed warnings survived to export on any note.</w:t>
      </w:r>
    </w:p>
    <w:p>
      <w:pPr>
        <w:spacing w:after="120" w:line="312"/>
        <w:jc w:val="both"/>
      </w:pPr>
      <w:r>
        <w:rPr>
          <w:rFonts w:ascii="Times New Roman" w:eastAsia="SimSun" w:hAnsi="Times New Roman"/>
          <w:color w:val="000000"/>
          <w:sz w:val="24"/>
          <w:szCs w:val="24"/>
        </w:rPr>
        <w:t xml:space="preserve">Content depth was audited against the source material wave-wide. The flagship note spans all five gas tests with their false-positive traps: sodium hydroxide traces faking an ammonia positive, the extinguished splint that nitrogen also satisfies, and the red-then-bleach sequence that chlorine alone produces. The salt-preparation run spans four distinct methods, excess-and-filter from an insoluble base, titration without indicator from an acid and alkali, precipitation from two soluble salts, and the named lead(II) sulfate practical with its measured volumes and its toxicity care point. Every distractor is a named misconception drawn from the families the source material targets, keeping the check bank diagnostic rather than decorative.</w:t>
      </w:r>
    </w:p>
    <w:p>
      <w:pPr>
        <w:spacing w:after="120" w:line="312"/>
        <w:jc w:val="both"/>
      </w:pPr>
      <w:r>
        <w:rPr>
          <w:rFonts w:ascii="Times New Roman" w:eastAsia="SimSun" w:hAnsi="Times New Roman"/>
          <w:color w:val="000000"/>
          <w:sz w:val="24"/>
          <w:szCs w:val="24"/>
        </w:rPr>
        <w:t xml:space="preserve">Pre-flight transparency is part of the quality record. The pre-flight stage caught and fixed, all before first export: one source-fidelity run on one note (a nine-word key-point run on Tests for Water, paraphrased to the eight-word rule), five plain-words register slips across four notes (identification reworded twice, confirmation and combination reworded once each, and evaporation, crystallisation, precipitation, filtration and preparation handled by glossary-backing or rephrasing), and five template-uniformity flags across four notes where the low and medium depth layers drifted past thirty percent in relative length. One further catch happened at authoring time, before pre-flight even ran: a stray key in an option object on the insoluble-salt note was removed at source, the fail-closed schema guard working one level earlier than usual. The post-fix pre-flight returned the clean designed-or-none state on all nine layers, and nothing needed repair inside any chain afterwards.</w:t>
      </w:r>
    </w:p>
    <w:p>
      <w:pPr>
        <w:pStyle w:val="Heading1"/>
        <w:keepNext/>
        <w:spacing w:after="160" w:before="360" w:line="312"/>
      </w:pPr>
      <w:bookmarkStart w:name="_Toc6" w:id="6"/>
      <w:r>
        <w:rPr>
          <w:rFonts w:ascii="Times New Roman" w:eastAsia="SimSun" w:hAnsi="Times New Roman"/>
          <w:b/>
          <w:bCs/>
          <w:color w:val="15857A"/>
          <w:sz w:val="32"/>
          <w:szCs w:val="32"/>
        </w:rPr>
        <w:t xml:space="preserve">6. Measurement Integrity</w:t>
      </w:r>
      <w:bookmarkEnd w:id="6"/>
    </w:p>
    <w:p>
      <w:pPr>
        <w:spacing w:after="120" w:line="312"/>
        <w:jc w:val="both"/>
      </w:pPr>
      <w:r>
        <w:rPr>
          <w:rFonts w:ascii="Times New Roman" w:eastAsia="SimSun" w:hAnsi="Times New Roman"/>
          <w:color w:val="000000"/>
          <w:sz w:val="24"/>
          <w:szCs w:val="24"/>
        </w:rPr>
        <w:t xml:space="preserve">The telemetry record is the fourth fully zero wave of the programme: focused totals zero seconds per note, wall spans zero seconds, and phase shares reported as null at the zero divisor, the honest form waves 3 through 6 established. Event-log ground truth is the compensating evidence: nine logs at nineteen events each, P0-through-P7 closures of two hundred two to two hundred twenty-eight milliseconds, one export event per note, one P8 phase-end per note, and the P0 unflagged closure asserted on every log. The save() omission patch of record therefore logged its sixteenth through eighteenth consecutive clean production rounds.</w:t>
      </w:r>
    </w:p>
    <w:p>
      <w:pPr>
        <w:spacing w:after="120" w:line="312"/>
        <w:jc w:val="both"/>
      </w:pPr>
      <w:r>
        <w:rPr>
          <w:rFonts w:ascii="Times New Roman" w:eastAsia="SimSun" w:hAnsi="Times New Roman"/>
          <w:color w:val="000000"/>
          <w:sz w:val="24"/>
          <w:szCs w:val="24"/>
        </w:rPr>
        <w:t xml:space="preserve">The library restoration pattern held without incident this round. Ajv, the yaml parser and docx were all verified co-resolving at entry, before any work began, with docx resolving to its CJS distribution entry, and no reinstall was needed at any point mid-wave. The one-command pattern minted at wave-5 and exercised at wave-6 is now the settled discipline: one install, then verify, before the first check runs.</w:t>
      </w:r>
    </w:p>
    <w:p>
      <w:pPr>
        <w:spacing w:after="120" w:line="312"/>
        <w:jc w:val="both"/>
      </w:pPr>
      <w:r>
        <w:rPr>
          <w:rFonts w:ascii="Times New Roman" w:eastAsia="SimSun" w:hAnsi="Times New Roman"/>
          <w:color w:val="000000"/>
          <w:sz w:val="24"/>
          <w:szCs w:val="24"/>
        </w:rPr>
        <w:t xml:space="preserve">Spec-text handling is fully disclosed. The eleven unique wave-7 codes were resolved from the repository's specification-points pack after a four-probe parity check against wave-6's of-record layer texts, keeping the pack a proven zero-database source of record alongside the pinned snapshot. The probe discipline was sharpened to skip codes whose pack wording ends with a colon, which are exactly the documented multi-bullet flattening class, and the three wave-7 multi-bullet statements were flattened from the wave-7 note bodies' own spec-point lines with wording verbatim. Every departure from a verbatim quotation has a named reason and a named location.</w:t>
      </w:r>
    </w:p>
    <w:p>
      <w:pPr>
        <w:spacing w:after="120" w:line="312"/>
        <w:jc w:val="both"/>
      </w:pPr>
      <w:r>
        <w:rPr>
          <w:rFonts w:ascii="Times New Roman" w:eastAsia="SimSun" w:hAnsi="Times New Roman"/>
          <w:color w:val="000000"/>
          <w:sz w:val="24"/>
          <w:szCs w:val="24"/>
        </w:rPr>
        <w:t xml:space="preserve">Chain-order discipline was mechanically asserted rather than merely observed. The aggregate receipt build refuses to mint unless every receipt carries assisted phases exactly P1 through P7, every event log carries nineteen events with exactly one P8 closure and one export, every body hash matches the snapshot row, and every register row matches the pacing file and the snapshot on title, subtopic, character count and spec codes. All asserts passed at mint, and the close-out round verifier repeats the battery independently from the files on disk.</w:t>
      </w:r>
    </w:p>
    <w:p>
      <w:pPr>
        <w:pStyle w:val="Heading1"/>
        <w:keepNext/>
        <w:spacing w:after="160" w:before="360" w:line="312"/>
      </w:pPr>
      <w:bookmarkStart w:name="_Toc7" w:id="7"/>
      <w:r>
        <w:rPr>
          <w:rFonts w:ascii="Times New Roman" w:eastAsia="SimSun" w:hAnsi="Times New Roman"/>
          <w:b/>
          <w:bCs/>
          <w:color w:val="15857A"/>
          <w:sz w:val="32"/>
          <w:szCs w:val="32"/>
        </w:rPr>
        <w:t xml:space="preserve">7. Recalibration Checkpoint</w:t>
      </w:r>
      <w:bookmarkEnd w:id="7"/>
    </w:p>
    <w:p>
      <w:pPr>
        <w:spacing w:after="120" w:line="312"/>
        <w:jc w:val="both"/>
      </w:pPr>
      <w:r>
        <w:rPr>
          <w:rFonts w:ascii="Times New Roman" w:eastAsia="SimSun" w:hAnsi="Times New Roman"/>
          <w:color w:val="000000"/>
          <w:sz w:val="24"/>
          <w:szCs w:val="24"/>
        </w:rPr>
        <w:t xml:space="preserve">The pacing file's recalibration clause was discharged for wave-7 before the next wave opens. Recomputed from the wave-7 receipts, the mean is zero seconds per note and zero seconds per character, with phase shares null at the zero divisor; recomputed from the event logs, P0-through-P7 spans are two hundred two to two hundred twenty-eight milliseconds per note with no measurable P8 window on any single-pass note. These are the same structural readings waves 2 through 6 recorded, and they receive the same classification.</w:t>
      </w:r>
    </w:p>
    <w:p>
      <w:pPr>
        <w:spacing w:after="120" w:line="312"/>
        <w:jc w:val="both"/>
      </w:pPr>
      <w:r>
        <w:rPr>
          <w:rFonts w:ascii="Times New Roman" w:eastAsia="SimSun" w:hAnsi="Times New Roman"/>
          <w:color w:val="000000"/>
          <w:sz w:val="24"/>
          <w:szCs w:val="24"/>
        </w:rPr>
        <w:t xml:space="preserve">The decision of record reaffirms the wave-2 checkpoint's four items unchanged. First, the planning estimator remains the wave-1 instrumented basis of two hundred eighty-three seconds per note and 0.0697 seconds per character, with wave-2 through wave-7 receipts alike classified as export-gate telemetry and not used to restate the estimators. Second, re-timing a paced round remains declined, because the instrument still measures the chain window under batch authoring. Third, receipts continue on every future wave regardless, each carrying its event-log ground truth, and focused tallies are never compared across waves with different authoring placement. Fourth, the corpus-wide exposure arithmetic stands: the twenty-eight, fifty-six and ninety-three author-day bands, with the per-topic floor never quotable as a human rate.</w:t>
      </w:r>
    </w:p>
    <w:p>
      <w:pPr>
        <w:spacing w:after="120" w:line="312"/>
        <w:jc w:val="both"/>
      </w:pPr>
      <w:r>
        <w:rPr>
          <w:rFonts w:ascii="Times New Roman" w:eastAsia="SimSun" w:hAnsi="Times New Roman"/>
          <w:color w:val="000000"/>
          <w:sz w:val="24"/>
          <w:szCs w:val="24"/>
        </w:rPr>
        <w:t xml:space="preserve">The comparability rule is restated with wave-7 folded in: waves 2 through 7 share one comparability class, all pre-write batch flow under declared assistance, and none of them is comparable to wave-1's in-chain instrumented measurement. Any future wave that returns authoring inside the P0-to-P8 chain would open a new class and be reported separately on its own terms.</w:t>
      </w:r>
    </w:p>
    <w:p>
      <w:pPr>
        <w:pStyle w:val="Heading1"/>
        <w:keepNext/>
        <w:spacing w:after="160" w:before="360" w:line="312"/>
      </w:pPr>
      <w:bookmarkStart w:name="_Toc8" w:id="8"/>
      <w:r>
        <w:rPr>
          <w:rFonts w:ascii="Times New Roman" w:eastAsia="SimSun" w:hAnsi="Times New Roman"/>
          <w:b/>
          <w:bCs/>
          <w:color w:val="15857A"/>
          <w:sz w:val="32"/>
          <w:szCs w:val="32"/>
        </w:rPr>
        <w:t xml:space="preserve">8. Interpretation and Progress</w:t>
      </w:r>
      <w:bookmarkEnd w:id="8"/>
    </w:p>
    <w:p>
      <w:pPr>
        <w:spacing w:after="120" w:line="312"/>
        <w:jc w:val="both"/>
      </w:pPr>
      <w:r>
        <w:rPr>
          <w:rFonts w:ascii="Times New Roman" w:eastAsia="SimSun" w:hAnsi="Times New Roman"/>
          <w:color w:val="000000"/>
          <w:sz w:val="24"/>
          <w:szCs w:val="24"/>
        </w:rPr>
        <w:t xml:space="preserve">The programme stands at seventy-eight of one hundred twelve notes authored, 69.6 percent, and for the first time both foundational topics are complete. Topic 1 Principles of Chemistry stands at forty of forty with all nine subtopics closed, as it has since wave-4. Topic 2 Inorganic Chemistry stands at thirty-six of thirty-six with all eight subtopics closed: Group 1, Group 7 and Gases in the Atmosphere closed in wave-5; Reactivity Series, Extraction &amp; Uses of Metals and Acids, Alkalis &amp; Titrations closed in wave-6; and Acids, Bases &amp; Salt Preparations and Chemical Tests closed in this wave. Cumulative subtopic closures stand at sixteen of twenty-eight.</w:t>
      </w:r>
    </w:p>
    <w:p>
      <w:pPr>
        <w:spacing w:after="120" w:line="312"/>
        <w:jc w:val="both"/>
      </w:pPr>
      <w:r>
        <w:rPr>
          <w:rFonts w:ascii="Times New Roman" w:eastAsia="SimSun" w:hAnsi="Times New Roman"/>
          <w:color w:val="000000"/>
          <w:sz w:val="24"/>
          <w:szCs w:val="24"/>
        </w:rPr>
        <w:t xml:space="preserve">Cumulative content of record now stands at one hundred sixty-three lessons, eight hundred and fifteen explained checks, eight hundred and thirty-two key points, four hundred and eighty-two glossary terms and two thousand four hundred and twenty-five named-misconception distractors across the seventy-eight authored notes. The remaining register is thirty-four notes: fourteen in Topic 3 Physical Chemistry and twenty in Topic 4 Organic Chemistry, paced by the standing plan as waves 8 through 10, with the small residual note counts in those topics accounted for by the wave-1 calibration note.</w:t>
      </w:r>
    </w:p>
    <w:p>
      <w:pPr>
        <w:spacing w:after="120" w:line="312"/>
        <w:jc w:val="both"/>
      </w:pPr>
      <w:r>
        <w:rPr>
          <w:rFonts w:ascii="Times New Roman" w:eastAsia="SimSun" w:hAnsi="Times New Roman"/>
          <w:color w:val="000000"/>
          <w:sz w:val="24"/>
          <w:szCs w:val="24"/>
        </w:rPr>
        <w:t xml:space="preserve">The wave consolidated rather than changed the closeout conventions. Artefacts append to the same folder of record with a manifest refresh each wave; the round verifier carries its close-out guards from the outset; and the receipt's integrity block records every treatment future waves may need to repeat, from the sharpened parity-probe discipline to the glossary-backed register words. Nothing in the wave's conduct needs carrying forward as a defect; everything worth carrying forward is already a documented pattern.</w:t>
      </w:r>
    </w:p>
    <w:p>
      <w:pPr>
        <w:pStyle w:val="Heading1"/>
        <w:keepNext/>
        <w:spacing w:after="160" w:before="360" w:line="312"/>
      </w:pPr>
      <w:bookmarkStart w:name="_Toc9" w:id="9"/>
      <w:r>
        <w:rPr>
          <w:rFonts w:ascii="Times New Roman" w:eastAsia="SimSun" w:hAnsi="Times New Roman"/>
          <w:b/>
          <w:bCs/>
          <w:color w:val="15857A"/>
          <w:sz w:val="32"/>
          <w:szCs w:val="32"/>
        </w:rPr>
        <w:t xml:space="preserve">9. Artifacts</w:t>
      </w:r>
      <w:bookmarkEnd w:id="9"/>
    </w:p>
    <w:p>
      <w:pPr>
        <w:keepNext/>
        <w:spacing w:after="80" w:before="200" w:line="312"/>
      </w:pPr>
      <w:r>
        <w:rPr>
          <w:rFonts w:ascii="Times New Roman" w:eastAsia="SimSun" w:hAnsi="Times New Roman"/>
          <w:b/>
          <w:bCs/>
          <w:color w:val="404040"/>
          <w:sz w:val="21"/>
          <w:szCs w:val="21"/>
        </w:rPr>
        <w:t xml:space="preserve">Table 3 - Wave-7 artifacts of record</w:t>
      </w:r>
    </w:p>
    <w:tbl>
      <w:tblPr>
        <w:tblW w:type="pct" w:w="5000"/>
        <w:tblBorders>
          <w:top w:val="single" w:color="15857A" w:sz="4"/>
          <w:left w:val="none" w:color="FFFFFF" w:sz="0"/>
          <w:bottom w:val="single" w:color="15857A" w:sz="4"/>
          <w:right w:val="none" w:color="FFFFFF" w:sz="0"/>
          <w:insideH w:val="single" w:color="D5D0C8" w:sz="1"/>
          <w:insideV w:val="none" w:color="FFFFFF" w:sz="0"/>
        </w:tblBorders>
      </w:tblPr>
      <w:tblGrid>
        <w:gridCol w:w="3164"/>
        <w:gridCol w:w="4394"/>
        <w:gridCol w:w="1230"/>
      </w:tblGrid>
      <w:tr>
        <w:trPr>
          <w:cantSplit/>
          <w:tblHeader/>
        </w:trPr>
        <w:tc>
          <w:tcPr>
            <w:tcW w:type="pct" w:w="18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Location</w:t>
            </w:r>
          </w:p>
        </w:tc>
        <w:tc>
          <w:tcPr>
            <w:tcW w:type="pct" w:w="25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Contents</w:t>
            </w:r>
          </w:p>
        </w:tc>
        <w:tc>
          <w:tcPr>
            <w:tcW w:type="pct" w:w="7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Count</w:t>
            </w:r>
          </w:p>
        </w:tc>
      </w:tr>
      <w:tr>
        <w:trPr>
          <w:cantSplit/>
        </w:trPr>
        <w:tc>
          <w:tcPr>
            <w:tcW w:type="pct" w:w="18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download/wave7/</w:t>
            </w:r>
          </w:p>
        </w:tc>
        <w:tc>
          <w:tcPr>
            <w:tcW w:type="pct" w:w="2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9 guided-lesson layers + 9 timing receipts + wave7-receipt.json</w:t>
            </w:r>
          </w:p>
        </w:tc>
        <w:tc>
          <w:tcPr>
            <w:tcW w:type="pct" w:w="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19 files</w:t>
            </w:r>
          </w:p>
        </w:tc>
      </w:tr>
      <w:tr>
        <w:trPr>
          <w:cantSplit/>
        </w:trPr>
        <w:tc>
          <w:tcPr>
            <w:tcW w:type="pct" w:w="18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.tmp/wave7/runs/</w:t>
            </w:r>
          </w:p>
        </w:tc>
        <w:tc>
          <w:tcPr>
            <w:tcW w:type="pct" w:w="2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9 per-note event logs (19 events each)</w:t>
            </w:r>
          </w:p>
        </w:tc>
        <w:tc>
          <w:tcPr>
            <w:tcW w:type="pct" w:w="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9 files</w:t>
            </w:r>
          </w:p>
        </w:tc>
      </w:tr>
      <w:tr>
        <w:trPr>
          <w:cantSplit/>
        </w:trPr>
        <w:tc>
          <w:tcPr>
            <w:tcW w:type="pct" w:w="18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.tmp/wave7/bodies/ + register</w:t>
            </w:r>
          </w:p>
        </w:tc>
        <w:tc>
          <w:tcPr>
            <w:tcW w:type="pct" w:w="2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Preparation set: 9 bodies + cross-checked register + spec texts</w:t>
            </w:r>
          </w:p>
        </w:tc>
        <w:tc>
          <w:tcPr>
            <w:tcW w:type="pct" w:w="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prep set</w:t>
            </w:r>
          </w:p>
        </w:tc>
      </w:tr>
      <w:tr>
        <w:trPr>
          <w:cantSplit/>
        </w:trPr>
        <w:tc>
          <w:tcPr>
            <w:tcW w:type="pct" w:w="18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download/ (report)</w:t>
            </w:r>
          </w:p>
        </w:tc>
        <w:tc>
          <w:tcPr>
            <w:tcW w:type="pct" w:w="2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Wave-7-Authoring-Wave-Report-20261025.docx (this document)</w:t>
            </w:r>
          </w:p>
        </w:tc>
        <w:tc>
          <w:tcPr>
            <w:tcW w:type="pct" w:w="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file</w:t>
            </w:r>
          </w:p>
        </w:tc>
      </w:tr>
      <w:tr>
        <w:trPr>
          <w:cantSplit/>
        </w:trPr>
        <w:tc>
          <w:tcPr>
            <w:tcW w:type="pct" w:w="18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scripts/ (tooling)</w:t>
            </w:r>
          </w:p>
        </w:tc>
        <w:tc>
          <w:tcPr>
            <w:tcW w:type="pct" w:w="2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wave7-prep, wave7-preflight, wave7-chain, wave7-wave-receipt, wave7-round-verify, wave7-report x3, postcheck</w:t>
            </w:r>
          </w:p>
        </w:tc>
        <w:tc>
          <w:tcPr>
            <w:tcW w:type="pct" w:w="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9 files</w:t>
            </w:r>
          </w:p>
        </w:tc>
      </w:tr>
      <w:tr>
        <w:trPr>
          <w:cantSplit/>
        </w:trPr>
        <w:tc>
          <w:tcPr>
            <w:tcW w:type="pct" w:w="18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syllabai-resources repo</w:t>
            </w:r>
          </w:p>
        </w:tc>
        <w:tc>
          <w:tcPr>
            <w:tcW w:type="pct" w:w="2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SME-GuidedLessons/ append at the close-out commit (wave-7 + event logs + report + tooling), MANIFEST v6</w:t>
            </w:r>
          </w:p>
        </w:tc>
        <w:tc>
          <w:tcPr>
            <w:tcW w:type="pct" w:w="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this wave</w:t>
            </w:r>
          </w:p>
        </w:tc>
      </w:tr>
    </w:tbl>
    <w:p>
      <w:pPr>
        <w:spacing w:after="120" w:line="312"/>
        <w:jc w:val="both"/>
      </w:pPr>
      <w:r>
        <w:rPr>
          <w:rFonts w:ascii="Times New Roman" w:eastAsia="SimSun" w:hAnsi="Times New Roman"/>
          <w:color w:val="000000"/>
          <w:sz w:val="24"/>
          <w:szCs w:val="24"/>
        </w:rPr>
        <w:t xml:space="preserve">The local deliverable set is complete and self-verifying: the round verifier's battery re-derives every count in this report from the files on disk, and the aggregate receipt re-derives them from the receipts and event logs, so the two paths cross-check. The repository append is performed in one additive commit on top of the wave-6 landing of record, with the manifest refreshed to version six and the per-file hashes regenerated; its verification battery runs against the contents interface only, per the standing rule that recursive tree enumeration truncates on this repository.</w:t>
      </w:r>
    </w:p>
    <w:p>
      <w:pPr>
        <w:pStyle w:val="Heading1"/>
        <w:keepNext/>
        <w:spacing w:after="160" w:before="360" w:line="312"/>
      </w:pPr>
      <w:bookmarkStart w:name="_Toc10" w:id="10"/>
      <w:r>
        <w:rPr>
          <w:rFonts w:ascii="Times New Roman" w:eastAsia="SimSun" w:hAnsi="Times New Roman"/>
          <w:b/>
          <w:bCs/>
          <w:color w:val="15857A"/>
          <w:sz w:val="32"/>
          <w:szCs w:val="32"/>
        </w:rPr>
        <w:t xml:space="preserve">10. Next Steps</w:t>
      </w:r>
      <w:bookmarkEnd w:id="10"/>
    </w:p>
    <w:p>
      <w:pPr>
        <w:spacing w:after="120" w:line="312"/>
        <w:jc w:val="both"/>
      </w:pPr>
      <w:r>
        <w:rPr>
          <w:rFonts w:ascii="Times New Roman" w:eastAsia="SimSun" w:hAnsi="Times New Roman"/>
          <w:color w:val="000000"/>
          <w:sz w:val="24"/>
          <w:szCs w:val="24"/>
        </w:rPr>
        <w:t xml:space="preserve">The recorded next step is wave-8, operator-gated as always: fourteen notes opening Topic 3 Physical Chemistry, led by the Energetics subtopic from Exothermic &amp; Endothermic through Bond Energy. The remaining register after this wave is fourteen notes in Topic 3 and twenty in Topic 4 Organic Chemistry, and the pacing file carries their registers as recorded. Topic 3 and Topic 4 are the last two topics standing between the programme and its full one hundred and twelve.</w:t>
      </w:r>
    </w:p>
    <w:p>
      <w:pPr>
        <w:spacing w:after="120" w:line="312"/>
        <w:jc w:val="both"/>
      </w:pPr>
      <w:r>
        <w:rPr>
          <w:rFonts w:ascii="Times New Roman" w:eastAsia="SimSun" w:hAnsi="Times New Roman"/>
          <w:color w:val="000000"/>
          <w:sz w:val="24"/>
          <w:szCs w:val="24"/>
        </w:rPr>
        <w:t xml:space="preserve">Entry discipline for wave-8 follows the pattern this wave ran: pin re-verification at entry and close-out, library restoration verified after install, register cross-check, bodies read end to end from the snapshot, pre-flight clean before any chain, per-note receipts with round verification, artefacts appended to the same folder with a manifest refresh, and the wave receipt plus recalibration checkpoint at the close.</w:t>
      </w:r>
    </w:p>
    <w:p>
      <w:pPr>
        <w:spacing w:after="120" w:line="312"/>
        <w:jc w:val="both"/>
      </w:pPr>
      <w:r>
        <w:rPr>
          <w:rFonts w:ascii="Times New Roman" w:eastAsia="SimSun" w:hAnsi="Times New Roman"/>
          <w:color w:val="000000"/>
          <w:sz w:val="24"/>
          <w:szCs w:val="24"/>
        </w:rPr>
        <w:t xml:space="preserve">No configuration change is requested. The posture, pacing file and closeout conventions all stand as of record, and the next ignition proceeds on the operator's word.</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808080"/>
        <w:sz w:val="18"/>
        <w:szCs w:val="18"/>
      </w:rPr>
      <w:fldChar w:fldCharType="begin"/>
    </w:r>
    <w:r>
      <w:rPr>
        <w:rFonts w:ascii="Times New Roman" w:eastAsia="SimSun" w:hAnsi="Times New Roman"/>
        <w:color w:val="808080"/>
        <w:sz w:val="18"/>
        <w:szCs w:val="18"/>
      </w:rPr>
      <w:instrText xml:space="preserve">PAGE</w:instrText>
    </w:r>
    <w:r>
      <w:rPr>
        <w:rFonts w:ascii="Times New Roman" w:eastAsia="SimSun" w:hAnsi="Times New Roman"/>
        <w:color w:val="808080"/>
        <w:sz w:val="18"/>
        <w:szCs w:val="18"/>
      </w:rPr>
      <w:fldChar w:fldCharType="separate"/>
    </w:r>
    <w:r>
      <w:rPr>
        <w:rFonts w:ascii="Times New Roman" w:eastAsia="SimSun" w:hAnsi="Times New Roman"/>
        <w:color w:val="808080"/>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808080"/>
        <w:sz w:val="18"/>
        <w:szCs w:val="18"/>
      </w:rPr>
      <w:fldChar w:fldCharType="begin"/>
    </w:r>
    <w:r>
      <w:rPr>
        <w:rFonts w:ascii="Times New Roman" w:eastAsia="SimSun" w:hAnsi="Times New Roman"/>
        <w:color w:val="808080"/>
        <w:sz w:val="18"/>
        <w:szCs w:val="18"/>
      </w:rPr>
      <w:instrText xml:space="preserve">PAGE</w:instrText>
    </w:r>
    <w:r>
      <w:rPr>
        <w:rFonts w:ascii="Times New Roman" w:eastAsia="SimSun" w:hAnsi="Times New Roman"/>
        <w:color w:val="808080"/>
        <w:sz w:val="18"/>
        <w:szCs w:val="18"/>
      </w:rPr>
      <w:fldChar w:fldCharType="separate"/>
    </w:r>
    <w:r>
      <w:rPr>
        <w:rFonts w:ascii="Times New Roman" w:eastAsia="SimSun" w:hAnsi="Times New Roman"/>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eastAsia="SimSun" w:hAnsi="Times New Roman"/>
        <w:color w:val="808080"/>
        <w:sz w:val="18"/>
        <w:szCs w:val="18"/>
      </w:rPr>
      <w:t xml:space="preserve">Wave-7 Authoring Wave Report - Guided Learning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Sun" w:hAnsi="Times New Roman"/>
      <w:b/>
      <w:bCs/>
      <w:color w:val="15857A"/>
      <w:sz w:val="32"/>
      <w:szCs w:val="32"/>
    </w:rPr>
  </w:style>
  <w:style w:type="paragraph" w:styleId="Heading2">
    <w:name w:val="Heading 2"/>
    <w:basedOn w:val="Normal"/>
    <w:next w:val="Normal"/>
    <w:qFormat/>
    <w:pPr>
      <w:spacing w:after="120" w:before="240" w:line="312"/>
      <w:outlineLvl w:val="1"/>
    </w:pPr>
    <w:rPr>
      <w:rFonts w:ascii="Times New Roman" w:eastAsia="SimSun" w:hAnsi="Times New Roman"/>
      <w:b/>
      <w:bCs/>
      <w:color w:val="15857A"/>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Wave-7 Authoring Wave Report</dc:title>
  <dc:creator>SyllabAI product engineering (lane w0a)</dc:creator>
  <cp:lastModifiedBy>Un-named</cp:lastModifiedBy>
  <cp:revision>1</cp:revision>
  <dcterms:created xsi:type="dcterms:W3CDTF">2026-10-25T13:18:57.903Z</dcterms:created>
  <dcterms:modified xsi:type="dcterms:W3CDTF">2026-10-25T13:18:57.903Z</dcterms:modified>
</cp:coreProperties>
</file>

<file path=docProps/custom.xml><?xml version="1.0" encoding="utf-8"?>
<Properties xmlns="http://schemas.openxmlformats.org/officeDocument/2006/custom-properties" xmlns:vt="http://schemas.openxmlformats.org/officeDocument/2006/docPropsVTypes"/>
</file>