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Wave-6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Topic 2 Inorganic Chemistry advances to twenty-seven of thirty-six with three more subtopics closed outright, the programme reaches 61.6 percent, and the titration note carries the third arithmetic-verified worked example of the programme</w:t>
            </w:r>
          </w:p>
          <w:p>
            <w:pPr>
              <w:pBdr>
                <w:left w:val="single" w:color="FF6A3B" w:sz="8" w:space="12"/>
              </w:pBdr>
              <w:spacing w:after="80"/>
              <w:ind w:left="1400"/>
            </w:pPr>
            <w:r>
              <w:rPr>
                <w:rFonts w:ascii="Arial" w:eastAsia="Microsoft YaHei"/>
                <w:color w:val="707070"/>
                <w:sz w:val="24"/>
                <w:szCs w:val="24"/>
              </w:rPr>
              <w:t xml:space="preserve">Wave of record: wave-6, Topic T2 Inorganic Chemistry (Reactivity Series close, Extraction &amp; Uses, Acids/Alkalis/Titrations, Salt Preparations open), complete 2026-10-25 - 12/12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(single operator ignition on the recorded wave-6 next step); paced by wave-pacing-open/0.1</w:t>
            </w:r>
          </w:p>
          <w:p>
            <w:pPr>
              <w:pBdr>
                <w:left w:val="single" w:color="FF6A3B" w:sz="8" w:space="12"/>
              </w:pBdr>
              <w:spacing w:after="80"/>
              <w:ind w:left="1400"/>
            </w:pPr>
            <w:r>
              <w:rPr>
                <w:rFonts w:ascii="Arial" w:eastAsia="Microsoft YaHei"/>
                <w:color w:val="707070"/>
                <w:sz w:val="24"/>
                <w:szCs w:val="24"/>
              </w:rPr>
              <w:t xml:space="preserve">Progress of record: 69 of 112 notes authored (61.6 percent) - Topic 2 at 27/36, fifteen of 28 subtopics closed outright</w:t>
            </w:r>
          </w:p>
          <w:p>
            <w:pPr>
              <w:pBdr>
                <w:left w:val="single" w:color="FF6A3B" w:sz="8" w:space="12"/>
              </w:pBdr>
              <w:spacing w:after="80"/>
              <w:ind w:left="1400"/>
            </w:pPr>
            <w:r>
              <w:rPr>
                <w:rFonts w:ascii="Arial" w:eastAsia="Microsoft YaHei"/>
                <w:color w:val="707070"/>
                <w:sz w:val="24"/>
                <w:szCs w:val="24"/>
              </w:rPr>
              <w:t xml:space="preserve">Quality of record: 12/12 schema PASS first-pass, 0 lint hard-fails, 11 designed declarations, 120 checks, 360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P0 permanent guard clean on all twelve logs; idempotence held, zero re-exports; numeric titration port arithmetic-verified at 0 warnings</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2026-10-25</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Wave-6 is complete of record: twelve of twelve register notes authored and exported first-pass clean under a single operator ignition (the operator's “Continue” on the recorded wave-6 next step), the third fully single-ignition wave of the programme. The wave closed the Reactivity Series, completed Extraction &amp; Uses of Metals, closed Acids, Alkalis &amp; Titrations and opened Acids, Bases &amp; Salt Preparations, carrying twenty-four lessons with one hundred and twenty explained checks, one hundred and twenty key points and eighty-one glossary terms over thirty-four thousand three hundred and sixteen characters of pinned source corpus. Every layer passed the schema gate and the house-style lint before any chain fired, and every chain closed with exactly one export event, zero re-exports, zero pauses and the permanent P0 guard clean on all twelve event logs.</w:t>
      </w:r>
    </w:p>
    <w:p>
      <w:pPr>
        <w:spacing w:after="120" w:line="312"/>
        <w:jc w:val="both"/>
      </w:pPr>
      <w:r>
        <w:rPr>
          <w:rFonts w:ascii="Times New Roman" w:eastAsia="SimSun" w:hAnsi="Times New Roman"/>
          <w:color w:val="000000"/>
          <w:sz w:val="24"/>
          <w:szCs w:val="24"/>
        </w:rPr>
        <w:t xml:space="preserve">The headline result is progress: the programme stands at sixty-nine of one hundred and twelve notes authored, 61.6 percent. Within Topic 2 Inorganic Chemistry the register moved from fifteen of thirty-six to twenty-seven of thirty-six, and three subtopics closed outright this wave: Reactivity Series, Extraction &amp; Uses of Metals and Acids, Alkalis &amp; Titrations. Cumulative subtopic closures now stand at fifteen of twenty-eight, alongside the completed Topic 1 at forty of forty with all nine subtopics closed. The full quality picture held: zero non-designed lint warnings, eleven designed declarations across eleven notes, and one arithmetic-verified numeric worked example ported verbatim from the source results table.</w:t>
      </w:r>
    </w:p>
    <w:p>
      <w:pPr>
        <w:spacing w:after="120" w:line="312"/>
        <w:jc w:val="both"/>
      </w:pPr>
      <w:r>
        <w:rPr>
          <w:rFonts w:ascii="Times New Roman" w:eastAsia="SimSun" w:hAnsi="Times New Roman"/>
          <w:color w:val="000000"/>
          <w:sz w:val="24"/>
          <w:szCs w:val="24"/>
        </w:rPr>
        <w:t xml:space="preserve">The wave's signature note is Extracting Metals, the largest source body of the wave at seven thousand three hundred and seventy-six characters, spanning the blast furnace's three zones, the slag chemistry and the aluminium electrolysis cell. Its quality counterpart is Acid-Alkali Titrations, whose worked example ports the source results table's mean-titre arithmetic verbatim and exports with zero lint warnings after mechanical verification. Both extremes of the source corpus, largest and thinnest, landed inside the same first-pass cadence.</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w:t>
      </w:r>
      <w:bookmarkEnd w:id="2"/>
    </w:p>
    <w:p>
      <w:pPr>
        <w:spacing w:after="120" w:line="312"/>
        <w:jc w:val="both"/>
      </w:pPr>
      <w:r>
        <w:rPr>
          <w:rFonts w:ascii="Times New Roman" w:eastAsia="SimSun" w:hAnsi="Times New Roman"/>
          <w:color w:val="000000"/>
          <w:sz w:val="24"/>
          <w:szCs w:val="24"/>
        </w:rPr>
        <w:t xml:space="preserve">The wave ran under the OPEN posture of record (build it fully, operator decision standing from trace 1a1683ec43a016a9, brief A5-Posture-Decision-Brief-Open-20261023.docx), paced by wave-pacing-open/0.1. Pacing is a schedule, not a gate: the register of twelve notes was drawn from the pacing file's wavePlan wave-6 entry verbatim and cross-asserted at receipt build. Measurement discipline follows the A1 specification section 7 in its batch-flow form: declared assistance per phase, pauses logged with reason codes (none occurred), and the corpus pinned to the snapshot of record.</w:t>
      </w:r>
    </w:p>
    <w:p>
      <w:pPr>
        <w:spacing w:after="120" w:line="312"/>
        <w:jc w:val="both"/>
      </w:pPr>
      <w:r>
        <w:rPr>
          <w:rFonts w:ascii="Times New Roman" w:eastAsia="SimSun" w:hAnsi="Times New Roman"/>
          <w:color w:val="000000"/>
          <w:sz w:val="24"/>
          <w:szCs w:val="24"/>
        </w:rPr>
        <w:t xml:space="preserve">The chain discipline of record was applied natively for the fifth consecutive wave, this time through a persisted per-note runner script. Each note ran as one single-shell invocation: the harness start command opened P0 as a read-only phase; the first phase command, P1, closed P0 unflagged; phases P2 through P8 then closed with the declared-assist flag; and the export command closed P8 mechanically while validating the schema, running the lint and filing the timing receipt beside the layer. Assisted phases are therefore exactly P1 through P7 on every receipt, P0 and P8 are unflagged on every event log, and the wave-3 permanent guard asserting an unflagged P0 closure passed on all twelve logs.</w:t>
      </w:r>
    </w:p>
    <w:p>
      <w:pPr>
        <w:spacing w:after="120" w:line="312"/>
        <w:jc w:val="both"/>
      </w:pPr>
      <w:r>
        <w:rPr>
          <w:rFonts w:ascii="Times New Roman" w:eastAsia="SimSun" w:hAnsi="Times New Roman"/>
          <w:color w:val="000000"/>
          <w:sz w:val="24"/>
          <w:szCs w:val="24"/>
        </w:rPr>
        <w:t xml:space="preserve">Lane hygiene was maintained without exception. Database contact for the entire wave was zero: all twelve note bodies came from the pinned local snapshot with per-note SHA verification at preparation, and the official spec texts were resolved from the graph content pack in the repository rather than from any database. No production surface was written, no deployment was touched, and the only GitHub writes of the programme remain the operator-convention additive commits to the syllabai-resources repository. Tokens were never echoed.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w:t>
      </w:r>
      <w:bookmarkEnd w:id="3"/>
    </w:p>
    <w:p>
      <w:pPr>
        <w:spacing w:after="120" w:line="312"/>
        <w:jc w:val="both"/>
      </w:pPr>
      <w:r>
        <w:rPr>
          <w:rFonts w:ascii="Times New Roman" w:eastAsia="SimSun" w:hAnsi="Times New Roman"/>
          <w:color w:val="000000"/>
          <w:sz w:val="24"/>
          <w:szCs w:val="24"/>
        </w:rPr>
        <w:t xml:space="preserve">The snapshot file pin was recomputed at wave entry and again at close-out, and matched the minted pin both times: e23e2ab7 through 487d, the file of record since the wave-2 re-verification. The snapshot manifest carries the corpus shape of record: four topics, twenty-eight subtopics, one hundred and twelve notes at forty, thirty-six, fifteen and twenty-one per topic, a single corpus version, and three hundred sixty-one thousand two hundred seventy-two body characters. The twelve wave-6 bodies were read end to end from this pinned snapshot and each recomputed body hash matched its registered row hash.</w:t>
      </w:r>
    </w:p>
    <w:p>
      <w:pPr>
        <w:spacing w:after="120" w:line="312"/>
        <w:jc w:val="both"/>
      </w:pPr>
      <w:r>
        <w:rPr>
          <w:rFonts w:ascii="Times New Roman" w:eastAsia="SimSun" w:hAnsi="Times New Roman"/>
          <w:color w:val="000000"/>
          <w:sz w:val="24"/>
          <w:szCs w:val="24"/>
        </w:rPr>
        <w:t xml:space="preserve">Official spec texts followed the zero-database path proven in wave-5: all nineteen unique wave-6 codes were resolved from the specification-points pack in the repository's knowledge graph, after a four-probe parity check against wave-5's of-record layer texts returned four exact matches. Three multi-bullet statements needed the documented flattening treatment. Code 2.15 flattened with the identical fragment to the wave-5 of-record text, holding the parity chain; codes 2.20 and 2.34 flattened from the wave-6 note bodies' own spec-point bullet lists, wording verbatim, giving the four redox terms and the six solubility rules as semicolon clauses.</w:t>
      </w:r>
    </w:p>
    <w:p>
      <w:pPr>
        <w:keepNext/>
        <w:spacing w:after="80" w:before="200" w:line="312"/>
      </w:pPr>
      <w:r>
        <w:rPr>
          <w:rFonts w:ascii="Times New Roman" w:eastAsia="SimSun" w:hAnsi="Times New Roman"/>
          <w:b/>
          <w:bCs/>
          <w:color w:val="404040"/>
          <w:sz w:val="21"/>
          <w:szCs w:val="21"/>
        </w:rPr>
        <w:t xml:space="preserve">Table 1 - Wave-6 register of record (pacing file wavePlan wave-6, cross-asserted at receipt build)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1933"/>
        <w:gridCol w:w="791"/>
        <w:gridCol w:w="2197"/>
        <w:gridCol w:w="879"/>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Chars</w:t>
            </w:r>
          </w:p>
        </w:tc>
        <w:tc>
          <w:tcPr>
            <w:tcW w:type="pct" w:w="1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Oxidation &amp; Reduction</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Reactivity Series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3,823</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Investigate Metals Reacting with Acids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Reactivity Series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2,590</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2.15, 2.21</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Sources of Metals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Extraction &amp; Uses of Metals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1,446</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2.22C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Extracting Metals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Extraction &amp; Uses of Metals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7,376</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2.23C, 2.24C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Using Metals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Extraction &amp; Uses of Metals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1,625</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2.25C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Alloys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Extraction &amp; Uses of Metals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1,382</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2.26C, 2.27C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Indicators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Alkalis &amp; Titrations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3,374</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2.28, 2.29, 2.30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Alkalis &amp; Neutralisation</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Alkalis &amp; Titrations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2,289</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2.29, 2.31, 2.32</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Acid-Alkali Titrations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Alkalis &amp; Titrations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3,283</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2.33C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Solubility Rules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1,615</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2.34</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Protons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1,052</w:t>
            </w:r>
          </w:p>
        </w:tc>
        <w:tc>
          <w:tcPr>
            <w:tcW w:type="pct" w:w="1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2.35, 2.36</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Reactions of Acids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Salt Preparations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4,461</w:t>
            </w:r>
          </w:p>
        </w:tc>
        <w:tc>
          <w:tcPr>
            <w:tcW w:type="pct" w:w="1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2.37</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bl>
    <w:p>
      <w:pPr>
        <w:spacing w:after="120" w:line="312"/>
        <w:jc w:val="both"/>
      </w:pPr>
      <w:r>
        <w:rPr>
          <w:rFonts w:ascii="Times New Roman" w:eastAsia="SimSun" w:hAnsi="Times New Roman"/>
          <w:color w:val="000000"/>
          <w:sz w:val="24"/>
          <w:szCs w:val="24"/>
        </w:rPr>
        <w:t xml:space="preserve">The register's size extremes bracket the wave: Extracting Metals at seven thousand three hundred seventy-six characters is the wave flagship, carrying the blast furnace and the aluminium cell, while Acids, Bases &amp; Protons at one thousand and fifty-two is the thinnest body the programme has yet authored. Every note carried two lessons, giving the twenty-four lesson total. Each lesson maps to one or two source headings and reuses the note's own phrasing for its title, continuing the established authoring convention.</w:t>
      </w:r>
    </w:p>
    <w:p>
      <w:pPr>
        <w:pStyle w:val="Heading1"/>
        <w:keepNext/>
        <w:spacing w:after="160" w:before="360" w:line="312"/>
      </w:pPr>
      <w:bookmarkStart w:name="_Toc4" w:id="4"/>
      <w:r>
        <w:rPr>
          <w:rFonts w:ascii="Times New Roman" w:eastAsia="SimSun" w:hAnsi="Times New Roman"/>
          <w:b/>
          <w:bCs/>
          <w:color w:val="15857A"/>
          <w:sz w:val="32"/>
          <w:szCs w:val="32"/>
        </w:rPr>
        <w:t xml:space="preserve">4. Results</w:t>
      </w:r>
      <w:bookmarkEnd w:id="4"/>
    </w:p>
    <w:p>
      <w:pPr>
        <w:spacing w:after="120" w:line="312"/>
        <w:jc w:val="both"/>
      </w:pPr>
      <w:r>
        <w:rPr>
          <w:rFonts w:ascii="Times New Roman" w:eastAsia="SimSun" w:hAnsi="Times New Roman"/>
          <w:color w:val="000000"/>
          <w:sz w:val="24"/>
          <w:szCs w:val="24"/>
        </w:rPr>
        <w:t xml:space="preserve">All twelve layers were pre-flighted clean before any chain fired: schema validation passed and the lint reported zero hard fails on every layer, with the warning state at the designed-or-none target of exactly one designed declaration per note without a verifiable source worked example, and zero warnings on the titrations note whose worked example is numeric and verified. The twelve chains then ran without a single blocked export, re-export or pause: each note exported on its first attempt, and the aggregate receipt's mechanical asserts confirmed nineteen events per log, exactly one P8 closure per log, and unflagged P0 closures throughout.</w:t>
      </w:r>
    </w:p>
    <w:p>
      <w:pPr>
        <w:spacing w:after="120" w:line="312"/>
        <w:jc w:val="both"/>
      </w:pPr>
      <w:r>
        <w:rPr>
          <w:rFonts w:ascii="Times New Roman" w:eastAsia="SimSun" w:hAnsi="Times New Roman"/>
          <w:color w:val="000000"/>
          <w:sz w:val="24"/>
          <w:szCs w:val="24"/>
        </w:rPr>
        <w:t xml:space="preserve">The measured tally is the all-zero form the programme has used since wave-2's posture shift: focused time zero seconds per note and wall-clock zero seconds wave-wide, because authoring sits outside the instrumented chain under the batch-flow placement. The event logs nonetheless carry real ground truth at millisecond resolution: P0-through-P7 flag closures ranged from two hundred four to two hundred thirty-seven milliseconds per note, and the P8 window was sub-resolution on every single-pass note. This is chain telemetry and is classified of record as export-gate evidence, not authoring effort.</w:t>
      </w:r>
    </w:p>
    <w:p>
      <w:pPr>
        <w:keepNext/>
        <w:spacing w:after="80" w:before="200" w:line="312"/>
      </w:pPr>
      <w:r>
        <w:rPr>
          <w:rFonts w:ascii="Times New Roman" w:eastAsia="SimSun" w:hAnsi="Times New Roman"/>
          <w:b/>
          <w:bCs/>
          <w:color w:val="404040"/>
          <w:sz w:val="21"/>
          <w:szCs w:val="21"/>
        </w:rPr>
        <w:t xml:space="preserve">Table 2 - Per-note results of record (12/12 exported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15"/>
        <w:gridCol w:w="967"/>
        <w:gridCol w:w="967"/>
        <w:gridCol w:w="2109"/>
        <w:gridCol w:w="1230"/>
      </w:tblGrid>
      <w:tr>
        <w:trPr>
          <w:cantSplit/>
          <w:tblHeader/>
        </w:trPr>
        <w:tc>
          <w:tcPr>
            <w:tcW w:type="pct" w:w="2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Lint warnings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Oxidation &amp; Reduction</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non-numeric port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Investigate Metals Reacting with Acids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Sources of Metals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Extracting Metals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Using Metals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Alloys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Indicators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Alkalis &amp; Neutralisation</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Acid-Alkali Titrations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numeric, verified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Solubility Rules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Acids, Bases &amp; Protons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Reactions of Acids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bl>
    <w:p>
      <w:pPr>
        <w:spacing w:after="120" w:line="312"/>
        <w:jc w:val="both"/>
      </w:pPr>
      <w:r>
        <w:rPr>
          <w:rFonts w:ascii="Times New Roman" w:eastAsia="SimSun" w:hAnsi="Times New Roman"/>
          <w:color w:val="000000"/>
          <w:sz w:val="24"/>
          <w:szCs w:val="24"/>
        </w:rPr>
        <w:t xml:space="preserve">Totals of record: twenty-four lessons, one hundred and twenty checks, one hundred and twenty key points, eighty-one glossary terms and three hundred and sixty named-misconception distractors. Every check offers four options with exactly one keyed correct, every option carries an explanation of one or two sentences, and every distractor names the misconception it catches, continuing the wave-3 through wave-5 cadence without exception.</w:t>
      </w:r>
    </w:p>
    <w:p>
      <w:pPr>
        <w:pStyle w:val="Heading1"/>
        <w:keepNext/>
        <w:spacing w:after="160" w:before="360" w:line="312"/>
      </w:pPr>
      <w:bookmarkStart w:name="_Toc5" w:id="5"/>
      <w:r>
        <w:rPr>
          <w:rFonts w:ascii="Times New Roman" w:eastAsia="SimSun" w:hAnsi="Times New Roman"/>
          <w:b/>
          <w:bCs/>
          <w:color w:val="15857A"/>
          <w:sz w:val="32"/>
          <w:szCs w:val="32"/>
        </w:rPr>
        <w:t xml:space="preserve">5. Quality</w:t>
      </w:r>
      <w:bookmarkEnd w:id="5"/>
    </w:p>
    <w:p>
      <w:pPr>
        <w:spacing w:after="120" w:line="312"/>
        <w:jc w:val="both"/>
      </w:pPr>
      <w:r>
        <w:rPr>
          <w:rFonts w:ascii="Times New Roman" w:eastAsia="SimSun" w:hAnsi="Times New Roman"/>
          <w:color w:val="000000"/>
          <w:sz w:val="24"/>
          <w:szCs w:val="24"/>
        </w:rPr>
        <w:t xml:space="preserve">The warning ledger closes at eleven designed declarations and nothing else. Ten source notes carry no worked example of any kind, so their layers declare workedExample-null and the lint's declaration line is the of-record receipt of that design decision. The eleventh designed declaration belongs to Oxidation &amp; Reduction, whose source carries a worked example but a non-numeric one: the vanadium-iron ion analysis is ported verbatim, carries no arithmetic, and the lint's no-arithmetic-to-verify warning line is itself the designed declaration, the precedent wave-4 set with its first note. The twelfth note, Acid-Alkali Titrations, carries a numeric worked example ported verbatim from the source results table: the rough titre discarded, the concordant pair kept, and the mean computed as fourteen point nine five cubic centimetres with the scanner verifying the division at the stated figures, so the layer exported with zero warnings.</w:t>
      </w:r>
    </w:p>
    <w:p>
      <w:pPr>
        <w:spacing w:after="120" w:line="312"/>
        <w:jc w:val="both"/>
      </w:pPr>
      <w:r>
        <w:rPr>
          <w:rFonts w:ascii="Times New Roman" w:eastAsia="SimSun" w:hAnsi="Times New Roman"/>
          <w:color w:val="000000"/>
          <w:sz w:val="24"/>
          <w:szCs w:val="24"/>
        </w:rPr>
        <w:t xml:space="preserve">The copy-it red line held in both directions this wave. Nothing was rewritten to manufacture parseable arithmetic: the titration table's arithmetic was already in the source, so the port preserves it exactly, shaped as a single-equals arithmetic line for the scanner. One superscript treatment is disclosed: the cubic-centimetre unit carries the superscript glyph in the worked example's prompt, steps and final answer, so the scanner's final-answer value trace sees only the true numbers; a plain digit three in the unit would inject an untraceable value into that trace and hard-fail the export. The glyph is not an ASCII digit to the scanner, and the treatment is recorded in the receipt's integrity block.</w:t>
      </w:r>
    </w:p>
    <w:p>
      <w:pPr>
        <w:spacing w:after="120" w:line="312"/>
        <w:jc w:val="both"/>
      </w:pPr>
      <w:r>
        <w:rPr>
          <w:rFonts w:ascii="Times New Roman" w:eastAsia="SimSun" w:hAnsi="Times New Roman"/>
          <w:color w:val="000000"/>
          <w:sz w:val="24"/>
          <w:szCs w:val="24"/>
        </w:rPr>
        <w:t xml:space="preserve">Pre-flight transparency is part of the quality record. The pre-flight stage caught and fixed, all before first export: two source-fidelity runs across two notes (a nine-word key-point run and an eleven-word opening run, both paraphrased to the eight-word rule), three plain-words register slips across three notes (one reworded, one rephrased, one glossary-backed), six template-uniformity flags across five notes where the low and medium depth layers drifted past thirty percent in relative length, and one schema catch on the Alloys note where a stray key in an option object was rejected by the fail-closed schema before lint ever ran. The post-fix pre-flight returned the clean designed-or-none state on all twelve layers, and nothing needed repair inside any chain afterwards.</w:t>
      </w:r>
    </w:p>
    <w:p>
      <w:pPr>
        <w:spacing w:after="120" w:line="312"/>
        <w:jc w:val="both"/>
      </w:pPr>
      <w:r>
        <w:rPr>
          <w:rFonts w:ascii="Times New Roman" w:eastAsia="SimSun" w:hAnsi="Times New Roman"/>
          <w:color w:val="000000"/>
          <w:sz w:val="24"/>
          <w:szCs w:val="24"/>
        </w:rPr>
        <w:t xml:space="preserve">Content depth was audited against the source material wave-wide. The flagship note spans the reactivity-to-method mapping, the blast furnace's three zones with their equations, the slag chemistry and the aluminium cell with both electrode half-equations; the titrations note spans the concept, the fourteen-step method and the concordance discipline; the acids note spans all three reaction families with their product tables. Every distractor is a named misconception drawn from the families the source material targets, from zone-order confusions to electrode-product swaps, keeping the check bank diagnostic rather than decorative.</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w:t>
      </w:r>
      <w:bookmarkEnd w:id="6"/>
    </w:p>
    <w:p>
      <w:pPr>
        <w:spacing w:after="120" w:line="312"/>
        <w:jc w:val="both"/>
      </w:pPr>
      <w:r>
        <w:rPr>
          <w:rFonts w:ascii="Times New Roman" w:eastAsia="SimSun" w:hAnsi="Times New Roman"/>
          <w:color w:val="000000"/>
          <w:sz w:val="24"/>
          <w:szCs w:val="24"/>
        </w:rPr>
        <w:t xml:space="preserve">The telemetry record is the third fully zero wave of the programme: focused totals zero seconds per note, wall spans zero seconds, and phase shares reported as null at the zero divisor, the honest form waves 3, 4 and 5 established. Event-log ground truth is the compensating evidence: twelve logs at nineteen events each, P0-through-P7 closures of two hundred four to two hundred thirty-seven milliseconds, one export event per note, one P8 phase-end per note, and the P0 unflagged closure asserted on every log. The save() omission patch of record therefore logged its thirteenth through fifteenth consecutive clean production rounds.</w:t>
      </w:r>
    </w:p>
    <w:p>
      <w:pPr>
        <w:spacing w:after="120" w:line="312"/>
        <w:jc w:val="both"/>
      </w:pPr>
      <w:r>
        <w:rPr>
          <w:rFonts w:ascii="Times New Roman" w:eastAsia="SimSun" w:hAnsi="Times New Roman"/>
          <w:color w:val="000000"/>
          <w:sz w:val="24"/>
          <w:szCs w:val="24"/>
        </w:rPr>
        <w:t xml:space="preserve">The library restoration re-learned the wave-5 lesson live this round. The sandbox recycle had again removed the gate libraries, and the sequential single-package installs at the shared prefix pruned docx when the yaml parser's install landed, surfacing only when the report builder first failed to resolve the docx entry long after every authoring and export task had finished. The minted one-command pattern was then applied: ajv, the yaml parser and docx installed together in a single install, all three verified co-resolving, with docx resolving to its CJS distribution entry in the current version layout. The receipt's integrity block carries the corrected story, and verification-after-install remains the discipline of record.</w:t>
      </w:r>
    </w:p>
    <w:p>
      <w:pPr>
        <w:spacing w:after="120" w:line="312"/>
        <w:jc w:val="both"/>
      </w:pPr>
      <w:r>
        <w:rPr>
          <w:rFonts w:ascii="Times New Roman" w:eastAsia="SimSun" w:hAnsi="Times New Roman"/>
          <w:color w:val="000000"/>
          <w:sz w:val="24"/>
          <w:szCs w:val="24"/>
        </w:rPr>
        <w:t xml:space="preserve">Spec-text handling is fully disclosed. The nineteen unique wave-6 codes were resolved from the repository's specification-points pack after a four-probe parity check against wave-5's of-record layer texts, keeping the pack a proven zero-database source of record alongside the pinned snapshot. The three multi-bullet statements were flattened to semicolon clauses with wording verbatim, one of them with the identical fragment to the wave-5 of-record text so the parity chain held across waves, and the two bullet lists whose pack entries carry no fragments were flattened from the wave-6 note bodies' own spec-point lines. Every departure from a verbatim quotation has a named reason and a named location.</w:t>
      </w:r>
    </w:p>
    <w:p>
      <w:pPr>
        <w:spacing w:after="120" w:line="312"/>
        <w:jc w:val="both"/>
      </w:pPr>
      <w:r>
        <w:rPr>
          <w:rFonts w:ascii="Times New Roman" w:eastAsia="SimSun" w:hAnsi="Times New Roman"/>
          <w:color w:val="000000"/>
          <w:sz w:val="24"/>
          <w:szCs w:val="24"/>
        </w:rPr>
        <w:t xml:space="preserve">Chain-order discipline was mechanically asserted rather than merely observed. The aggregate receipt build refuses to mint unless every receipt carries assisted phases exactly P1 through P7, every event log carries nineteen events with exactly one P8 closure and one export, every body hash matches the snapshot row, and every register row matches the pacing file and the snapshot on title, subtopic, character count and spec codes. All asserts passed at mint, and the close-out round verifier repeats the battery independently from the files on disk.</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was discharged for wave-6 before the next wave opens. Recomputed from the wave-6 receipts, the mean is zero seconds per note and zero seconds per character, with phase shares null at the zero divisor; recomputed from the event logs, P0-through-P7 spans are two hundred four to two hundred thirty-seven milliseconds per note with no measurable P8 window on any single-pass note. These are the same structural readings waves 2 through 5 recorded, and they receive the same classification.</w:t>
      </w:r>
    </w:p>
    <w:p>
      <w:pPr>
        <w:spacing w:after="120" w:line="312"/>
        <w:jc w:val="both"/>
      </w:pPr>
      <w:r>
        <w:rPr>
          <w:rFonts w:ascii="Times New Roman" w:eastAsia="SimSun" w:hAnsi="Times New Roman"/>
          <w:color w:val="000000"/>
          <w:sz w:val="24"/>
          <w:szCs w:val="24"/>
        </w:rPr>
        <w:t xml:space="preserve">The decision of record reaffirms the wave-2 checkpoint's four items unchanged. First, the planning estimator remains the wave-1 instrumented basis of two hundred eighty-three seconds per note and 0.0697 seconds per character, with wave-2 through wave-6 receipts alike classified as export-gate telemetry and not used to restate the estimators. Second, re-timing a paced round remains declined, because the instrument still measures the chain window under batch authoring. Third, receipts continue on every future wave regardless, each carrying its event-log ground truth, and focused tallies are never compared across waves with different authoring placement. Fourth, the corpus-wide exposure arithmetic stands: the twenty-eight, fifty-six and ninety-three author-day bands, with the per-topic floor never quotable as a human rate.</w:t>
      </w:r>
    </w:p>
    <w:p>
      <w:pPr>
        <w:spacing w:after="120" w:line="312"/>
        <w:jc w:val="both"/>
      </w:pPr>
      <w:r>
        <w:rPr>
          <w:rFonts w:ascii="Times New Roman" w:eastAsia="SimSun" w:hAnsi="Times New Roman"/>
          <w:color w:val="000000"/>
          <w:sz w:val="24"/>
          <w:szCs w:val="24"/>
        </w:rPr>
        <w:t xml:space="preserve">The comparability rule is restated with wave-6 folded in: waves 2 through 6 share one comparability class, all pre-write batch flow under declared assistance, and none of them is comparable to wave-1's in-chain instrumented measurement. Any future wave that returns authoring inside the P0-to-P8 chain would open a new class and be reported separately on its own terms.</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stands at sixty-nine of one hundred twelve notes authored, 61.6 percent. Topic 1 Principles of Chemistry remains complete at forty of forty with all nine subtopics closed. Topic 2 Inorganic Chemistry stands at twenty-seven of thirty-six with six of its eight subtopics closed outright: the three closed before this wave (Group 1, Group 7 and Gases in the Atmosphere) plus the three closed inside it, Reactivity Series closing with the redox pair, Extraction &amp; Uses of Metals closing with its four-note run, and Acids, Alkalis &amp; Titrations closing with its three notes. Cumulative subtopic closures stand at fifteen of twenty-eight.</w:t>
      </w:r>
    </w:p>
    <w:p>
      <w:pPr>
        <w:spacing w:after="120" w:line="312"/>
        <w:jc w:val="both"/>
      </w:pPr>
      <w:r>
        <w:rPr>
          <w:rFonts w:ascii="Times New Roman" w:eastAsia="SimSun" w:hAnsi="Times New Roman"/>
          <w:color w:val="000000"/>
          <w:sz w:val="24"/>
          <w:szCs w:val="24"/>
        </w:rPr>
        <w:t xml:space="preserve">Cumulative content of record now stands at one hundred forty-four lessons, seven hundred and twenty explained checks, seven hundred and thirty-seven key points, four hundred thirty-one glossary terms and two thousand one hundred and forty named-misconception distractors across the sixty-nine authored notes. The remaining register is forty-three notes: nine in Topic 2, fourteen in Topic 3 Physical Chemistry and twenty in Topic 4 Organic Chemistry, paced by the standing plan as waves 7 through 10.</w:t>
      </w:r>
    </w:p>
    <w:p>
      <w:pPr>
        <w:spacing w:after="120" w:line="312"/>
        <w:jc w:val="both"/>
      </w:pPr>
      <w:r>
        <w:rPr>
          <w:rFonts w:ascii="Times New Roman" w:eastAsia="SimSun" w:hAnsi="Times New Roman"/>
          <w:color w:val="000000"/>
          <w:sz w:val="24"/>
          <w:szCs w:val="24"/>
        </w:rPr>
        <w:t xml:space="preserve">The wave consolidated rather than changed the closeout conventions. Artefacts append to the same folder of record with a manifest refresh each wave; the round verifier carries its close-out guards from the outset; and the receipt's integrity block records every treatment future waves may need to repeat, from the superscript-glyph treatment in numeric ports to the body-bullet spec-text flattening. Nothing in the wave's conduct needs carrying forward as a defect; everything worth carrying forward is already a documented pattern.</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w:t>
      </w:r>
      <w:bookmarkEnd w:id="9"/>
    </w:p>
    <w:p>
      <w:pPr>
        <w:keepNext/>
        <w:spacing w:after="80" w:before="200" w:line="312"/>
      </w:pPr>
      <w:r>
        <w:rPr>
          <w:rFonts w:ascii="Times New Roman" w:eastAsia="SimSun" w:hAnsi="Times New Roman"/>
          <w:b/>
          <w:bCs/>
          <w:color w:val="404040"/>
          <w:sz w:val="21"/>
          <w:szCs w:val="21"/>
        </w:rPr>
        <w:t xml:space="preserve">Table 3 - Wave-6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164"/>
        <w:gridCol w:w="4394"/>
        <w:gridCol w:w="1230"/>
      </w:tblGrid>
      <w:tr>
        <w:trPr>
          <w:cantSplit/>
          <w:tblHeader/>
        </w:trPr>
        <w:tc>
          <w:tcPr>
            <w:tcW w:type="pct" w:w="18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2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Contents</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download/wave6/</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guided-lesson layers + 12 timing receipts + wave6-receipt.json</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 files</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.tmp/wave6/runs/</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per-note event logs (19 events each)</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files</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.tmp/wave6/bodies/ + register</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Preparation set: 12 bodies + cross-checked register + spec texts</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prep set</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(report)</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Wave-6-Authoring-Wave-Report-20261025.docx (this document)</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file</w:t>
            </w:r>
          </w:p>
        </w:tc>
      </w:tr>
      <w:tr>
        <w:trPr>
          <w:cantSplit/>
        </w:trPr>
        <w:tc>
          <w:tcPr>
            <w:tcW w:type="pct" w:w="18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(tooling)</w:t>
            </w:r>
          </w:p>
        </w:tc>
        <w:tc>
          <w:tcPr>
            <w:tcW w:type="pct" w:w="2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wave6-prep, wave6-preflight, wave6-chain, wave6-wave-receipt, wave6-round-verify, wave6-report x3, postcheck</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files</w:t>
            </w:r>
          </w:p>
        </w:tc>
      </w:tr>
      <w:tr>
        <w:trPr>
          <w:cantSplit/>
        </w:trPr>
        <w:tc>
          <w:tcPr>
            <w:tcW w:type="pct" w:w="18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syllabai-resources repo</w:t>
            </w:r>
          </w:p>
        </w:tc>
        <w:tc>
          <w:tcPr>
            <w:tcW w:type="pct" w:w="2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SME-GuidedLessons/ append at the close-out commit (wave-6 + event logs + report + tooling), MANIFEST v5</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wave</w:t>
            </w:r>
          </w:p>
        </w:tc>
      </w:tr>
    </w:tbl>
    <w:p>
      <w:pPr>
        <w:spacing w:after="120" w:line="312"/>
        <w:jc w:val="both"/>
      </w:pPr>
      <w:r>
        <w:rPr>
          <w:rFonts w:ascii="Times New Roman" w:eastAsia="SimSun" w:hAnsi="Times New Roman"/>
          <w:color w:val="000000"/>
          <w:sz w:val="24"/>
          <w:szCs w:val="24"/>
        </w:rPr>
        <w:t xml:space="preserve">The local deliverable set is complete and self-verifying: the round verifier's battery re-derives every count in this report from the files on disk, and the aggregate receipt re-derives them from the receipts and event logs, so the two paths cross-check. The repository append is performed in one additive commit on top of the wave-5 landing of record, with the manifest refreshed to version five and the per-file hashes regenerated; its verification battery runs against the contents interface only, per the standing rule that recursive tree enumeration truncates on this repository.</w:t>
      </w:r>
    </w:p>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w:t>
      </w:r>
      <w:bookmarkEnd w:id="10"/>
    </w:p>
    <w:p>
      <w:pPr>
        <w:spacing w:after="120" w:line="312"/>
        <w:jc w:val="both"/>
      </w:pPr>
      <w:r>
        <w:rPr>
          <w:rFonts w:ascii="Times New Roman" w:eastAsia="SimSun" w:hAnsi="Times New Roman"/>
          <w:color w:val="000000"/>
          <w:sz w:val="24"/>
          <w:szCs w:val="24"/>
        </w:rPr>
        <w:t xml:space="preserve">The recorded next step is wave-7, operator-gated as always: nine notes of the remaining forty-three, closing Topic 2 with eighteen thousand nine hundred sixty-four characters and twelve spec points. The register runs the four remaining Acids, Bases &amp; Salt Preparations notes, Bases, the two soluble-salt preparations, the insoluble-salt preparation and the lead(II) sulfate practical, then opens and closes the Chemical Tests subtopic in four notes: Tests for Gases, Flame Tests, Tests for Cations and Tests for Water. Topic 2 Inorganic Chemistry completes when that wave closes.</w:t>
      </w:r>
    </w:p>
    <w:p>
      <w:pPr>
        <w:spacing w:after="120" w:line="312"/>
        <w:jc w:val="both"/>
      </w:pPr>
      <w:r>
        <w:rPr>
          <w:rFonts w:ascii="Times New Roman" w:eastAsia="SimSun" w:hAnsi="Times New Roman"/>
          <w:color w:val="000000"/>
          <w:sz w:val="24"/>
          <w:szCs w:val="24"/>
        </w:rPr>
        <w:t xml:space="preserve">Wave-8 is paced at fourteen notes to open Topic 3 Physical Chemistry, led by the Energetics subtopic from Exothermic &amp; Endothermic through Bond Energy. Entry discipline for both waves follows the pattern this wave ran: pin re-verification at entry and close-out, library restoration with verification after install, register cross-check, bodies read end to end from the snapshot, pre-flight clean before any chain, per-note receipts with round verification, artefacts appended to the same folder with a manifest refresh, and the wave receipt plus recalibration checkpoint at the close.</w:t>
      </w:r>
    </w:p>
    <w:p>
      <w:pPr>
        <w:spacing w:after="120" w:line="312"/>
        <w:jc w:val="both"/>
      </w:pPr>
      <w:r>
        <w:rPr>
          <w:rFonts w:ascii="Times New Roman" w:eastAsia="SimSun" w:hAnsi="Times New Roman"/>
          <w:color w:val="000000"/>
          <w:sz w:val="24"/>
          <w:szCs w:val="24"/>
        </w:rPr>
        <w:t xml:space="preserve">No configuration change is requested. The posture, pacing file and closeout conventions all stand as of record, and the next ignition proceeds on the operator's word.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Wave-6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Wave-6 Authoring Wave Report</dc:title>
  <dc:creator>SyllabAI product engineering (lane w0a)</dc:creator>
  <cp:lastModifiedBy>Un-named</cp:lastModifiedBy>
  <cp:revision>1</cp:revision>
  <dcterms:created xsi:type="dcterms:W3CDTF">2026-10-25T12:38:55.820Z</dcterms:created>
  <dcterms:modified xsi:type="dcterms:W3CDTF">2026-10-25T12:38:55.821Z</dcterms:modified>
</cp:coreProperties>
</file>

<file path=docProps/custom.xml><?xml version="1.0" encoding="utf-8"?>
<Properties xmlns="http://schemas.openxmlformats.org/officeDocument/2006/custom-properties" xmlns:vt="http://schemas.openxmlformats.org/officeDocument/2006/docPropsVTypes"/>
</file>