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Wave-1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The instrumented first authoring wave of record: ten notes, per-phase receipts, declared assistance, and the integrity trail of the round</w:t>
            </w:r>
          </w:p>
          <w:p>
            <w:pPr>
              <w:pBdr>
                <w:left w:val="single" w:color="FF6A3B" w:sz="8" w:space="12"/>
              </w:pBdr>
              <w:spacing w:after="80"/>
              <w:ind w:left="1400"/>
            </w:pPr>
            <w:r>
              <w:rPr>
                <w:rFonts w:ascii="Arial" w:eastAsia="Microsoft YaHei"/>
                <w:color w:val="707070"/>
                <w:sz w:val="24"/>
                <w:szCs w:val="24"/>
              </w:rPr>
              <w:t xml:space="preserve">Wave of record: wave-1 instrumented authoring wave, complete 2026-10-24 - 10/10 roster notes exported clean</w:t>
            </w:r>
          </w:p>
          <w:p>
            <w:pPr>
              <w:pBdr>
                <w:left w:val="single" w:color="FF6A3B" w:sz="8" w:space="12"/>
              </w:pBdr>
              <w:spacing w:after="80"/>
              <w:ind w:left="1400"/>
            </w:pPr>
            <w:r>
              <w:rPr>
                <w:rFonts w:ascii="Arial" w:eastAsia="Microsoft YaHei"/>
                <w:color w:val="707070"/>
                <w:sz w:val="24"/>
                <w:szCs w:val="24"/>
              </w:rPr>
              <w:t xml:space="preserve">Posture of record: OPEN, build it fully (operator trace 1a1683ec43a016a9; brief of record A5-Posture-Decision-Brief-Open-20261023.docx)</w:t>
            </w:r>
          </w:p>
          <w:p>
            <w:pPr>
              <w:pBdr>
                <w:left w:val="single" w:color="FF6A3B" w:sz="8" w:space="12"/>
              </w:pBdr>
              <w:spacing w:after="80"/>
              <w:ind w:left="1400"/>
            </w:pPr>
            <w:r>
              <w:rPr>
                <w:rFonts w:ascii="Arial" w:eastAsia="Microsoft YaHei"/>
                <w:color w:val="707070"/>
                <w:sz w:val="24"/>
                <w:szCs w:val="24"/>
              </w:rPr>
              <w:t xml:space="preserve">Number of record: 0.08 h/note mean focused (2,830 s over 10 notes), model-drafted, declared-assisted - not a human rate</w:t>
            </w:r>
          </w:p>
          <w:p>
            <w:pPr>
              <w:pBdr>
                <w:left w:val="single" w:color="FF6A3B" w:sz="8" w:space="12"/>
              </w:pBdr>
              <w:spacing w:after="80"/>
              <w:ind w:left="1400"/>
            </w:pPr>
            <w:r>
              <w:rPr>
                <w:rFonts w:ascii="Arial" w:eastAsia="Microsoft YaHei"/>
                <w:color w:val="707070"/>
                <w:sz w:val="24"/>
                <w:szCs w:val="24"/>
              </w:rPr>
              <w:t xml:space="preserve">Quality of record: 10/10 schema PASS, 0 lint hard-fails, 7 designed warnings, 120 checks, 360 named-misconception distractors</w:t>
            </w:r>
          </w:p>
          <w:p>
            <w:pPr>
              <w:pBdr>
                <w:left w:val="single" w:color="FF6A3B" w:sz="8" w:space="12"/>
              </w:pBdr>
              <w:spacing w:after="80"/>
              <w:ind w:left="1400"/>
            </w:pPr>
            <w:r>
              <w:rPr>
                <w:rFonts w:ascii="Arial" w:eastAsia="Microsoft YaHei"/>
                <w:color w:val="707070"/>
                <w:sz w:val="24"/>
                <w:szCs w:val="24"/>
              </w:rPr>
              <w:t xml:space="preserve">Corpus pin: sme-revision-notes-igcse-chemistry-19-2026-09-18 - single read-only snapshot, census 4/28/112 verified</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2026-10-24</w:t>
            </w:r>
          </w:p>
        </w:tc>
      </w:tr>
    </w:tbl>
    <w:p>
      <w:pPr>
        <w:sectPr>
          <w:pgSz w:w="11906" w:h="16838" w:orient="portrait"/>
          <w:pgMar w:top="0" w:right="0" w:bottom="0" w:left="0" w:header="708" w:footer="708" w:gutter="0"/>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p>
        <w:p>
          <w:pPr>
            <w:pStyle w:val="TOC1"/>
            <w:tabs>
              <w:tab w:val="right" w:leader="dot" w:pos="9026"/>
            </w:tabs>
            <w:spacing w:before="120" w:after="60"/>
          </w:pPr>
          <w:r>
            <w:t>1. Executive Summary</w:t>
          </w:r>
          <w:r>
            <w:tab/>
          </w:r>
          <w:r>
            <w:t>1</w:t>
          </w:r>
        </w:p>
        <w:p>
          <w:pPr>
            <w:pStyle w:val="TOC1"/>
            <w:tabs>
              <w:tab w:val="right" w:leader="dot" w:pos="9026"/>
            </w:tabs>
            <w:spacing w:before="120" w:after="60"/>
          </w:pPr>
          <w:r>
            <w:t>2. Posture and Protocol of Record</w:t>
          </w:r>
          <w:r>
            <w:tab/>
          </w:r>
          <w:r>
            <w:t>2</w:t>
          </w:r>
        </w:p>
        <w:p>
          <w:pPr>
            <w:pStyle w:val="TOC1"/>
            <w:tabs>
              <w:tab w:val="right" w:leader="dot" w:pos="9026"/>
            </w:tabs>
            <w:spacing w:before="120" w:after="60"/>
          </w:pPr>
          <w:r>
            <w:t>3. Corpus Pin and Roster of Record</w:t>
          </w:r>
          <w:r>
            <w:tab/>
          </w:r>
          <w:r>
            <w:t>2</w:t>
          </w:r>
        </w:p>
        <w:p>
          <w:pPr>
            <w:pStyle w:val="TOC1"/>
            <w:tabs>
              <w:tab w:val="right" w:leader="dot" w:pos="9026"/>
            </w:tabs>
            <w:spacing w:before="120" w:after="60"/>
          </w:pPr>
          <w:r>
            <w:t>4. Results of Record</w:t>
          </w:r>
          <w:r>
            <w:tab/>
          </w:r>
          <w:r>
            <w:t>3</w:t>
          </w:r>
        </w:p>
        <w:p>
          <w:pPr>
            <w:pStyle w:val="TOC1"/>
            <w:tabs>
              <w:tab w:val="right" w:leader="dot" w:pos="9026"/>
            </w:tabs>
            <w:spacing w:before="120" w:after="60"/>
          </w:pPr>
          <w:r>
            <w:t>5. Quality of Record</w:t>
          </w:r>
          <w:r>
            <w:tab/>
          </w:r>
          <w:r>
            <w:t>3</w:t>
          </w:r>
        </w:p>
        <w:p>
          <w:pPr>
            <w:pStyle w:val="TOC1"/>
            <w:tabs>
              <w:tab w:val="right" w:leader="dot" w:pos="9026"/>
            </w:tabs>
            <w:spacing w:before="120" w:after="60"/>
          </w:pPr>
          <w:r>
            <w:t>6. Integrity Record of the Round</w:t>
          </w:r>
          <w:r>
            <w:tab/>
          </w:r>
          <w:r>
            <w:t>4</w:t>
          </w:r>
        </w:p>
        <w:p>
          <w:pPr>
            <w:pStyle w:val="TOC1"/>
            <w:tabs>
              <w:tab w:val="right" w:leader="dot" w:pos="9026"/>
            </w:tabs>
            <w:spacing w:before="120" w:after="60"/>
          </w:pPr>
          <w:r>
            <w:t>7. Interpretation for the Build Case</w:t>
          </w:r>
          <w:r>
            <w:tab/>
          </w:r>
          <w:r>
            <w:t>4</w:t>
          </w:r>
        </w:p>
        <w:p>
          <w:pPr>
            <w:pStyle w:val="TOC1"/>
            <w:tabs>
              <w:tab w:val="right" w:leader="dot" w:pos="9026"/>
            </w:tabs>
            <w:spacing w:before="120" w:after="60"/>
          </w:pPr>
          <w:r>
            <w:t>8. Artifacts of Record</w:t>
          </w:r>
          <w:r>
            <w:tab/>
          </w:r>
          <w:r>
            <w:t>5</w:t>
          </w:r>
        </w:p>
        <w:p>
          <w:pPr>
            <w:pStyle w:val="TOC1"/>
            <w:tabs>
              <w:tab w:val="right" w:leader="dot" w:pos="9026"/>
            </w:tabs>
            <w:spacing w:before="120" w:after="60"/>
          </w:pPr>
          <w:r>
            <w:t>9. Next Steps of Record</w:t>
          </w:r>
          <w:r>
            <w:tab/>
          </w:r>
          <w:r>
            <w:t>5</w:t>
          </w:r>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Wave-1, the instrumented first authoring wave of the guided-learning programme, is complete of record: all ten roster notes were authored end to end through the restored A1 toolchain, exported against the guided-lesson/0.1 schema, linted, and filed with per-phase timing receipts. Every note passed the schema validation with zero lint hard-fail violations, and the only warnings present are the seven designed declarations of record (six notes whose source carries no worked example, declared via the workedExample null warning, plus one non-numeric worked example declared via the arithmetic-verification warning). The wave ran under the operator OPEN posture decided 2026-10-23, build it fully, which retains the measurement discipline of the instrumented wave while dissolving its gate function.</w:t>
      </w:r>
    </w:p>
    <w:p>
      <w:pPr>
        <w:spacing w:after="120" w:line="312"/>
        <w:jc w:val="both"/>
      </w:pPr>
      <w:r>
        <w:rPr>
          <w:rFonts w:ascii="Times New Roman" w:eastAsia="SimSun" w:hAnsi="Times New Roman"/>
          <w:color w:val="000000"/>
          <w:sz w:val="24"/>
          <w:szCs w:val="24"/>
        </w:rPr>
        <w:t xml:space="preserve">The output volume of record is 24 lessons, 116 key points and 120 explained checks across the ten notes, with every one of the 360 check distractors naming the specific misconception it is designed to catch. The focused authoring time of record is 2,830 seconds, 0.79 hours in total, a mean of 0.08 hours per note or 0.033 hours per lesson. These figures measure the model-drafted, declared-assisted pipeline under the OPEN posture; they are not unassisted human rates, and the corpus-wide arithmetic of record remains the exposure bands of 28, 56 and 93 author-days rather than any extrapolation of the wave mean. The phase shape of the wave concentrates in load-and-read (P0, 31.2 percent) and check authoring (P7, 26.3 percent), which matches the expectation in the A1 specification that checking is where tooling or team shape helps later waves.</w:t>
      </w:r>
    </w:p>
    <w:p>
      <w:pPr>
        <w:spacing w:after="120" w:line="312"/>
        <w:jc w:val="both"/>
      </w:pPr>
      <w:r>
        <w:rPr>
          <w:rFonts w:ascii="Times New Roman" w:eastAsia="SimSun" w:hAnsi="Times New Roman"/>
          <w:color w:val="000000"/>
          <w:sz w:val="24"/>
          <w:szCs w:val="24"/>
        </w:rPr>
        <w:t xml:space="preserve">This round also closed an integrity finding against the lane's own work: notes seven through ten initially carried receipts whose assistance flags understated the model-drafted phases, and the run harness was found not to persist its event log on the export success path, which inflated phase P8 when receipts were recomputed. Both defects were corrected of record, the receipts were restored to reconcile with the console totals at each note's successful export, and the harness defect is filed for patching before any future timed wave. Section 6 documents the full integrity trail.</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 of Record</w:t>
      </w:r>
      <w:bookmarkEnd w:id="2"/>
    </w:p>
    <w:p>
      <w:pPr>
        <w:spacing w:after="120" w:line="312"/>
        <w:jc w:val="both"/>
      </w:pPr>
      <w:r>
        <w:rPr>
          <w:rFonts w:ascii="Times New Roman" w:eastAsia="SimSun" w:hAnsi="Times New Roman"/>
          <w:color w:val="000000"/>
          <w:sz w:val="24"/>
          <w:szCs w:val="24"/>
        </w:rPr>
        <w:t xml:space="preserve">The posture of record is OPEN, recorded on the operator's explicit instruction “open (build it fully)” (trace 1a1683ec43a016a9) and captured in the brief of record A5-Posture-Decision-Brief-Open-20261023.docx, which supersedes the same-day METERED provisional entry. Under OPEN, the programme commits to authoring the full guided study and guided practice corpus (112 notes of record, structured one-to-one against the SME analysis), the first instrumented wave is retained as a measurement discipline rather than a gate, the approximately two-hours-per-note open-flip threshold is dissolved, and learner-side metering design is deferred. The not-build boundary remains closed.</w:t>
      </w:r>
    </w:p>
    <w:p>
      <w:pPr>
        <w:spacing w:after="120" w:line="312"/>
        <w:jc w:val="both"/>
      </w:pPr>
      <w:r>
        <w:rPr>
          <w:rFonts w:ascii="Times New Roman" w:eastAsia="SimSun" w:hAnsi="Times New Roman"/>
          <w:color w:val="000000"/>
          <w:sz w:val="24"/>
          <w:szCs w:val="24"/>
        </w:rPr>
        <w:t xml:space="preserve">The measurement discipline retained from the A1 specification, section 7, is: per-phase clocks P0 through P8 with the total of the phase clocks as the authoring time of record; explicit logged pauses with reason codes; a corpus pinned to the local snapshot taken at first read, with any mid-run corpus change voiding the run; and declared assistance per phase, so the measured number is always interpretable as pure-human or declared-assisted and never silently hybrid. Two adaptations of record apply under OPEN and are disclosed in every receipt: drafting assistance is the norm rather than the exception (each receipt declares exactly which phases drafted content), and the wave is a ten-note roster rather than the single-note timed run of the original A1 protocol, because the posture decision converted the wave from a gate-feeding measurement into the first production increment.</w:t>
      </w:r>
    </w:p>
    <w:p>
      <w:pPr>
        <w:spacing w:after="120" w:line="312"/>
        <w:jc w:val="both"/>
      </w:pPr>
      <w:r>
        <w:rPr>
          <w:rFonts w:ascii="Times New Roman" w:eastAsia="SimSun" w:hAnsi="Times New Roman"/>
          <w:color w:val="000000"/>
          <w:sz w:val="24"/>
          <w:szCs w:val="24"/>
        </w:rPr>
        <w:t xml:space="preserve">Standing lane constraints were honoured throughout: no workflow dispatch, no secret writes, no waiter or scheduler processes, Vercel lanes GET-only, zero database writes, and the single database contact of the entire wave was one read-only SELECT snapshot pull at wave open. Tokens were never echoed; fingerprints only appear where provenance required them.</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Roster of Record</w:t>
      </w:r>
      <w:bookmarkEnd w:id="3"/>
    </w:p>
    <w:p>
      <w:pPr>
        <w:spacing w:after="120" w:line="312"/>
        <w:jc w:val="both"/>
      </w:pPr>
      <w:r>
        <w:rPr>
          <w:rFonts w:ascii="Times New Roman" w:eastAsia="SimSun" w:hAnsi="Times New Roman"/>
          <w:color w:val="000000"/>
          <w:sz w:val="24"/>
          <w:szCs w:val="24"/>
        </w:rPr>
        <w:t xml:space="preserve">The corpus of record was pinned once, at wave open, by a single SELECT over the revision_note table of the read-only production replica, producing .tmp/wave1/corpus-snapshot.json with all 112 notes (361,272 characters) at the single corpus version sme-revision-notes-igcse-chemistry-19-2026-09-18. The snapshot manifest verifies the census of record (4 topics, 28 subtopics, 112 notes; per-topic note counts 40, 36, 15 and 21) and the three-way SHA-256 consistency of every note body from database to snapshot to manifest. No further database contact occurred for the rest of the wave; all authoring ran against the local pin, and every receipt carries the pin's corpus version and body hash.</w:t>
      </w:r>
    </w:p>
    <w:p>
      <w:pPr>
        <w:spacing w:after="120" w:line="312"/>
        <w:jc w:val="both"/>
      </w:pPr>
      <w:r>
        <w:rPr>
          <w:rFonts w:ascii="Times New Roman" w:eastAsia="SimSun" w:hAnsi="Times New Roman"/>
          <w:color w:val="000000"/>
          <w:sz w:val="24"/>
          <w:szCs w:val="24"/>
        </w:rPr>
        <w:t xml:space="preserve">The ten-note roster of record was fixed against the format minimums to maximise information about format overfit, the risk named in the A1 specification, section 9: it spans more than eight note genres (definitional, procedural calculation, equation construction, multi-spec-point worked notes, classification, family trends, parallel test structures, practical methods, concepts with a worked system example, and drawing skills) and both size extremes of the authored band. The A1 seed note (Atoms: Definitions and Structure, rn_kb2VkFMdBTbmG33t) is retained as the calibration reference layer of record and is deliberately excluded from the timed roster. Table 1 lists the roster.</w:t>
      </w:r>
    </w:p>
    <w:p>
      <w:pPr>
        <w:keepNext/>
        <w:spacing w:after="80" w:before="200" w:line="312"/>
      </w:pPr>
      <w:r>
        <w:rPr>
          <w:rFonts w:ascii="Times New Roman" w:eastAsia="SimSun" w:hAnsi="Times New Roman"/>
          <w:b/>
          <w:bCs/>
          <w:color w:val="404040"/>
          <w:sz w:val="21"/>
          <w:szCs w:val="21"/>
        </w:rPr>
        <w:t xml:space="preserve">Table 1: Wave-1 roster of record (order of authoring)</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527"/>
        <w:gridCol w:w="2636"/>
        <w:gridCol w:w="2285"/>
        <w:gridCol w:w="1933"/>
        <w:gridCol w:w="1406"/>
      </w:tblGrid>
      <w:tr>
        <w:trPr>
          <w:cantSplit/>
          <w:tblHeader/>
        </w:trPr>
        <w:tc>
          <w:tcPr>
            <w:tcW w:type="pct" w:w="3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t>
            </w:r>
          </w:p>
        </w:tc>
        <w:tc>
          <w:tcPr>
            <w:tcW w:type="pct" w:w="1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 (title of record)</w:t>
            </w:r>
          </w:p>
        </w:tc>
        <w:tc>
          <w:tcPr>
            <w:tcW w:type="pct" w:w="13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Genre coverage</w:t>
            </w:r>
          </w:p>
        </w:tc>
        <w:tc>
          <w:tcPr>
            <w:tcW w:type="pct" w:w="11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8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Body chars</w:t>
            </w:r>
          </w:p>
        </w:tc>
      </w:tr>
      <w:tr>
        <w:trPr>
          <w:cantSplit/>
        </w:trPr>
        <w:tc>
          <w:tcPr>
            <w:tcW w:type="pct" w:w="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Solutions</w:t>
            </w:r>
          </w:p>
        </w:tc>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Definitional, single lesson</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920</w:t>
            </w:r>
          </w:p>
        </w:tc>
      </w:tr>
      <w:tr>
        <w:trPr>
          <w:cantSplit/>
        </w:trPr>
        <w:tc>
          <w:tcPr>
            <w:tcW w:type="pct" w:w="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Moles, Mass &amp; RFM</w:t>
            </w:r>
          </w:p>
        </w:tc>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Procedural calculation</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1.27, 1.28</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3,937</w:t>
            </w:r>
          </w:p>
        </w:tc>
      </w:tr>
      <w:tr>
        <w:trPr>
          <w:cantSplit/>
        </w:trPr>
        <w:tc>
          <w:tcPr>
            <w:tcW w:type="pct" w:w="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Writing Half-Equations</w:t>
            </w:r>
          </w:p>
        </w:tc>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Procedural, equations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1.59C</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4,130</w:t>
            </w:r>
          </w:p>
        </w:tc>
      </w:tr>
      <w:tr>
        <w:trPr>
          <w:cantSplit/>
        </w:trPr>
        <w:tc>
          <w:tcPr>
            <w:tcW w:type="pct" w:w="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Word &amp; Chemical Equations</w:t>
            </w:r>
          </w:p>
        </w:tc>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Worked equations, largest body</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1.25</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9,662</w:t>
            </w:r>
          </w:p>
        </w:tc>
      </w:tr>
      <w:tr>
        <w:trPr>
          <w:cantSplit/>
        </w:trPr>
        <w:tc>
          <w:tcPr>
            <w:tcW w:type="pct" w:w="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Classify Metals &amp; Non-Metals</w:t>
            </w:r>
          </w:p>
        </w:tc>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Classification comparison</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1.20, 1.21</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2,160</w:t>
            </w:r>
          </w:p>
        </w:tc>
      </w:tr>
      <w:tr>
        <w:trPr>
          <w:cantSplit/>
        </w:trPr>
        <w:tc>
          <w:tcPr>
            <w:tcW w:type="pct" w:w="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1 (Alkali Metals)</w:t>
            </w:r>
          </w:p>
        </w:tc>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Family trends, 3 spec points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2.1, 2.2, 2.3</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6,191</w:t>
            </w:r>
          </w:p>
        </w:tc>
      </w:tr>
      <w:tr>
        <w:trPr>
          <w:cantSplit/>
        </w:trPr>
        <w:tc>
          <w:tcPr>
            <w:tcW w:type="pct" w:w="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Anions</w:t>
            </w:r>
          </w:p>
        </w:tc>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Parallel test structure</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2.48</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4,788</w:t>
            </w:r>
          </w:p>
        </w:tc>
      </w:tr>
      <w:tr>
        <w:trPr>
          <w:cantSplit/>
        </w:trPr>
        <w:tc>
          <w:tcPr>
            <w:tcW w:type="pct" w:w="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Prepare Copper(II)Sulfate</w:t>
            </w:r>
          </w:p>
        </w:tc>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method</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2.39, 2.42</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1,983</w:t>
            </w:r>
          </w:p>
        </w:tc>
      </w:tr>
      <w:tr>
        <w:trPr>
          <w:cantSplit/>
        </w:trPr>
        <w:tc>
          <w:tcPr>
            <w:tcW w:type="pct" w:w="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Dynamic Equilibrium</w:t>
            </w:r>
          </w:p>
        </w:tc>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Concepts + system example</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3.19C, 3.20C</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2,792</w:t>
            </w:r>
          </w:p>
        </w:tc>
      </w:tr>
      <w:tr>
        <w:trPr>
          <w:cantSplit/>
        </w:trPr>
        <w:tc>
          <w:tcPr>
            <w:tcW w:type="pct" w:w="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Addition Polymers</w:t>
            </w:r>
          </w:p>
        </w:tc>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Drawing skill, 3 spec points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4.44, 4.45, 4.46</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4,051</w:t>
            </w:r>
          </w:p>
        </w:tc>
      </w:tr>
    </w:tbl>
    <w:p>
      <w:pPr>
        <w:pStyle w:val="Heading1"/>
        <w:keepNext/>
        <w:spacing w:after="160" w:before="360" w:line="312"/>
      </w:pPr>
      <w:bookmarkStart w:name="_Toc4" w:id="4"/>
      <w:r>
        <w:rPr>
          <w:rFonts w:ascii="Times New Roman" w:eastAsia="SimSun" w:hAnsi="Times New Roman"/>
          <w:b/>
          <w:bCs/>
          <w:color w:val="15857A"/>
          <w:sz w:val="32"/>
          <w:szCs w:val="32"/>
        </w:rPr>
        <w:t xml:space="preserve">4. Results of Record</w:t>
      </w:r>
      <w:bookmarkEnd w:id="4"/>
    </w:p>
    <w:p>
      <w:pPr>
        <w:spacing w:after="120" w:line="312"/>
        <w:jc w:val="both"/>
      </w:pPr>
      <w:r>
        <w:rPr>
          <w:rFonts w:ascii="Times New Roman" w:eastAsia="SimSun" w:hAnsi="Times New Roman"/>
          <w:color w:val="000000"/>
          <w:sz w:val="24"/>
          <w:szCs w:val="24"/>
        </w:rPr>
        <w:t xml:space="preserve">Table 2 carries the per-note figures of record after the integrity corrections of section 6. The focused total is the sum of the nine phase clocks; the wall-clock span additionally shows rework and turn-boundary time, which is why it exceeds the focused total on the notes that crossed session boundaries. Five logged pauses of record exist across the wave, every one a turn-boundary pause resumed in the following session, and no pause was silent.</w:t>
      </w:r>
    </w:p>
    <w:p>
      <w:pPr>
        <w:keepNext/>
        <w:spacing w:after="80" w:before="200" w:line="312"/>
      </w:pPr>
      <w:r>
        <w:rPr>
          <w:rFonts w:ascii="Times New Roman" w:eastAsia="SimSun" w:hAnsi="Times New Roman"/>
          <w:b/>
          <w:bCs/>
          <w:color w:val="404040"/>
          <w:sz w:val="21"/>
          <w:szCs w:val="21"/>
        </w:rPr>
        <w:t xml:space="preserve">Table 2: Per-note results of record (post integrity pass, 2026-10-24)</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109"/>
        <w:gridCol w:w="703"/>
        <w:gridCol w:w="703"/>
        <w:gridCol w:w="1055"/>
        <w:gridCol w:w="1055"/>
        <w:gridCol w:w="879"/>
        <w:gridCol w:w="879"/>
        <w:gridCol w:w="1406"/>
      </w:tblGrid>
      <w:tr>
        <w:trPr>
          <w:cantSplit/>
          <w:tblHeader/>
        </w:trPr>
        <w:tc>
          <w:tcPr>
            <w:tcW w:type="pct" w:w="1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6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Focused s</w:t>
            </w:r>
          </w:p>
        </w:tc>
        <w:tc>
          <w:tcPr>
            <w:tcW w:type="pct" w:w="6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h/note</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Wall 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Pauses</w:t>
            </w:r>
          </w:p>
        </w:tc>
        <w:tc>
          <w:tcPr>
            <w:tcW w:type="pct" w:w="8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Assisted phases</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Solutions</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214</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0.06</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214</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P1-P7</w:t>
            </w:r>
          </w:p>
        </w:tc>
      </w:tr>
      <w:tr>
        <w:trPr>
          <w:cantSplit/>
        </w:trPr>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Moles, Mass &amp; RFM</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217</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0.06</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2,152</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P1-P7</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Writing Half-Equations</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471</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0.13</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471</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P1-P7</w:t>
            </w:r>
          </w:p>
        </w:tc>
      </w:tr>
      <w:tr>
        <w:trPr>
          <w:cantSplit/>
        </w:trPr>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Word &amp; Chemical Equations</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336</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8,440</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P1-P7</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Classify Metals &amp; Non-Metals</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165</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0.05</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8,562</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P1-P5, P7</w:t>
            </w:r>
          </w:p>
        </w:tc>
      </w:tr>
      <w:tr>
        <w:trPr>
          <w:cantSplit/>
        </w:trPr>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Group 1 (Alkali Metals)</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351</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0.10</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351</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P1-P7</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Anions</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262</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0.07</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871</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P1-P7</w:t>
            </w:r>
          </w:p>
        </w:tc>
      </w:tr>
      <w:tr>
        <w:trPr>
          <w:cantSplit/>
        </w:trPr>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Prepare Copper(II)Sulfate</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315</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939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P1-P7</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Dynamic Equilibrium</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215</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0.06</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215</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P2-P7</w:t>
            </w:r>
          </w:p>
        </w:tc>
      </w:tr>
      <w:tr>
        <w:trPr>
          <w:cantSplit/>
        </w:trPr>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Addition Polymers</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284</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0.08</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284</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P2-P7</w:t>
            </w:r>
          </w:p>
        </w:tc>
      </w:tr>
    </w:tbl>
    <w:p>
      <w:pPr>
        <w:spacing w:after="120" w:line="312"/>
        <w:jc w:val="both"/>
      </w:pPr>
      <w:r>
        <w:rPr>
          <w:rFonts w:ascii="Times New Roman" w:eastAsia="SimSun" w:hAnsi="Times New Roman"/>
          <w:color w:val="000000"/>
          <w:sz w:val="24"/>
          <w:szCs w:val="24"/>
        </w:rPr>
        <w:t xml:space="preserve">The aggregate of record: 10 notes, 24 lessons, 116 key points, 120 checks; focused 2,830 seconds = 0.79 hours; mean 283 seconds = 0.08 hours per note and 0.033 hours per lesson. The phase share of the focused total is: P0 load-and-read 31.2 percent, P1 split 4.5 percent, P2 key points 7.7 percent, P3 openings 5.1 percent, P4 depth layers 9.3 percent, P5 primer and glossary 5.7 percent, P6 worked example 4.0 percent, P7 checks 26.3 percent, P8 lint and export 6.1 percent. Under the A1 specification's reading rule, the concentration in P7 (and secondarily P4) is the signal that authoring tooling for checks and layering is where later waves gain most; the large P0 share reflects model read-and-pin time over full note bodies, which is disclosed rather than buried, and which shrinks per note as the corpus pin is reused.</w:t>
      </w:r>
    </w:p>
    <w:p>
      <w:pPr>
        <w:spacing w:after="120" w:line="312"/>
        <w:jc w:val="both"/>
      </w:pPr>
      <w:r>
        <w:rPr>
          <w:rFonts w:ascii="Times New Roman" w:eastAsia="SimSun" w:hAnsi="Times New Roman"/>
          <w:color w:val="000000"/>
          <w:sz w:val="24"/>
          <w:szCs w:val="24"/>
        </w:rPr>
        <w:t xml:space="preserve">The notes with the largest wall-clock spans (Classify Metals and Non-Metals at 8,562 seconds; Word and Chemical Equations at 8,440 seconds) crossed turn boundaries mid-authoring; their focused totals are unaffected because paused and boundary time is excluded from the phase clocks, which is precisely the separation the receipt format is designed to preserve.</w:t>
      </w:r>
    </w:p>
    <w:p>
      <w:pPr>
        <w:pStyle w:val="Heading1"/>
        <w:keepNext/>
        <w:spacing w:after="160" w:before="360" w:line="312"/>
      </w:pPr>
      <w:bookmarkStart w:name="_Toc5" w:id="5"/>
      <w:r>
        <w:rPr>
          <w:rFonts w:ascii="Times New Roman" w:eastAsia="SimSun" w:hAnsi="Times New Roman"/>
          <w:b/>
          <w:bCs/>
          <w:color w:val="15857A"/>
          <w:sz w:val="32"/>
          <w:szCs w:val="32"/>
        </w:rPr>
        <w:t xml:space="preserve">5. Quality of Record</w:t>
      </w:r>
      <w:bookmarkEnd w:id="5"/>
    </w:p>
    <w:p>
      <w:pPr>
        <w:spacing w:after="120" w:line="312"/>
        <w:jc w:val="both"/>
      </w:pPr>
      <w:r>
        <w:rPr>
          <w:rFonts w:ascii="Times New Roman" w:eastAsia="SimSun" w:hAnsi="Times New Roman"/>
          <w:color w:val="000000"/>
          <w:sz w:val="24"/>
          <w:szCs w:val="24"/>
        </w:rPr>
        <w:t xml:space="preserve">All ten layer files validate against the guided-lesson/0.1 JSON Schema (draft-07, additionalProperties false throughout, so unknown fields fail closed). All ten pass the house-style lint with zero hard-fail violations: spec-point coverage is exact (every code of record referenced, no invented codes, every referenced code carrying its official text), every check item keys exactly one correct option, every option carries an explanation, and every one of the 480 distractors names the misconception it catches. The arithmetic-verification rule evaluated the one numeric worked example of the wave (note 6's ported rubidium prediction) and its two quoted reference values trace to the steps.</w:t>
      </w:r>
    </w:p>
    <w:p>
      <w:pPr>
        <w:spacing w:after="120" w:line="312"/>
        <w:jc w:val="both"/>
      </w:pPr>
      <w:r>
        <w:rPr>
          <w:rFonts w:ascii="Times New Roman" w:eastAsia="SimSun" w:hAnsi="Times New Roman"/>
          <w:color w:val="000000"/>
          <w:sz w:val="24"/>
          <w:szCs w:val="24"/>
        </w:rPr>
        <w:t xml:space="preserve">The complete warning inventory of the wave is seven entries, all designed declarations: six instances of the workedExample-null warning, each declaring that the source note carries no worked example (notes 1, 2, 5, 7, 8 and 10), and one instance of the no-arithmetic-expression warning, which is the declaration of record that note 6's worked example is non-numeric apart from its two quoted reference values. No style warning, no register warning, no source-fidelity warning and no template-uniformity warning survived to export on any note; the handful raised during authoring (a ten-word verbatim run, a glossary over the eight-item cap, a thirty-percent layer-length imbalance) were fixed before the clean export of record, and the export blocked once on the glossary cap before the merge that resolved it.</w:t>
      </w:r>
    </w:p>
    <w:p>
      <w:pPr>
        <w:spacing w:after="120" w:line="312"/>
        <w:jc w:val="both"/>
      </w:pPr>
      <w:r>
        <w:rPr>
          <w:rFonts w:ascii="Times New Roman" w:eastAsia="SimSun" w:hAnsi="Times New Roman"/>
          <w:color w:val="000000"/>
          <w:sz w:val="24"/>
          <w:szCs w:val="24"/>
        </w:rPr>
        <w:t xml:space="preserve">Content discipline held across genres: source fidelity runs stayed within the eight-word limit after the one flagged key point was rephrased; the plain-words register scan is clean with all long technical-form words either glossary-backed or rephrased; British spelling and the no-exclamation house rule are respected throughout; and every primer cites its prerequisite by the exact subtopic title of record, snapshot-verified (Atomic Structure, Ionic Bonding, Acids Alkalis and Titrations, Rates of Reaction, Alkenes).</w:t>
      </w:r>
    </w:p>
    <w:p>
      <w:pPr>
        <w:pStyle w:val="Heading1"/>
        <w:keepNext/>
        <w:spacing w:after="160" w:before="360" w:line="312"/>
      </w:pPr>
      <w:bookmarkStart w:name="_Toc6" w:id="6"/>
      <w:r>
        <w:rPr>
          <w:rFonts w:ascii="Times New Roman" w:eastAsia="SimSun" w:hAnsi="Times New Roman"/>
          <w:b/>
          <w:bCs/>
          <w:color w:val="15857A"/>
          <w:sz w:val="32"/>
          <w:szCs w:val="32"/>
        </w:rPr>
        <w:t xml:space="preserve">6. Integrity Record of the Round</w:t>
      </w:r>
      <w:bookmarkEnd w:id="6"/>
    </w:p>
    <w:p>
      <w:pPr>
        <w:spacing w:after="120" w:line="312"/>
        <w:jc w:val="both"/>
      </w:pPr>
      <w:r>
        <w:rPr>
          <w:rFonts w:ascii="Times New Roman" w:eastAsia="SimSun" w:hAnsi="Times New Roman"/>
          <w:color w:val="000000"/>
          <w:sz w:val="24"/>
          <w:szCs w:val="24"/>
        </w:rPr>
        <w:t xml:space="preserve">Three integrity findings were raised and closed against the lane's own instrumented pipeline during this round, and each is documented here because the value of the receipts depends on their trustworthiness. First, the assistance-flag correction: notes seven through ten were authored in the sessions of 2026-10-23 and 2026-10-24 with model-drafted content in phases P2 through P7, but their phase clocks were closed without the assist flag, so their receipts would have declared that unflagged phases produced no drafted content, which was false. Under the specification's rule that any drafting assistance is a per-phase receipt flag and an undeclared-assistance run is voided on discovery, the event logs were patched (scripts/wave1-assist-fix.js and scripts/wave1-integrity-final.js), the drafted phases now carry assist true, and note eight's P1 split decision, also model-drafted, was flagged in the same pass.</w:t>
      </w:r>
    </w:p>
    <w:p>
      <w:pPr>
        <w:spacing w:after="120" w:line="312"/>
        <w:jc w:val="both"/>
      </w:pPr>
      <w:r>
        <w:rPr>
          <w:rFonts w:ascii="Times New Roman" w:eastAsia="SimSun" w:hAnsi="Times New Roman"/>
          <w:color w:val="000000"/>
          <w:sz w:val="24"/>
          <w:szCs w:val="24"/>
        </w:rPr>
        <w:t xml:space="preserve">Second, the timing restoration: the run harness's export command does not persist the event log on the success path, so the flag-correction re-exports recomputed each receipt with phase P8 still open, closing it at re-export time and inflating it with unrelated inter-note work (up to 972 seconds on note seven). The P8 closure timestamps were restored from the console totals of record printed at each note's successful first export (scripts/wave1-receipt-restore.js); all four corrected receipts reconcile with those console totals within one second of rounding, and the corrected event logs now persist the full export history. The harness defect itself is filed of record and must be patched (a save call on the success path) before any future timed wave relies on re-export.</w:t>
      </w:r>
    </w:p>
    <w:p>
      <w:pPr>
        <w:spacing w:after="120" w:line="312"/>
        <w:jc w:val="both"/>
      </w:pPr>
      <w:r>
        <w:rPr>
          <w:rFonts w:ascii="Times New Roman" w:eastAsia="SimSun" w:hAnsi="Times New Roman"/>
          <w:color w:val="000000"/>
          <w:sz w:val="24"/>
          <w:szCs w:val="24"/>
        </w:rPr>
        <w:t xml:space="preserve">Third, the P1 drift disclosure: on notes nine and ten the phase command moved the run from P0 directly to P2, so the split decision of record, though fully authored, was clocked inside the P0 span rather than under its own P1 clock. No hours are understated, since the decision time is inside a clocked phase either way, but the drift is disclosed in both receipts rather than silently absorbed. Collectively these corrections are the round's main process lesson: the toolchain that makes measurement honest is itself software with defects, and the receipts' correction notes now carry the trail so no future reader mistakes the restored numbers for first-pass clockings.</w:t>
      </w:r>
    </w:p>
    <w:p>
      <w:pPr>
        <w:pStyle w:val="Heading1"/>
        <w:keepNext/>
        <w:spacing w:after="160" w:before="360" w:line="312"/>
      </w:pPr>
      <w:bookmarkStart w:name="_Toc7" w:id="7"/>
      <w:r>
        <w:rPr>
          <w:rFonts w:ascii="Times New Roman" w:eastAsia="SimSun" w:hAnsi="Times New Roman"/>
          <w:b/>
          <w:bCs/>
          <w:color w:val="15857A"/>
          <w:sz w:val="32"/>
          <w:szCs w:val="32"/>
        </w:rPr>
        <w:t xml:space="preserve">7. Interpretation for the Build Case</w:t>
      </w:r>
      <w:bookmarkEnd w:id="7"/>
    </w:p>
    <w:p>
      <w:pPr>
        <w:spacing w:after="120" w:line="312"/>
        <w:jc w:val="both"/>
      </w:pPr>
      <w:r>
        <w:rPr>
          <w:rFonts w:ascii="Times New Roman" w:eastAsia="SimSun" w:hAnsi="Times New Roman"/>
          <w:color w:val="000000"/>
          <w:sz w:val="24"/>
          <w:szCs w:val="24"/>
        </w:rPr>
        <w:t xml:space="preserve">Under the OPEN posture the build case is decided, so the wave's numbers serve production planning rather than a gate. What the wave establishes: the restored toolchain (schema, lint, run harness, snapshot discipline) carries a full roster across ten genres without a single hard-fail, which is the format-overfit evidence the specification asked the wave to gather; the layer format expresses every genre in the roster without schema extension, meaning v0.1 held; and the per-phase shape tells the next wave where instrumented support pays (check authoring and depth layers first). The roster's exposure arithmetic of record is unchanged by the wave: the bands of 28, 56 and 93 author-days over the 112-note corpus remain the planning figures, and the wave's 0.08-hour mean is a pipeline rate under declared assistance, never to be quoted as a human authoring rate or substituted for the band arithmetic.</w:t>
      </w:r>
    </w:p>
    <w:p>
      <w:pPr>
        <w:spacing w:after="120" w:line="312"/>
        <w:jc w:val="both"/>
      </w:pPr>
      <w:r>
        <w:rPr>
          <w:rFonts w:ascii="Times New Roman" w:eastAsia="SimSun" w:hAnsi="Times New Roman"/>
          <w:color w:val="000000"/>
          <w:sz w:val="24"/>
          <w:szCs w:val="24"/>
        </w:rPr>
        <w:t xml:space="preserve">The calibration reference (the A1 seed note) now has ten companions of the same format, which gives the editor SPA and any future consumer a far richer calibration surface: one single-lesson note, four two-lesson notes and five three-lesson notes. Of the twenty-four lessons, every one carries the write-once confidence gate contract, two depth layers, and the check battery, so format-uniformity comparisons can be made note-to-note rather than against a single exemplar. The one format tension observed (notes whose sources carry no worked example) is handled by the designed null declaration and is a content property of the corpus, not a schema gap.</w:t>
      </w:r>
    </w:p>
    <w:p>
      <w:pPr>
        <w:spacing w:after="120" w:line="312"/>
        <w:jc w:val="both"/>
      </w:pPr>
      <w:r>
        <w:rPr>
          <w:rFonts w:ascii="Times New Roman" w:eastAsia="SimSun" w:hAnsi="Times New Roman"/>
          <w:color w:val="000000"/>
          <w:sz w:val="24"/>
          <w:szCs w:val="24"/>
        </w:rPr>
        <w:t xml:space="preserve">For the operator's dashboard of record: wave-1 closes at 10 of 112 notes authored (8.9 percent of the corpus), 24 of an expected few hundred lessons, with the remaining 102 notes spanning the same genres at the same format. The next planning decision of record is pacing the remaining corpus under OPEN, which is a scheduling question rather than an open design question.</w:t>
      </w:r>
    </w:p>
    <w:p>
      <w:pPr>
        <w:pStyle w:val="Heading1"/>
        <w:keepNext/>
        <w:spacing w:after="160" w:before="360" w:line="312"/>
      </w:pPr>
      <w:bookmarkStart w:name="_Toc8" w:id="8"/>
      <w:r>
        <w:rPr>
          <w:rFonts w:ascii="Times New Roman" w:eastAsia="SimSun" w:hAnsi="Times New Roman"/>
          <w:b/>
          <w:bCs/>
          <w:color w:val="15857A"/>
          <w:sz w:val="32"/>
          <w:szCs w:val="32"/>
        </w:rPr>
        <w:t xml:space="preserve">8. Artifacts of Record</w:t>
      </w:r>
      <w:bookmarkEnd w:id="8"/>
    </w:p>
    <w:p>
      <w:pPr>
        <w:spacing w:after="120" w:line="312"/>
        <w:jc w:val="both"/>
      </w:pPr>
      <w:r>
        <w:rPr>
          <w:rFonts w:ascii="Times New Roman" w:eastAsia="SimSun" w:hAnsi="Times New Roman"/>
          <w:color w:val="000000"/>
          <w:sz w:val="24"/>
          <w:szCs w:val="24"/>
        </w:rPr>
        <w:t xml:space="preserve">All wave deliverables of record are filed in the download directory; working state lives outside it and is reproducible from the scripts. Table 3 maps the artifact tree.</w:t>
      </w:r>
    </w:p>
    <w:p>
      <w:pPr>
        <w:keepNext/>
        <w:spacing w:after="80" w:before="200" w:line="312"/>
      </w:pPr>
      <w:r>
        <w:rPr>
          <w:rFonts w:ascii="Times New Roman" w:eastAsia="SimSun" w:hAnsi="Times New Roman"/>
          <w:b/>
          <w:bCs/>
          <w:color w:val="404040"/>
          <w:sz w:val="21"/>
          <w:szCs w:val="21"/>
        </w:rPr>
        <w:t xml:space="preserve">Table 3: Artifact map of record, wave-1</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636"/>
        <w:gridCol w:w="6152"/>
      </w:tblGrid>
      <w:tr>
        <w:trPr>
          <w:cantSplit/>
          <w:tblHeader/>
        </w:trPr>
        <w:tc>
          <w:tcPr>
            <w:tcW w:type="pct" w:w="1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3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Contents</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download/wave1/</w:t>
            </w:r>
          </w:p>
        </w:tc>
        <w:tc>
          <w:tcPr>
            <w:tcW w:type="pct" w:w="3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 layer files guided-lesson-&lt;noteId&gt;.json + 10 timing receipts timing-receipt-&lt;noteId&gt;.json + the aggregate wave1-receipt.json (all post integrity pass)</w:t>
            </w:r>
          </w:p>
        </w:tc>
      </w:tr>
      <w:tr>
        <w:trPr>
          <w:cantSplit/>
        </w:trPr>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download/A1-Restoration-20261022/</w:t>
            </w:r>
          </w:p>
        </w:tc>
        <w:tc>
          <w:tcPr>
            <w:tcW w:type="pct" w:w="3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Restoration pack of record: verbatim spec text, seed note body, seed layer, seed timing receipt, lint report, validation log, manifest</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w:t>
            </w:r>
          </w:p>
        </w:tc>
        <w:tc>
          <w:tcPr>
            <w:tcW w:type="pct" w:w="3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Toolchain of record: guided-lesson.0.1.schema.json, a1-lint.js, wave1-run.js, wave1-corpus-snapshot.js, wave1-spec-titles.js, wave1-calibrate.js; integrity scripts wave1-assist-fix.js, wave1-receipt-restore.js, wave1-integrity-final.js, wave1-wave-receipt.js; this report's generator</w:t>
            </w:r>
          </w:p>
        </w:tc>
      </w:tr>
      <w:tr>
        <w:trPr>
          <w:cantSplit/>
        </w:trPr>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.tmp/wave1/</w:t>
            </w:r>
          </w:p>
        </w:tc>
        <w:tc>
          <w:tcPr>
            <w:tcW w:type="pct" w:w="3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Working state: corpus-snapshot.json + snapshot-manifest.json (the pin), spec-point-texts.json, per-note runs/ (event logs + pinned bodies), layer working copies, calibration fixture</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worklog.md</w:t>
            </w:r>
          </w:p>
        </w:tc>
        <w:tc>
          <w:tcPr>
            <w:tcW w:type="pct" w:w="3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Round-by-round narrative of record, including this round's integrity trail</w:t>
            </w:r>
          </w:p>
        </w:tc>
      </w:tr>
    </w:tbl>
    <w:p>
      <w:pPr>
        <w:spacing w:after="120" w:line="312"/>
        <w:jc w:val="both"/>
      </w:pPr>
      <w:r>
        <w:rPr>
          <w:rFonts w:ascii="Times New Roman" w:eastAsia="SimSun" w:hAnsi="Times New Roman"/>
          <w:color w:val="000000"/>
          <w:sz w:val="24"/>
          <w:szCs w:val="24"/>
        </w:rPr>
        <w:t xml:space="preserve">The database of record remains read-only for this lane: t0 credentials only, SELECT-only, and the wave's single contact is the snapshot pull cited in section 3. The snapshot manifest inside .tmp/wave1/ is the instrument that would detect any mid-wave corpus drift and void reuse of authored layers, per the corpus-drift mitigation of the specification's risk register.</w:t>
      </w:r>
    </w:p>
    <w:p>
      <w:pPr>
        <w:pStyle w:val="Heading1"/>
        <w:keepNext/>
        <w:spacing w:after="160" w:before="360" w:line="312"/>
      </w:pPr>
      <w:bookmarkStart w:name="_Toc9" w:id="9"/>
      <w:r>
        <w:rPr>
          <w:rFonts w:ascii="Times New Roman" w:eastAsia="SimSun" w:hAnsi="Times New Roman"/>
          <w:b/>
          <w:bCs/>
          <w:color w:val="15857A"/>
          <w:sz w:val="32"/>
          <w:szCs w:val="32"/>
        </w:rPr>
        <w:t xml:space="preserve">9. Next Steps of Record</w:t>
      </w:r>
      <w:bookmarkEnd w:id="9"/>
    </w:p>
    <w:p>
      <w:pPr>
        <w:spacing w:after="120" w:line="312"/>
        <w:jc w:val="both"/>
      </w:pPr>
      <w:r>
        <w:rPr>
          <w:rFonts w:ascii="Times New Roman" w:eastAsia="SimSun" w:hAnsi="Times New Roman"/>
          <w:color w:val="000000"/>
          <w:sz w:val="24"/>
          <w:szCs w:val="24"/>
        </w:rPr>
        <w:t xml:space="preserve">Four items carry forward. First, the toolchain patch: add the missing save call on the run harness's export success path (and a regression test that re-export after assist-flag correction does not move the focused total), filed from this round's integrity findings. Second, the remaining corpus: 102 notes remain under the OPEN commitment, to be scheduled in rosters that continue the genre-coverage logic of wave-1 and reuse the corpus pin, with per-note receipts and the same declared-assistance discipline; the snapshot pin should be re-verified against the manifest before each new wave opens. Third, the deferred designs: learner-side metering remains deferred per the OPEN brief of record, and the editor SPA consolidation (the phase-walking interface of specification section 6.1, currently embodied in the run harness plus the authoring discipline) can now be shaped against twenty-four lessons of real phase data instead of one. Fourth, the records push: when a records window next opens, the wave deliverables file to the research band per the specification's deliverables clause, with this report as the covering document of record.</w:t>
      </w:r>
    </w:p>
    <w:p>
      <w:pPr>
        <w:spacing w:after="120" w:line="312"/>
        <w:jc w:val="both"/>
      </w:pPr>
      <w:r>
        <w:rPr>
          <w:rFonts w:ascii="Times New Roman" w:eastAsia="SimSun" w:hAnsi="Times New Roman"/>
          <w:color w:val="000000"/>
          <w:sz w:val="24"/>
          <w:szCs w:val="24"/>
        </w:rPr>
        <w:t xml:space="preserve">Within the lane's standing constraints, nothing in this report requires operator ignition: all items are lane-local authoring, tooling or scheduling work. The operator-gated classes (ignition, secrets, serving-path changes) remain closed and unconsumed.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 PAGE \* ROMAN \* MERGEFORMAT </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 PAGE \* arabic \* MERGEFORMAT </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Wave-1 Instrumented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Wave-1 Instrumented Authoring Wave Report</dc:title>
  <dc:creator>SyllabAI product engineering (lane w0a)</dc:creator>
  <cp:lastModifiedBy>Un-named</cp:lastModifiedBy>
  <cp:revision>1</cp:revision>
  <dcterms:created xsi:type="dcterms:W3CDTF">2026-10-23T18:10:32.852Z</dcterms:created>
  <dcterms:modified xsi:type="dcterms:W3CDTF">2026-10-23T18:10:32.852Z</dcterms:modified>
</cp:coreProperties>
</file>

<file path=docProps/custom.xml><?xml version="1.0" encoding="utf-8"?>
<Properties xmlns="http://schemas.openxmlformats.org/officeDocument/2006/custom-properties" xmlns:vt="http://schemas.openxmlformats.org/officeDocument/2006/docPropsVTypes"/>
</file>