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vAlign w:val="top"/>
          </w:tcPr>
          <w:p>
            <w:pPr>
              <w:spacing w:before="3944"/>
            </w:pPr>
          </w:p>
          <w:p>
            <w:pPr>
              <w:pBdr>
                <w:bottom w:val="single" w:color="FF6A3B" w:sz="6" w:space="8"/>
              </w:pBdr>
              <w:spacing w:after="500"/>
              <w:ind w:left="1200" w:right="800"/>
            </w:pPr>
            <w:r>
              <w:rPr>
                <w:rFonts w:ascii="Calibri" w:eastAsia="SimHei"/>
                <w:color w:val="FF6A3B"/>
                <w:spacing w:val="40"/>
                <w:sz w:val="18"/>
                <w:szCs w:val="18"/>
              </w:rPr>
              <w:t xml:space="preserve">W  A  V  E     R  E  P  O  R  T</w:t>
            </w:r>
          </w:p>
          <w:p>
            <w:pPr>
              <w:spacing w:after="100" w:line="920" w:lineRule="atLeast"/>
              <w:ind w:left="1200"/>
            </w:pPr>
            <w:r>
              <w:rPr>
                <w:rFonts w:ascii="Arial" w:eastAsia="SimHei"/>
                <w:b/>
                <w:bCs/>
                <w:color w:val="15857A"/>
                <w:sz w:val="80"/>
                <w:szCs w:val="80"/>
              </w:rPr>
              <w:t xml:space="preserve">Wave-2 Authoring</w:t>
            </w:r>
          </w:p>
          <w:p>
            <w:pPr>
              <w:spacing w:after="300" w:line="920" w:lineRule="atLeast"/>
              <w:ind w:left="1200"/>
            </w:pPr>
            <w:r>
              <w:rPr>
                <w:rFonts w:ascii="Arial" w:eastAsia="SimHei"/>
                <w:b/>
                <w:bCs/>
                <w:color w:val="15857A"/>
                <w:sz w:val="80"/>
                <w:szCs w:val="80"/>
              </w:rPr>
              <w:t xml:space="preserve">Wave Report</w:t>
            </w:r>
          </w:p>
          <w:p>
            <w:pPr>
              <w:spacing w:after="800"/>
              <w:ind w:left="1200" w:right="800"/>
            </w:pPr>
            <w:r>
              <w:rPr>
                <w:rFonts w:ascii="Arial" w:eastAsia="Microsoft YaHei"/>
                <w:color w:val="606060"/>
                <w:sz w:val="24"/>
                <w:szCs w:val="24"/>
              </w:rPr>
              <w:t xml:space="preserve">The second authoring wave of record: twelve notes of the Principles of Chemistry register, export-gate telemetry, the recalibration checkpoint, and the flow-variation absorption decision</w:t>
            </w:r>
          </w:p>
          <w:p>
            <w:pPr>
              <w:pBdr>
                <w:left w:val="single" w:color="FF6A3B" w:sz="8" w:space="12"/>
              </w:pBdr>
              <w:spacing w:after="80"/>
              <w:ind w:left="1400"/>
            </w:pPr>
            <w:r>
              <w:rPr>
                <w:rFonts w:ascii="Arial" w:eastAsia="Microsoft YaHei"/>
                <w:color w:val="707070"/>
                <w:sz w:val="24"/>
                <w:szCs w:val="24"/>
              </w:rPr>
              <w:t xml:space="preserve">Wave of record: wave-2, topic T1 Principles of Chemistry, complete 2026-10-25 - 12/12 register notes exported clean</w:t>
            </w:r>
          </w:p>
          <w:p>
            <w:pPr>
              <w:pBdr>
                <w:left w:val="single" w:color="FF6A3B" w:sz="8" w:space="12"/>
              </w:pBdr>
              <w:spacing w:after="80"/>
              <w:ind w:left="1400"/>
            </w:pPr>
            <w:r>
              <w:rPr>
                <w:rFonts w:ascii="Arial" w:eastAsia="Microsoft YaHei"/>
                <w:color w:val="707070"/>
                <w:sz w:val="24"/>
                <w:szCs w:val="24"/>
              </w:rPr>
              <w:t xml:space="preserve">Posture of record: OPEN, build it fully (operator trace 1a1683ec43a016a9); paced by wave-pacing-open/0.1</w:t>
            </w:r>
          </w:p>
          <w:p>
            <w:pPr>
              <w:pBdr>
                <w:left w:val="single" w:color="FF6A3B" w:sz="8" w:space="12"/>
              </w:pBdr>
              <w:spacing w:after="80"/>
              <w:ind w:left="1400"/>
            </w:pPr>
            <w:r>
              <w:rPr>
                <w:rFonts w:ascii="Arial" w:eastAsia="Microsoft YaHei"/>
                <w:color w:val="707070"/>
                <w:sz w:val="24"/>
                <w:szCs w:val="24"/>
              </w:rPr>
              <w:t xml:space="preserve">Progress of record: 22 of 112 notes authored (19.6 percent) - zero database contact, corpus pin reused and re-verified every round</w:t>
            </w:r>
          </w:p>
          <w:p>
            <w:pPr>
              <w:pBdr>
                <w:left w:val="single" w:color="FF6A3B" w:sz="8" w:space="12"/>
              </w:pBdr>
              <w:spacing w:after="80"/>
              <w:ind w:left="1400"/>
            </w:pPr>
            <w:r>
              <w:rPr>
                <w:rFonts w:ascii="Arial" w:eastAsia="Microsoft YaHei"/>
                <w:color w:val="707070"/>
                <w:sz w:val="24"/>
                <w:szCs w:val="24"/>
              </w:rPr>
              <w:t xml:space="preserve">Quality of record: 12/12 schema PASS, 0 lint hard-fails, 6 designed declarations reconciled, 120 checks, 360 named-misconception distractors</w:t>
            </w:r>
          </w:p>
          <w:p>
            <w:pPr>
              <w:pBdr>
                <w:left w:val="single" w:color="FF6A3B" w:sz="8" w:space="12"/>
              </w:pBdr>
              <w:spacing w:after="80"/>
              <w:ind w:left="1400"/>
            </w:pPr>
            <w:r>
              <w:rPr>
                <w:rFonts w:ascii="Arial" w:eastAsia="Microsoft YaHei"/>
                <w:color w:val="707070"/>
                <w:sz w:val="24"/>
                <w:szCs w:val="24"/>
              </w:rPr>
              <w:t xml:space="preserve">Recalibration of record: planning estimators frozen at the wave-1 instrumented basis; wave-2 receipts reclassified as export-gate telemetry</w:t>
            </w:r>
          </w:p>
          <w:p>
            <w:pPr>
              <w:spacing w:before="3944"/>
            </w:pPr>
          </w:p>
          <w:p>
            <w:pPr>
              <w:pBdr>
                <w:top w:val="single" w:color="FF6A3B" w:sz="2" w:space="8"/>
              </w:pBdr>
              <w:spacing w:before="200"/>
              <w:ind w:left="1200" w:right="800"/>
            </w:pPr>
            <w:r>
              <w:rPr>
                <w:rFonts w:ascii="Arial"/>
                <w:color w:val="A0A0A0"/>
                <w:sz w:val="16"/>
                <w:szCs w:val="16"/>
              </w:rPr>
              <w:t xml:space="preserve">SyllabAI Product Engineering</w:t>
            </w:r>
            <w:r>
              <w:t xml:space="preserve">                                        </w:t>
            </w:r>
            <w:r>
              <w:rPr>
                <w:rFonts w:ascii="Arial"/>
                <w:color w:val="A0A0A0"/>
                <w:sz w:val="16"/>
                <w:szCs w:val="16"/>
              </w:rPr>
              <w:t xml:space="preserve">Complete 2026-10-25</w:t>
            </w:r>
          </w:p>
        </w:tc>
      </w:tr>
    </w:tbl>
    <w:p>
      <w:pPr>
        <w:sectPr>
          <w:pgSz w:w="11906" w:h="16838" w:orient="portrait"/>
          <w:pgMar w:top="0" w:right="0" w:bottom="0" w:left="0" w:header="708" w:footer="708" w:gutter="0"/>
          <w:pgNumType/>
          <w:docGrid w:linePitch="360"/>
        </w:sectPr>
      </w:pPr>
    </w:p>
    <w:p>
      <w:pPr>
        <w:spacing w:after="80" w:before="200"/>
        <w:jc w:val="center"/>
      </w:pPr>
      <w:r>
        <w:rPr>
          <w:rFonts w:ascii="Times New Roman" w:eastAsia="SimSun" w:hAnsi="Times New Roman"/>
          <w:b/>
          <w:bCs/>
          <w:color w:val="15857A"/>
          <w:sz w:val="32"/>
          <w:szCs w:val="32"/>
        </w:rPr>
        <w:t xml:space="preserve">Table of Contents</w:t>
      </w:r>
    </w:p>
    <w:p>
      <w:pPr>
        <w:spacing w:after="120"/>
        <w:jc w:val="center"/>
      </w:pPr>
      <w:r>
        <w:rPr>
          <w:rFonts w:ascii="Times New Roman" w:eastAsia="SimSun" w:hAnsi="Times New Roman"/>
          <w:i/>
          <w:iCs/>
          <w:color w:val="888888"/>
          <w:sz w:val="18"/>
          <w:szCs w:val="18"/>
        </w:rPr>
        <w:t xml:space="preserve">Note: This Table of Contents is generated via field codes. To ensure page number accuracy after editing, please right-click the TOC and select "Update Field."</w:t>
      </w:r>
    </w:p>
    <w:sdt>
      <w:sdtPr>
        <w:alias w:val="Table of Contents"/>
      </w:sdtPr>
      <w:sdtContent>
        <w:p>
          <w:pPr>
            <w:pStyle w:val="TOC1"/>
            <w:tabs>
              <w:tab w:val="right" w:pos="8788"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pos="8788" w:leader="dot"/>
            </w:tabs>
          </w:pPr>
          <w:hyperlink w:history="1" w:anchor="_Toc2">
            <w:r>
              <w:t xml:space="preserve">2. Posture and Protocol of Record</w:t>
            </w:r>
            <w:r>
              <w:tab/>
            </w:r>
            <w:r>
              <w:fldChar w:fldCharType="begin" w:dirty="true"/>
              <w:instrText xml:space="preserve">PAGEREF _Toc2 \h</w:instrText>
              <w:fldChar w:fldCharType="separate"/>
              <w:fldChar w:fldCharType="end"/>
            </w:r>
          </w:hyperlink>
        </w:p>
        <w:p>
          <w:pPr>
            <w:pStyle w:val="TOC1"/>
            <w:tabs>
              <w:tab w:val="right" w:pos="8788" w:leader="dot"/>
            </w:tabs>
          </w:pPr>
          <w:hyperlink w:history="1" w:anchor="_Toc3">
            <w:r>
              <w:t xml:space="preserve">3. Corpus Pin and Register of Record</w:t>
            </w:r>
            <w:r>
              <w:tab/>
            </w:r>
            <w:r>
              <w:fldChar w:fldCharType="begin" w:dirty="true"/>
              <w:instrText xml:space="preserve">PAGEREF _Toc3 \h</w:instrText>
              <w:fldChar w:fldCharType="separate"/>
              <w:fldChar w:fldCharType="end"/>
            </w:r>
          </w:hyperlink>
        </w:p>
        <w:p>
          <w:pPr>
            <w:pStyle w:val="TOC1"/>
            <w:tabs>
              <w:tab w:val="right" w:pos="8788" w:leader="dot"/>
            </w:tabs>
          </w:pPr>
          <w:hyperlink w:history="1" w:anchor="_Toc4">
            <w:r>
              <w:t xml:space="preserve">4. Results of Record</w:t>
            </w:r>
            <w:r>
              <w:tab/>
            </w:r>
            <w:r>
              <w:fldChar w:fldCharType="begin" w:dirty="true"/>
              <w:instrText xml:space="preserve">PAGEREF _Toc4 \h</w:instrText>
              <w:fldChar w:fldCharType="separate"/>
              <w:fldChar w:fldCharType="end"/>
            </w:r>
          </w:hyperlink>
        </w:p>
        <w:p>
          <w:pPr>
            <w:pStyle w:val="TOC1"/>
            <w:tabs>
              <w:tab w:val="right" w:pos="8788" w:leader="dot"/>
            </w:tabs>
          </w:pPr>
          <w:hyperlink w:history="1" w:anchor="_Toc5">
            <w:r>
              <w:t xml:space="preserve">5. Quality of Record</w:t>
            </w:r>
            <w:r>
              <w:tab/>
            </w:r>
            <w:r>
              <w:fldChar w:fldCharType="begin" w:dirty="true"/>
              <w:instrText xml:space="preserve">PAGEREF _Toc5 \h</w:instrText>
              <w:fldChar w:fldCharType="separate"/>
              <w:fldChar w:fldCharType="end"/>
            </w:r>
          </w:hyperlink>
        </w:p>
        <w:p>
          <w:pPr>
            <w:pStyle w:val="TOC1"/>
            <w:tabs>
              <w:tab w:val="right" w:pos="8788" w:leader="dot"/>
            </w:tabs>
          </w:pPr>
          <w:hyperlink w:history="1" w:anchor="_Toc6">
            <w:r>
              <w:t xml:space="preserve">6. Measurement Integrity and Flow Variation</w:t>
            </w:r>
            <w:r>
              <w:tab/>
            </w:r>
            <w:r>
              <w:fldChar w:fldCharType="begin" w:dirty="true"/>
              <w:instrText xml:space="preserve">PAGEREF _Toc6 \h</w:instrText>
              <w:fldChar w:fldCharType="separate"/>
              <w:fldChar w:fldCharType="end"/>
            </w:r>
          </w:hyperlink>
        </w:p>
        <w:p>
          <w:pPr>
            <w:pStyle w:val="TOC1"/>
            <w:tabs>
              <w:tab w:val="right" w:pos="8788" w:leader="dot"/>
            </w:tabs>
          </w:pPr>
          <w:hyperlink w:history="1" w:anchor="_Toc7">
            <w:r>
              <w:t xml:space="preserve">7. Recalibration Checkpoint of Record</w:t>
            </w:r>
            <w:r>
              <w:tab/>
            </w:r>
            <w:r>
              <w:fldChar w:fldCharType="begin" w:dirty="true"/>
              <w:instrText xml:space="preserve">PAGEREF _Toc7 \h</w:instrText>
              <w:fldChar w:fldCharType="separate"/>
              <w:fldChar w:fldCharType="end"/>
            </w:r>
          </w:hyperlink>
        </w:p>
        <w:p>
          <w:pPr>
            <w:pStyle w:val="TOC1"/>
            <w:tabs>
              <w:tab w:val="right" w:pos="8788" w:leader="dot"/>
            </w:tabs>
          </w:pPr>
          <w:hyperlink w:history="1" w:anchor="_Toc8">
            <w:r>
              <w:t xml:space="preserve">8. Interpretation and Progress</w:t>
            </w:r>
            <w:r>
              <w:tab/>
            </w:r>
            <w:r>
              <w:fldChar w:fldCharType="begin" w:dirty="true"/>
              <w:instrText xml:space="preserve">PAGEREF _Toc8 \h</w:instrText>
              <w:fldChar w:fldCharType="separate"/>
              <w:fldChar w:fldCharType="end"/>
            </w:r>
          </w:hyperlink>
        </w:p>
        <w:p>
          <w:pPr>
            <w:pStyle w:val="TOC1"/>
            <w:tabs>
              <w:tab w:val="right" w:pos="8788" w:leader="dot"/>
            </w:tabs>
          </w:pPr>
          <w:hyperlink w:history="1" w:anchor="_Toc9">
            <w:r>
              <w:t xml:space="preserve">9. Artifacts of Record</w:t>
            </w:r>
            <w:r>
              <w:tab/>
            </w:r>
            <w:r>
              <w:fldChar w:fldCharType="begin" w:dirty="true"/>
              <w:instrText xml:space="preserve">PAGEREF _Toc9 \h</w:instrText>
              <w:fldChar w:fldCharType="separate"/>
              <w:fldChar w:fldCharType="end"/>
            </w:r>
          </w:hyperlink>
        </w:p>
        <w:p>
          <w:pPr>
            <w:pStyle w:val="TOC1"/>
            <w:tabs>
              <w:tab w:val="right" w:pos="8788" w:leader="dot"/>
            </w:tabs>
          </w:pPr>
          <w:hyperlink w:history="1" w:anchor="_Toc10">
            <w:r>
              <w:t xml:space="preserve">10. Next Steps of Record</w:t>
            </w:r>
            <w:r>
              <w:tab/>
            </w:r>
            <w:r>
              <w:fldChar w:fldCharType="begin" w:dirty="true"/>
              <w:instrText xml:space="preserve">PAGEREF _Toc10 \h</w:instrText>
              <w:fldChar w:fldCharType="separate"/>
              <w:fldChar w:fldCharType="end"/>
            </w:r>
          </w:hyperlink>
        </w:p>
        <w:p>
          <w:r>
            <w:fldChar w:fldCharType="end"/>
          </w:r>
        </w:p>
      </w:sdtContent>
    </w:sdt>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keepNext/>
        <w:spacing w:after="160" w:before="360" w:line="312"/>
      </w:pPr>
      <w:bookmarkStart w:name="_Toc1" w:id="1"/>
      <w:r>
        <w:rPr>
          <w:rFonts w:ascii="Times New Roman" w:eastAsia="SimSun" w:hAnsi="Times New Roman"/>
          <w:b/>
          <w:bCs/>
          <w:color w:val="15857A"/>
          <w:sz w:val="32"/>
          <w:szCs w:val="32"/>
        </w:rPr>
        <w:t xml:space="preserve">1. Executive Summary</w:t>
      </w:r>
      <w:bookmarkEnd w:id="1"/>
    </w:p>
    <w:p>
      <w:pPr>
        <w:spacing w:after="120" w:line="312"/>
        <w:jc w:val="both"/>
      </w:pPr>
      <w:r>
        <w:rPr>
          <w:rFonts w:ascii="Times New Roman" w:eastAsia="SimSun" w:hAnsi="Times New Roman"/>
          <w:color w:val="000000"/>
          <w:sz w:val="24"/>
          <w:szCs w:val="24"/>
        </w:rPr>
        <w:t xml:space="preserve">Wave-2, the second authoring wave of the guided-learning programme and the first production increment of the OPEN-posture pacing plan, is complete of record: all twelve notes of the wave-2 register were authored end to end against the pinned corpus snapshot, exported against the guided-lesson/0.1 schema, and filed with per-phase timing receipts and persisted event logs. Every note passed the schema validation with zero lint hard-fail violations, and the only warnings present are the six designed declarations of record (five notes whose sources carry no worked example, declared via the workedExample-null warning, plus one ported worked example that is non-numeric, declared via the no-arithmetic warning). The wave ran entirely under the operator OPEN posture of 2026-10-23 and the pacing file of record wave-pacing-open/0.1, which converted the wave from a measurement gate into a scheduled production increment while retaining the receipt discipline.</w:t>
      </w:r>
    </w:p>
    <w:p>
      <w:pPr>
        <w:spacing w:after="120" w:line="312"/>
        <w:jc w:val="both"/>
      </w:pPr>
      <w:r>
        <w:rPr>
          <w:rFonts w:ascii="Times New Roman" w:eastAsia="SimSun" w:hAnsi="Times New Roman"/>
          <w:color w:val="000000"/>
          <w:sz w:val="24"/>
          <w:szCs w:val="24"/>
        </w:rPr>
        <w:t xml:space="preserve">The output volume of record is 24 lessons, 137 key points, 86 glossary entries and 120 explained checks across the twelve notes, covering 41,207 characters of source material from the Principles of Chemistry topic, with every one of the 360 check distractors naming the specific misconception it is designed to catch. The receipts' focused total is 418 seconds, but this round's close-out establishes that the figure is chain-execution telemetry rather than authoring effort: the persisted event logs show the P0 through P7 phase closures completing in 191 to 222 milliseconds on every note, meaning all layer authoring sat outside the instrumented chain under the disclosed batch flow. The recalibration checkpoint of section 7 therefore freezes the planning estimators at the wave-1 instrumented basis and reclassifies the wave-2 receipts as export-gate telemetry; the corpus-wide exposure arithmetic remains the 28, 56 and 93 author-day bands.</w:t>
      </w:r>
    </w:p>
    <w:p>
      <w:pPr>
        <w:spacing w:after="120" w:line="312"/>
        <w:jc w:val="both"/>
      </w:pPr>
      <w:r>
        <w:rPr>
          <w:rFonts w:ascii="Times New Roman" w:eastAsia="SimSun" w:hAnsi="Times New Roman"/>
          <w:color w:val="000000"/>
          <w:sz w:val="24"/>
          <w:szCs w:val="24"/>
        </w:rPr>
        <w:t xml:space="preserve">The wave also advanced the programme's standing integrity record. The harness patch that keeps re-exports from inflating phase clocks survived its fifth and sixth consecutive production rounds, including five blocked first exports whose re-exports ran provably idempotent; the round-by-round warning tally was reconciled against the receipts (six designed lines, not the four the narrative carried from mid-wave); and the flow variation first disclosed round-by-round was traced to its exact mechanism in the event logs. With wave-2 closed, the programme stands at 22 of 112 notes authored (19.6 percent of the corpus), the wave-3 register is staged in the pacing file, and the next operator ignition opens the third wave under the same discipline.</w:t>
      </w:r>
    </w:p>
    <w:p>
      <w:pPr>
        <w:pStyle w:val="Heading1"/>
        <w:keepNext/>
        <w:spacing w:after="160" w:before="360" w:line="312"/>
      </w:pPr>
      <w:bookmarkStart w:name="_Toc2" w:id="2"/>
      <w:r>
        <w:rPr>
          <w:rFonts w:ascii="Times New Roman" w:eastAsia="SimSun" w:hAnsi="Times New Roman"/>
          <w:b/>
          <w:bCs/>
          <w:color w:val="15857A"/>
          <w:sz w:val="32"/>
          <w:szCs w:val="32"/>
        </w:rPr>
        <w:t xml:space="preserve">2. Posture and Protocol of Record</w:t>
      </w:r>
      <w:bookmarkEnd w:id="2"/>
    </w:p>
    <w:p>
      <w:pPr>
        <w:spacing w:after="120" w:line="312"/>
        <w:jc w:val="both"/>
      </w:pPr>
      <w:r>
        <w:rPr>
          <w:rFonts w:ascii="Times New Roman" w:eastAsia="SimSun" w:hAnsi="Times New Roman"/>
          <w:color w:val="000000"/>
          <w:sz w:val="24"/>
          <w:szCs w:val="24"/>
        </w:rPr>
        <w:t xml:space="preserve">The posture of record remains OPEN, build it fully, decided on the operator's explicit instruction (trace 1a1683ec43a016a9) and captured in the brief of record A5-Posture-Decision-Brief-Open-20261023.docx. Wave-2 is the first wave executed entirely under the pacing file of record (wave-pacing-open-20261024.json), which schedules the remaining 102 notes into nine waves and states the governing semantics: pacing is a schedule, not a gate; the approximately two-hours-per-note open-flip threshold is dissolved; receipts and declared assistance continue as measurement discipline rather than admission control; and every wave closes with a wave receipt and wave report on the wave-1 pattern, with a recalibration checkpoint recomputing the estimators before the next wave opens. This report and the aggregate receipt minted alongside it discharge that clause for wave-2.</w:t>
      </w:r>
    </w:p>
    <w:p>
      <w:pPr>
        <w:spacing w:after="120" w:line="312"/>
        <w:jc w:val="both"/>
      </w:pPr>
      <w:r>
        <w:rPr>
          <w:rFonts w:ascii="Times New Roman" w:eastAsia="SimSun" w:hAnsi="Times New Roman"/>
          <w:color w:val="000000"/>
          <w:sz w:val="24"/>
          <w:szCs w:val="24"/>
        </w:rPr>
        <w:t xml:space="preserve">The measurement discipline retained from the A1 specification operated unchanged: per-phase clocks P0 through P8 with the sum of the phase clocks as the receipt's focused total; explicit pause logging (wave-2 logged zero pauses across twelve notes); a corpus pinned to the local snapshot with any mid-run drift voiding reuse; and declared assistance per phase, so every measured number is interpretable rather than silently hybrid. The chain order of record, corrected during wave-1's integrity pass and applied natively all wave, is: P0 closed unflagged as a read-only phase, P1 through P7 closed with the assist flag, and P8 closed mechanically by the export command. All twelve receipts carry assistedPhases of exactly P1 through P7, asserted mechanically when the aggregate receipt was minted.</w:t>
      </w:r>
    </w:p>
    <w:p>
      <w:pPr>
        <w:spacing w:after="120" w:line="312"/>
        <w:jc w:val="both"/>
      </w:pPr>
      <w:r>
        <w:rPr>
          <w:rFonts w:ascii="Times New Roman" w:eastAsia="SimSun" w:hAnsi="Times New Roman"/>
          <w:color w:val="000000"/>
          <w:sz w:val="24"/>
          <w:szCs w:val="24"/>
        </w:rPr>
        <w:t xml:space="preserve">Standing lane constraints were honoured throughout, and wave-2 tightened one of them materially: the wave made zero database contact of any kind. All twelve note bodies were read from the pinned local snapshot taken at wave-1 open, with each note's SHA-256 body hash verified against the pin before authoring began; the wave-1 snapshot pull therefore remains the single database contact of the entire programme. No writes touched any production surface, no Vercel lane was exercised beyond the standing GET-only posture, the repository's content pack was read only, and tokens were never echoed. The recurring sandbox-recycle pattern (ajv, and for this report the docx library, disappearing from the harness path) was handled by the documented no-save reinstall before any export or verification.</w:t>
      </w:r>
    </w:p>
    <w:p>
      <w:pPr>
        <w:pStyle w:val="Heading1"/>
        <w:keepNext/>
        <w:spacing w:after="160" w:before="360" w:line="312"/>
      </w:pPr>
      <w:bookmarkStart w:name="_Toc3" w:id="3"/>
      <w:r>
        <w:rPr>
          <w:rFonts w:ascii="Times New Roman" w:eastAsia="SimSun" w:hAnsi="Times New Roman"/>
          <w:b/>
          <w:bCs/>
          <w:color w:val="15857A"/>
          <w:sz w:val="32"/>
          <w:szCs w:val="32"/>
        </w:rPr>
        <w:t xml:space="preserve">3. Corpus Pin and Register of Record</w:t>
      </w:r>
      <w:bookmarkEnd w:id="3"/>
    </w:p>
    <w:p>
      <w:pPr>
        <w:spacing w:after="120" w:line="312"/>
        <w:jc w:val="both"/>
      </w:pPr>
      <w:r>
        <w:rPr>
          <w:rFonts w:ascii="Times New Roman" w:eastAsia="SimSun" w:hAnsi="Times New Roman"/>
          <w:color w:val="000000"/>
          <w:sz w:val="24"/>
          <w:szCs w:val="24"/>
        </w:rPr>
        <w:t xml:space="preserve">The corpus of record remains the snapshot pinned at wave-1 open: 112 notes, 361,272 characters, single corpus version sme-revision-notes-igcse-chemistry-19-2026-09-18, census 4 topics, 28 subtopics, per-topic note counts 40, 36, 15 and 21. Wave-2 re-verified the pin at every round of record: the snapshot file's SHA-256 was recomputed each round and matched the going-forward file pin e23e2ab7 through 487d on all six rounds, and each round reconciled the on-disk deliverable state against the worklog before acting. The snapshot manifest inside the working directory remains the instrument that would detect any mid-wave corpus drift and void reuse of authored layers; no drift was detected at any point in the wave.</w:t>
      </w:r>
    </w:p>
    <w:p>
      <w:pPr>
        <w:spacing w:after="120" w:line="312"/>
        <w:jc w:val="both"/>
      </w:pPr>
      <w:r>
        <w:rPr>
          <w:rFonts w:ascii="Times New Roman" w:eastAsia="SimSun" w:hAnsi="Times New Roman"/>
          <w:color w:val="000000"/>
          <w:sz w:val="24"/>
          <w:szCs w:val="24"/>
        </w:rPr>
        <w:t xml:space="preserve">The twelve-note register of record is the pacing file's wave-2 register verbatim, covering the remainder of the States of Matter subtopic, all of Elements, Compounds and Mixtures, and the opening of Atomic Structure and The Periodic Table. The register spans definitional, process-explanation, classification, comparison, five-technique procedural, practical-method, data-reading and calculation genres, and both size extremes of the wave (Separation Techniques at 6,829 characters down to Periodic Table: Basics at 1,618). Notably, the register's tenth note, Atoms: Definitions and Structure, is the A1 calibration note, and its first lesson was authored by the first production reuse of the calibration fixture, extended to carry the note's additional spec points; this closes the loop between the calibration artefact and the production corpus. Table 1 lists the register in order of authoring.</w:t>
      </w:r>
    </w:p>
    <w:p>
      <w:pPr>
        <w:keepNext/>
        <w:spacing w:after="80" w:before="200" w:line="312"/>
      </w:pPr>
      <w:r>
        <w:rPr>
          <w:rFonts w:ascii="Times New Roman" w:eastAsia="SimSun" w:hAnsi="Times New Roman"/>
          <w:b/>
          <w:bCs/>
          <w:color w:val="404040"/>
          <w:sz w:val="21"/>
          <w:szCs w:val="21"/>
        </w:rPr>
        <w:t xml:space="preserve">Table 1: Wave-2 register of record (order of authoring)</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439"/>
        <w:gridCol w:w="2636"/>
        <w:gridCol w:w="1933"/>
        <w:gridCol w:w="1318"/>
        <w:gridCol w:w="879"/>
        <w:gridCol w:w="1582"/>
      </w:tblGrid>
      <w:tr>
        <w:trPr>
          <w:cantSplit/>
          <w:tblHeader/>
        </w:trPr>
        <w:tc>
          <w:tcPr>
            <w:tcW w:type="pct" w:w="2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t>
            </w:r>
          </w:p>
        </w:tc>
        <w:tc>
          <w:tcPr>
            <w:tcW w:type="pct" w:w="1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 (title of record)</w:t>
            </w:r>
          </w:p>
        </w:tc>
        <w:tc>
          <w:tcPr>
            <w:tcW w:type="pct" w:w="11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Subtopic</w:t>
            </w:r>
          </w:p>
        </w:tc>
        <w:tc>
          <w:tcPr>
            <w:tcW w:type="pct" w:w="7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Spec points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Body chars</w:t>
            </w:r>
          </w:p>
        </w:tc>
        <w:tc>
          <w:tcPr>
            <w:tcW w:type="pct" w:w="9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Genre</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Three States of Matter</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States of Matter</w:t>
            </w:r>
          </w:p>
        </w:tc>
        <w:tc>
          <w:tcPr>
            <w:tcW w:type="pct" w:w="7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1.1, 1.2</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4,876</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Definitional + interconversion</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Diffusion &amp; Dilution</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States of Matter</w:t>
            </w:r>
          </w:p>
        </w:tc>
        <w:tc>
          <w:tcPr>
            <w:tcW w:type="pct" w:w="7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1.3</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3,150</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Process explanation</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Solubility</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States of Matter</w:t>
            </w:r>
          </w:p>
        </w:tc>
        <w:tc>
          <w:tcPr>
            <w:tcW w:type="pct" w:w="7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1.4, 1.5C, 1.6C</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2,515</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Concepts + curve reading</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Investigate the Solubility of a Solid in Water at a Specific Temperature</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States of Matter</w:t>
            </w:r>
          </w:p>
        </w:tc>
        <w:tc>
          <w:tcPr>
            <w:tcW w:type="pct" w:w="7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1.5C, 1.7C</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3,308</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 percentage arithmetic</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Element, Compound or Mixture</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Elements, Compounds &amp; Mixtures</w:t>
            </w:r>
          </w:p>
        </w:tc>
        <w:tc>
          <w:tcPr>
            <w:tcW w:type="pct" w:w="7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1.8</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1,615</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Classification</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Pure Substance vs Mixture</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Elements, Compounds &amp; Mixtures</w:t>
            </w:r>
          </w:p>
        </w:tc>
        <w:tc>
          <w:tcPr>
            <w:tcW w:type="pct" w:w="7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1.8, 1.9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2,317</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Comparison + evidence</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Separation Techniques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Elements, Compounds &amp; Mixtures</w:t>
            </w:r>
          </w:p>
        </w:tc>
        <w:tc>
          <w:tcPr>
            <w:tcW w:type="pct" w:w="7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1.10</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6,829</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Five-technique procedural</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8</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Interpreting Chromatograms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Elements, Compounds &amp; Mixtures</w:t>
            </w:r>
          </w:p>
        </w:tc>
        <w:tc>
          <w:tcPr>
            <w:tcW w:type="pct" w:w="7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1.11, 1.12</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3,445</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Data reading + Rf arithmetic</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9</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Investigating Paper Chromatography</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Elements, Compounds &amp; Mixtures</w:t>
            </w:r>
          </w:p>
        </w:tc>
        <w:tc>
          <w:tcPr>
            <w:tcW w:type="pct" w:w="7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1.10, 1.13</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4,079</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 error analysis</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Atoms: Definitions &amp; Structure</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Atomic Structure</w:t>
            </w:r>
          </w:p>
        </w:tc>
        <w:tc>
          <w:tcPr>
            <w:tcW w:type="pct" w:w="7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1.14, 1.15, 1.16</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4,984</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Calibration-note reuse + counting</w:t>
            </w:r>
          </w:p>
        </w:tc>
      </w:tr>
      <w:tr>
        <w:trPr>
          <w:cantSplit/>
        </w:trPr>
        <w:tc>
          <w:tcPr>
            <w:tcW w:type="pct" w:w="2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w:t>
            </w:r>
          </w:p>
        </w:tc>
        <w:tc>
          <w:tcPr>
            <w:tcW w:type="pct" w:w="1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Calculate Relative Atomic Mass</w:t>
            </w:r>
          </w:p>
        </w:tc>
        <w:tc>
          <w:tcPr>
            <w:tcW w:type="pct" w:w="11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Atomic Structure</w:t>
            </w:r>
          </w:p>
        </w:tc>
        <w:tc>
          <w:tcPr>
            <w:tcW w:type="pct" w:w="7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1.16, 1.17</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2,471</w:t>
            </w:r>
          </w:p>
        </w:tc>
        <w:tc>
          <w:tcPr>
            <w:tcW w:type="pct" w:w="9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Weighted-average calculation</w:t>
            </w:r>
          </w:p>
        </w:tc>
      </w:tr>
      <w:tr>
        <w:trPr>
          <w:cantSplit/>
        </w:trPr>
        <w:tc>
          <w:tcPr>
            <w:tcW w:type="pct" w:w="2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w:t>
            </w:r>
          </w:p>
        </w:tc>
        <w:tc>
          <w:tcPr>
            <w:tcW w:type="pct" w:w="1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Periodic Table: Basics</w:t>
            </w:r>
          </w:p>
        </w:tc>
        <w:tc>
          <w:tcPr>
            <w:tcW w:type="pct" w:w="11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Periodic Table</w:t>
            </w:r>
          </w:p>
        </w:tc>
        <w:tc>
          <w:tcPr>
            <w:tcW w:type="pct" w:w="7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1.18</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1,618</w:t>
            </w:r>
          </w:p>
        </w:tc>
        <w:tc>
          <w:tcPr>
            <w:tcW w:type="pct" w:w="9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Arrangement vocabulary</w:t>
            </w:r>
          </w:p>
        </w:tc>
      </w:tr>
    </w:tbl>
    <w:p>
      <w:pPr>
        <w:pStyle w:val="Heading1"/>
        <w:keepNext/>
        <w:spacing w:after="160" w:before="360" w:line="312"/>
      </w:pPr>
      <w:bookmarkStart w:name="_Toc4" w:id="4"/>
      <w:r>
        <w:rPr>
          <w:rFonts w:ascii="Times New Roman" w:eastAsia="SimSun" w:hAnsi="Times New Roman"/>
          <w:b/>
          <w:bCs/>
          <w:color w:val="15857A"/>
          <w:sz w:val="32"/>
          <w:szCs w:val="32"/>
        </w:rPr>
        <w:t xml:space="preserve">4. Results of Record</w:t>
      </w:r>
      <w:bookmarkEnd w:id="4"/>
    </w:p>
    <w:p>
      <w:pPr>
        <w:spacing w:after="120" w:line="312"/>
        <w:jc w:val="both"/>
      </w:pPr>
      <w:r>
        <w:rPr>
          <w:rFonts w:ascii="Times New Roman" w:eastAsia="SimSun" w:hAnsi="Times New Roman"/>
          <w:color w:val="000000"/>
          <w:sz w:val="24"/>
          <w:szCs w:val="24"/>
        </w:rPr>
        <w:t xml:space="preserve">Table 2 carries the per-note figures of record. The focused column is the receipts' chain-execution total under the batch flow disclosed in section 6: on notes one through eight it is dominated by the P8 export window (29 to 78 seconds, including in-flight fix and re-export cycles), and on notes nine through twelve it rounds to zero because the entire chain, export included, completed inside single shell invocations. The wall-clock spans are correspondingly modest (590 seconds in aggregate) and no pause was logged anywhere in the wave. These figures are retained of record exactly as the clocks observed them, and section 7 owns their interpretation.</w:t>
      </w:r>
    </w:p>
    <w:p>
      <w:pPr>
        <w:keepNext/>
        <w:spacing w:after="80" w:before="200" w:line="312"/>
      </w:pPr>
      <w:r>
        <w:rPr>
          <w:rFonts w:ascii="Times New Roman" w:eastAsia="SimSun" w:hAnsi="Times New Roman"/>
          <w:b/>
          <w:bCs/>
          <w:color w:val="404040"/>
          <w:sz w:val="21"/>
          <w:szCs w:val="21"/>
        </w:rPr>
        <w:t xml:space="preserve">Table 2: Per-note results of record (chain-execution telemetry under batch flow)</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285"/>
        <w:gridCol w:w="703"/>
        <w:gridCol w:w="703"/>
        <w:gridCol w:w="967"/>
        <w:gridCol w:w="967"/>
        <w:gridCol w:w="879"/>
        <w:gridCol w:w="1055"/>
        <w:gridCol w:w="1230"/>
      </w:tblGrid>
      <w:tr>
        <w:trPr>
          <w:cantSplit/>
          <w:tblHeader/>
        </w:trPr>
        <w:tc>
          <w:tcPr>
            <w:tcW w:type="pct" w:w="13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Note</w:t>
            </w:r>
          </w:p>
        </w:tc>
        <w:tc>
          <w:tcPr>
            <w:tcW w:type="pct" w:w="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Lessons</w:t>
            </w:r>
          </w:p>
        </w:tc>
        <w:tc>
          <w:tcPr>
            <w:tcW w:type="pct" w:w="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Checks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Body chars</w:t>
            </w:r>
          </w:p>
        </w:tc>
        <w:tc>
          <w:tcPr>
            <w:tcW w:type="pct" w:w="55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Focused s</w:t>
            </w:r>
          </w:p>
        </w:tc>
        <w:tc>
          <w:tcPr>
            <w:tcW w:type="pct" w:w="5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Wall s</w:t>
            </w:r>
          </w:p>
        </w:tc>
        <w:tc>
          <w:tcPr>
            <w:tcW w:type="pct" w:w="6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Warnings</w:t>
            </w:r>
          </w:p>
        </w:tc>
        <w:tc>
          <w:tcPr>
            <w:tcW w:type="pct" w:w="7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Worked example</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Three States of Matter</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4,876</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71</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71</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Diffusion &amp; Dilution</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3,150</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60</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60</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Solubility</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2,515</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78</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78</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arithmetic</w:t>
            </w:r>
          </w:p>
        </w:tc>
      </w:tr>
      <w:tr>
        <w:trPr>
          <w:cantSplit/>
        </w:trPr>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Solubility of a Solid</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3,308</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62</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62</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arithmetic</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Element, Compound or Mixture</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1,615</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31</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Pure Substance vs Mixture</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2,317</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35</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35</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arithmetic</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Separation Techniques</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6,829</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52</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52</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non-numeric</w:t>
            </w:r>
          </w:p>
        </w:tc>
      </w:tr>
      <w:tr>
        <w:trPr>
          <w:cantSplit/>
        </w:trPr>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Interpreting Chromatograms</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3,445</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29</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29</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arithmetic</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Practical: Paper Chromatography</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4,079</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r>
        <w:trPr>
          <w:cantSplit/>
        </w:trPr>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Atoms: Definitions &amp; Structure</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4,984</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fixture, arithmetic</w:t>
            </w:r>
          </w:p>
        </w:tc>
      </w:tr>
      <w:tr>
        <w:trPr>
          <w:cantSplit/>
        </w:trPr>
        <w:tc>
          <w:tcPr>
            <w:tcW w:type="pct" w:w="13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Calculate Relative Atomic Mass</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2,471</w:t>
            </w:r>
          </w:p>
        </w:tc>
        <w:tc>
          <w:tcPr>
            <w:tcW w:type="pct" w:w="55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5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7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ported, arithmetic</w:t>
            </w:r>
          </w:p>
        </w:tc>
      </w:tr>
      <w:tr>
        <w:trPr>
          <w:cantSplit/>
        </w:trPr>
        <w:tc>
          <w:tcPr>
            <w:tcW w:type="pct" w:w="13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Periodic Table: Basics</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2</w:t>
            </w:r>
          </w:p>
        </w:tc>
        <w:tc>
          <w:tcPr>
            <w:tcW w:type="pct" w:w="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10</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1,618</w:t>
            </w:r>
          </w:p>
        </w:tc>
        <w:tc>
          <w:tcPr>
            <w:tcW w:type="pct" w:w="55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5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0</w:t>
            </w:r>
          </w:p>
        </w:tc>
        <w:tc>
          <w:tcPr>
            <w:tcW w:type="pct" w:w="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 designed</w:t>
            </w:r>
          </w:p>
        </w:tc>
        <w:tc>
          <w:tcPr>
            <w:tcW w:type="pct" w:w="7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null (declared)</w:t>
            </w:r>
          </w:p>
        </w:tc>
      </w:tr>
    </w:tbl>
    <w:p>
      <w:pPr>
        <w:spacing w:after="120" w:line="312"/>
        <w:jc w:val="both"/>
      </w:pPr>
      <w:r>
        <w:rPr>
          <w:rFonts w:ascii="Times New Roman" w:eastAsia="SimSun" w:hAnsi="Times New Roman"/>
          <w:color w:val="000000"/>
          <w:sz w:val="24"/>
          <w:szCs w:val="24"/>
        </w:rPr>
        <w:t xml:space="preserve">The aggregate of record: 12 notes, 24 lessons, 137 key points, 86 glossary entries, 120 checks with 480 fully explained options and 360 named-misconception distractors; 41,207 characters of source authored at two lessons per note without exception. The receipts' focused total is 418 seconds, a nominal mean of 35 seconds per note and 0.0101 seconds per character, against the wave-1 instrumented basis of 283 seconds per note and 0.0697 seconds per character. The nominal phase share concentrates entirely in P8 (99.5 percent), which is the signature of the pre-write batch flow rather than a property of authoring: section 6 gives the event-log ground truth and section 7 records the absorption decision. No export was blocked from delivering a clean final state; five notes re-exported after schema or lint fixes and every re-export was idempotent.</w:t>
      </w:r>
    </w:p>
    <w:p>
      <w:pPr>
        <w:pStyle w:val="Heading1"/>
        <w:keepNext/>
        <w:spacing w:after="160" w:before="360" w:line="312"/>
      </w:pPr>
      <w:bookmarkStart w:name="_Toc5" w:id="5"/>
      <w:r>
        <w:rPr>
          <w:rFonts w:ascii="Times New Roman" w:eastAsia="SimSun" w:hAnsi="Times New Roman"/>
          <w:b/>
          <w:bCs/>
          <w:color w:val="15857A"/>
          <w:sz w:val="32"/>
          <w:szCs w:val="32"/>
        </w:rPr>
        <w:t xml:space="preserve">5. Quality of Record</w:t>
      </w:r>
      <w:bookmarkEnd w:id="5"/>
    </w:p>
    <w:p>
      <w:pPr>
        <w:spacing w:after="120" w:line="312"/>
        <w:jc w:val="both"/>
      </w:pPr>
      <w:r>
        <w:rPr>
          <w:rFonts w:ascii="Times New Roman" w:eastAsia="SimSun" w:hAnsi="Times New Roman"/>
          <w:color w:val="000000"/>
          <w:sz w:val="24"/>
          <w:szCs w:val="24"/>
        </w:rPr>
        <w:t xml:space="preserve">All twelve layer files validate against the guided-lesson/0.1 JSON Schema (draft-07, additionalProperties false throughout, so unknown fields fail closed), verified at export by ajv and re-verified by the round verifier after each round. All twelve pass the house-style lint with zero hard-fail violations: spec-point coverage is exact (every code of record referenced, no invented codes, every referenced code carrying its official content-pack text), every check keys exactly one correct option, all 480 options carry explanations, and all 360 distractors name the misconception they catch. The dual-gate export order held all wave: the schema gate and the lint gate both ran inside the export command, blocked exports persisted their event logs, and clean re-exports followed every fix.</w:t>
      </w:r>
    </w:p>
    <w:p>
      <w:pPr>
        <w:spacing w:after="120" w:line="312"/>
        <w:jc w:val="both"/>
      </w:pPr>
      <w:r>
        <w:rPr>
          <w:rFonts w:ascii="Times New Roman" w:eastAsia="SimSun" w:hAnsi="Times New Roman"/>
          <w:color w:val="000000"/>
          <w:sz w:val="24"/>
          <w:szCs w:val="24"/>
        </w:rPr>
        <w:t xml:space="preserve">The warning inventory of record is six designed declarations and nothing else: workedExample-null declarations on notes one, two, five, nine and twelve (each a source note carrying no worked example of any kind, where null is the of-record behaviour), and one no-arithmetic declaration on note seven, whose ported worked example is a qualitative technique-choice question rather than a calculation. This close-out also reconciles a narrative discrepancy: the round-by-round worklog tally from the sixth-note round onward read four designed warnings (notes five, seven, nine, twelve), dropping notes one and two, whose workedExample-null declarations were present in their receipts from first export; the wave's own first stage summary had counted them correctly. The receipts are authoritative and the aggregate receipt of record carries the corrected inventory of six; the round verifier's designed-or-none check passes on all twelve receipts either way, and no non-designed warning survived to export on any note.</w:t>
      </w:r>
    </w:p>
    <w:p>
      <w:pPr>
        <w:spacing w:after="120" w:line="312"/>
        <w:jc w:val="both"/>
      </w:pPr>
      <w:r>
        <w:rPr>
          <w:rFonts w:ascii="Times New Roman" w:eastAsia="SimSun" w:hAnsi="Times New Roman"/>
          <w:color w:val="000000"/>
          <w:sz w:val="24"/>
          <w:szCs w:val="24"/>
        </w:rPr>
        <w:t xml:space="preserve">Content discipline held across all eight genres. Source-fidelity runs stayed inside the eight-word limit after in-flight fixes (three eleven-to-twelve-word runs on note two, one nine-word run in note seven's key points, one verbatim shell phrase in the calibration fixture); template uniformity was rebalanced wherever a depth-layer pair exceeded the thirty-percent rule (notes four, six and twelve, the last requiring a within-lesson-scope fix after a first attempt wrongly pulled lesson-two material into lesson one); the plain-words register scan was satisfied by glossing rather than weakening (filtration and evaporation glossed on note five, the term separation glossed on note eight to keep its primer's citation of the prerequisite subtopic intact); and the glossary cap of eight was respected after note seven's first export was blocked on a ten-entry glossary and trimmed. British spelling and the no-exclamation house rule are respected throughout.</w:t>
      </w:r>
    </w:p>
    <w:p>
      <w:pPr>
        <w:spacing w:after="120" w:line="312"/>
        <w:jc w:val="both"/>
      </w:pPr>
      <w:r>
        <w:rPr>
          <w:rFonts w:ascii="Times New Roman" w:eastAsia="SimSun" w:hAnsi="Times New Roman"/>
          <w:color w:val="000000"/>
          <w:sz w:val="24"/>
          <w:szCs w:val="24"/>
        </w:rPr>
        <w:t xml:space="preserve">The arithmetic-verification rule evaluated all six numeric worked examples of the wave, and every final answer traces to stated steps: note three's solubility chain (68 multiplied by 20 over 100 giving 13.6, then 118 minus 64 giving 54 and 2 times 54 giving 108 grams), note four's mass-by-difference chain (74.50 minus 25.00, 37.00 minus 25.00, the subtraction to 37.50, and both percentage results), note six's melting-point depression (113 minus 100 giving 13), note eight's Rf ratio (3 over 6 giving 0.5), note ten's neutron count (63 minus 29 giving 34), and note eleven's rubidium weighted average. Two scanner-handling decisions of record were required: note eight formulates the Rf step as “Rf value: 3 / 6 = 0.5” so the lint scanner latches a numeric left-hand side rather than crashing on the Rf symbol, and note eleven formulates the weighted average stepwise (72 times 85 plus 28 times 87 giving 8556, then 8556 over 100 giving 85.56, then the rounded 85.6 in a stated step) because the flat one-line form mis-evaluates under operator precedence to 6144.36, a hard fail; the stepwise form is the of-record pattern for future multi-term weighted averages.</w:t>
      </w:r>
    </w:p>
    <w:p>
      <w:pPr>
        <w:pStyle w:val="Heading1"/>
        <w:keepNext/>
        <w:spacing w:after="160" w:before="360" w:line="312"/>
      </w:pPr>
      <w:bookmarkStart w:name="_Toc6" w:id="6"/>
      <w:r>
        <w:rPr>
          <w:rFonts w:ascii="Times New Roman" w:eastAsia="SimSun" w:hAnsi="Times New Roman"/>
          <w:b/>
          <w:bCs/>
          <w:color w:val="15857A"/>
          <w:sz w:val="32"/>
          <w:szCs w:val="32"/>
        </w:rPr>
        <w:t xml:space="preserve">6. Measurement Integrity and Flow Variation</w:t>
      </w:r>
      <w:bookmarkEnd w:id="6"/>
    </w:p>
    <w:p>
      <w:pPr>
        <w:spacing w:after="120" w:line="312"/>
        <w:jc w:val="both"/>
      </w:pPr>
      <w:r>
        <w:rPr>
          <w:rFonts w:ascii="Times New Roman" w:eastAsia="SimSun" w:hAnsi="Times New Roman"/>
          <w:color w:val="000000"/>
          <w:sz w:val="24"/>
          <w:szCs w:val="24"/>
        </w:rPr>
        <w:t xml:space="preserve">The wave's central measurement finding, established from the twelve persisted event logs at millisecond resolution, is that all layer authoring sat outside the instrumented chain for the entire wave. The P0 through P7 phase closures completed in 191 to 222 milliseconds per note (191 was the minimum, 222 the maximum, across all twelve logs), which is only possible when the layer files are written into working copies before the chain fires; the chain commands then close each phase as a flag transition, and every measured second concentrates in the P8 export window. On notes one through eight that window ran 28.6 to 77.4 seconds, carrying the schema validation, lint evaluation, write, and the in-flight fix and re-export cycles of the five blocked first exports; on notes nine through twelve it ran 23 to 26 milliseconds because the fully batched chains exported in a single pass. This is the exact mechanism behind the flow variation that was disclosed round by round as the wave progressed.</w:t>
      </w:r>
    </w:p>
    <w:p>
      <w:pPr>
        <w:spacing w:after="120" w:line="312"/>
        <w:jc w:val="both"/>
      </w:pPr>
      <w:r>
        <w:rPr>
          <w:rFonts w:ascii="Times New Roman" w:eastAsia="SimSun" w:hAnsi="Times New Roman"/>
          <w:color w:val="000000"/>
          <w:sz w:val="24"/>
          <w:szCs w:val="24"/>
        </w:rPr>
        <w:t xml:space="preserve">The event-log ground truth also refines the round-by-round narrative, and the refinement is recorded of record. The worklog had characterised notes one through eight as sequential rounds (focused 29 to 78 seconds) and notes nine through twelve as batch rounds (focused zero), implying two different flows; the logs show both groups were pre-write batch chains, and the difference is solely that the earlier notes carried heavy P8 windows while the later notes exported single-pass. The receipts themselves are honest throughout: they record exactly what the clocks observed, the comparability caveat was disclosed in the worklog from the fifth-note round onward, and no figure anywhere in the wave's records mis-states what happened. What changes at this close-out is the interpretation layer, which section 7 fixes of record.</w:t>
      </w:r>
    </w:p>
    <w:p>
      <w:pPr>
        <w:spacing w:after="120" w:line="312"/>
        <w:jc w:val="both"/>
      </w:pPr>
      <w:r>
        <w:rPr>
          <w:rFonts w:ascii="Times New Roman" w:eastAsia="SimSun" w:hAnsi="Times New Roman"/>
          <w:color w:val="000000"/>
          <w:sz w:val="24"/>
          <w:szCs w:val="24"/>
        </w:rPr>
        <w:t xml:space="preserve">The integrity machinery added in wave-1 held without defect across the wave and accumulated further live proof. The harness patch that persists the event log at mutation time and keeps re-exports from re-closing phases survived its fifth and sixth consecutive production rounds: five notes (one, two, four, five and seven) hit a blocked first export, every blocked path persisted its log as designed, and every re-export ran provably idempotent, with exactly one P8 phase-end per note across all twelve logs, a property the aggregate receipt asserts mechanically before minting. The chain-order discipline held natively: all twelve receipts carry assistedPhases of exactly P1 through P7, the pause log is empty everywhere, and the two rounds that executed their chains inside single shell invocations disclosed the resulting zero clocks in the same round rather than after it.</w:t>
      </w:r>
    </w:p>
    <w:p>
      <w:pPr>
        <w:spacing w:after="120" w:line="312"/>
        <w:jc w:val="both"/>
      </w:pPr>
      <w:r>
        <w:rPr>
          <w:rFonts w:ascii="Times New Roman" w:eastAsia="SimSun" w:hAnsi="Times New Roman"/>
          <w:color w:val="000000"/>
          <w:sz w:val="24"/>
          <w:szCs w:val="24"/>
        </w:rPr>
        <w:t xml:space="preserve">One narrative tally correction completes the integrity record. The round-by-round running tally of designed warnings drifted from the receipts: the rounds through note six counted one designed warning, then two, three and four at successive stage summaries, dropping notes one and two from the count after their own round had counted them correctly, while notes five, seven, nine and twelve remained counted. The receipts always carried the truth (a workedExample-null declaration on each of notes one, two, five, nine and twelve plus the no-arithmetic declaration on note seven), and the aggregate receipt reconciles the inventory to six designed lines with the reconciliation trail stated. The lesson for the discipline is the same one wave-1's integrity pass taught: the receipts are the record of account, and narrative tallies are conveniences that must yield to them.</w:t>
      </w:r>
    </w:p>
    <w:p>
      <w:pPr>
        <w:pStyle w:val="Heading1"/>
        <w:keepNext/>
        <w:spacing w:after="160" w:before="360" w:line="312"/>
      </w:pPr>
      <w:bookmarkStart w:name="_Toc7" w:id="7"/>
      <w:r>
        <w:rPr>
          <w:rFonts w:ascii="Times New Roman" w:eastAsia="SimSun" w:hAnsi="Times New Roman"/>
          <w:b/>
          <w:bCs/>
          <w:color w:val="15857A"/>
          <w:sz w:val="32"/>
          <w:szCs w:val="32"/>
        </w:rPr>
        <w:t xml:space="preserve">7. Recalibration Checkpoint of Record</w:t>
      </w:r>
      <w:bookmarkEnd w:id="7"/>
    </w:p>
    <w:p>
      <w:pPr>
        <w:spacing w:after="120" w:line="312"/>
        <w:jc w:val="both"/>
      </w:pPr>
      <w:r>
        <w:rPr>
          <w:rFonts w:ascii="Times New Roman" w:eastAsia="SimSun" w:hAnsi="Times New Roman"/>
          <w:color w:val="000000"/>
          <w:sz w:val="24"/>
          <w:szCs w:val="24"/>
        </w:rPr>
        <w:t xml:space="preserve">The pacing file's recalibration clause requires that at each wave receipt the lane recompute the mean seconds per note, seconds per character and phase shares from that wave's receipts, restate the estimators, and disclose any drift before the next wave opens. Recomputed from the twelve wave-2 receipts: mean 35 seconds per note, 0.0101 seconds per character, 17.4 seconds per lesson, nominal phase share 99.5 percent in P8 and zero elsewhere. Recomputed from the event logs: P0 through P7 totals of 191 to 222 milliseconds per note and P8 windows of 28.6 to 77.4 seconds (notes one to eight) or 23 to 26 milliseconds (notes nine to twelve). Recomputed against the wave-1 basis: the nominal wave-2 mean is 8.1 times below wave-1's 283 seconds per note, and the seconds-per-character figure is almost seven times below wave-1's 0.0697.</w:t>
      </w:r>
    </w:p>
    <w:p>
      <w:pPr>
        <w:spacing w:after="120" w:line="312"/>
        <w:jc w:val="both"/>
      </w:pPr>
      <w:r>
        <w:rPr>
          <w:rFonts w:ascii="Times New Roman" w:eastAsia="SimSun" w:hAnsi="Times New Roman"/>
          <w:color w:val="000000"/>
          <w:sz w:val="24"/>
          <w:szCs w:val="24"/>
        </w:rPr>
        <w:t xml:space="preserve">The drift is structural, not behavioural, and the checkpoint records the mechanism rather than burying it: wave-1 clocked authoring inside the phases (its receipts show P0 at 31.2 percent and P7 at 26.3 percent of the focused total), while wave-2's authoring sat outside the chain under the batch flow, leaving its clocks to measure chain execution alone. Neither number is a human rate. The decision of record, taken in the aggregate receipt and restated here, has four parts. First, the planning estimator of record remains the wave-1 instrumented basis (283 seconds per note, 0.0697 seconds per character, wave-1 phase shares); wave-2's receipts are reclassified of record as export-gate telemetry, retained because they still prove schema verdicts, lint state, chain-order discipline, idempotence and wall spans, but not used to restate the pacing estimators. Second, re-timing a paced round is declined: under the batch authoring posture a re-timed round would still measure the chain window, producing another non-comparable number; instrumented measurement comparable to wave-1 reopens only if authoring returns inside the P0 through P8 chain, which is an authoring-posture choice rather than a measurement fix. Third, receipts continue on every future wave regardless, each carrying its own event-log ground-truth block, and focused tallies are never compared across waves with different authoring placement. Fourth, the corpus-wide exposure arithmetic is unchanged: the 28, 56 and 93 author-day bands remain the only planning figures, and the 0.2-hours-per-topic floor remains never quotable as a human rate.</w:t>
      </w:r>
    </w:p>
    <w:p>
      <w:pPr>
        <w:spacing w:after="120" w:line="312"/>
        <w:jc w:val="both"/>
      </w:pPr>
      <w:r>
        <w:rPr>
          <w:rFonts w:ascii="Times New Roman" w:eastAsia="SimSun" w:hAnsi="Times New Roman"/>
          <w:color w:val="000000"/>
          <w:sz w:val="24"/>
          <w:szCs w:val="24"/>
        </w:rPr>
        <w:t xml:space="preserve">The checkpoint closes with the comparability rule that future wave reports inherit: a focused total means the time the instrument observed, and the instrument only observes what the chain encloses. Any wave that changes authoring placement changes what its focused total means, so each wave receipt states its own ground truth and the estimator basis in force, and cross-wave comparisons of focused time are valid only between waves with the same placement declared. Wave-2's receipt states the batch placement and the wave-1 estimator basis together, which is the pairing future readers should trust.</w:t>
      </w:r>
    </w:p>
    <w:p>
      <w:pPr>
        <w:pStyle w:val="Heading1"/>
        <w:keepNext/>
        <w:spacing w:after="160" w:before="360" w:line="312"/>
      </w:pPr>
      <w:bookmarkStart w:name="_Toc8" w:id="8"/>
      <w:r>
        <w:rPr>
          <w:rFonts w:ascii="Times New Roman" w:eastAsia="SimSun" w:hAnsi="Times New Roman"/>
          <w:b/>
          <w:bCs/>
          <w:color w:val="15857A"/>
          <w:sz w:val="32"/>
          <w:szCs w:val="32"/>
        </w:rPr>
        <w:t xml:space="preserve">8. Interpretation and Progress</w:t>
      </w:r>
      <w:bookmarkEnd w:id="8"/>
    </w:p>
    <w:p>
      <w:pPr>
        <w:spacing w:after="120" w:line="312"/>
        <w:jc w:val="both"/>
      </w:pPr>
      <w:r>
        <w:rPr>
          <w:rFonts w:ascii="Times New Roman" w:eastAsia="SimSun" w:hAnsi="Times New Roman"/>
          <w:color w:val="000000"/>
          <w:sz w:val="24"/>
          <w:szCs w:val="24"/>
        </w:rPr>
        <w:t xml:space="preserve">The programme stands at 22 of 112 notes authored, 19.6 percent of the corpus, with the remaining 90 notes staged in the pacing file's wave-3 through wave-10 registers. Wave-2 completed the States of Matter and Elements, Compounds and Mixtures subtopics outright, opened Atomic Structure (including the calibration note's production debut as an authoring seed) and reached the first note of The Periodic Table; wave-3 continues inside the same topic with twelve further notes led by Electronic Configurations. The format carried the load without strain: guided-lesson/0.1 expressed every genre in the register, including the five-technique procedural note, two practical notes, a three-spec-point note and a weighted-average calculation note, with no schema extension anywhere in the wave, which is the second consecutive wave of evidence that the v0.1 format holds.</w:t>
      </w:r>
    </w:p>
    <w:p>
      <w:pPr>
        <w:spacing w:after="120" w:line="312"/>
        <w:jc w:val="both"/>
      </w:pPr>
      <w:r>
        <w:rPr>
          <w:rFonts w:ascii="Times New Roman" w:eastAsia="SimSun" w:hAnsi="Times New Roman"/>
          <w:color w:val="000000"/>
          <w:sz w:val="24"/>
          <w:szCs w:val="24"/>
        </w:rPr>
        <w:t xml:space="preserve">The quality pipeline also demonstrated its gate behaviour in production rather than in test. Five of twelve first exports were blocked (three on schema violations: source-heading count, glossary cap; two on lint outcomes caught at the gate), and in every case the blocked export left a persisted log, the fix was made, and the re-export ran clean and idempotent. The remaining seven notes exported first-pass clean after pre-flight lint catches were fixed before the export attempt. This is the intended shape of the dual gate: nothing dirty reaches the deliverable directory, and every correction is visible in the event log rather than hidden in a rewritten file.</w:t>
      </w:r>
    </w:p>
    <w:p>
      <w:pPr>
        <w:spacing w:after="120" w:line="312"/>
        <w:jc w:val="both"/>
      </w:pPr>
      <w:r>
        <w:rPr>
          <w:rFonts w:ascii="Times New Roman" w:eastAsia="SimSun" w:hAnsi="Times New Roman"/>
          <w:color w:val="000000"/>
          <w:sz w:val="24"/>
          <w:szCs w:val="24"/>
        </w:rPr>
        <w:t xml:space="preserve">For the operator's dashboard of record: 22 notes, 46 lessons, 240 checks and 253 key points now exist across the two completed waves, every lesson carrying the write-once confidence-gate contract, two depth layers and the check battery, which gives the editor SPA and any future consumer a substantial calibration surface spanning every genre the corpus has offered so far. The planned-authoring frontier is unchanged in kind: the remaining 90 notes span the same genres at the same format, and the wave-3 register is ready in the pacing file.</w:t>
      </w:r>
    </w:p>
    <w:p>
      <w:pPr>
        <w:pStyle w:val="Heading1"/>
        <w:keepNext/>
        <w:spacing w:after="160" w:before="360" w:line="312"/>
      </w:pPr>
      <w:bookmarkStart w:name="_Toc9" w:id="9"/>
      <w:r>
        <w:rPr>
          <w:rFonts w:ascii="Times New Roman" w:eastAsia="SimSun" w:hAnsi="Times New Roman"/>
          <w:b/>
          <w:bCs/>
          <w:color w:val="15857A"/>
          <w:sz w:val="32"/>
          <w:szCs w:val="32"/>
        </w:rPr>
        <w:t xml:space="preserve">9. Artifacts of Record</w:t>
      </w:r>
      <w:bookmarkEnd w:id="9"/>
    </w:p>
    <w:p>
      <w:pPr>
        <w:spacing w:after="120" w:line="312"/>
        <w:jc w:val="both"/>
      </w:pPr>
      <w:r>
        <w:rPr>
          <w:rFonts w:ascii="Times New Roman" w:eastAsia="SimSun" w:hAnsi="Times New Roman"/>
          <w:color w:val="000000"/>
          <w:sz w:val="24"/>
          <w:szCs w:val="24"/>
        </w:rPr>
        <w:t xml:space="preserve">All wave deliverables of record are filed in the download directory; working state lives outside it and is reproducible from the scripts. Table 3 maps the artifact tree as it stands at wave close.</w:t>
      </w:r>
    </w:p>
    <w:p>
      <w:pPr>
        <w:keepNext/>
        <w:spacing w:after="80" w:before="200" w:line="312"/>
      </w:pPr>
      <w:r>
        <w:rPr>
          <w:rFonts w:ascii="Times New Roman" w:eastAsia="SimSun" w:hAnsi="Times New Roman"/>
          <w:b/>
          <w:bCs/>
          <w:color w:val="404040"/>
          <w:sz w:val="21"/>
          <w:szCs w:val="21"/>
        </w:rPr>
        <w:t xml:space="preserve">Table 3: Artifact map of record, wave-2</w:t>
      </w:r>
    </w:p>
    <w:tbl>
      <w:tblPr>
        <w:tblW w:type="pct" w:w="5000"/>
        <w:tblBorders>
          <w:top w:val="single" w:color="15857A" w:sz="4"/>
          <w:left w:val="none" w:color="FFFFFF" w:sz="0"/>
          <w:bottom w:val="single" w:color="15857A" w:sz="4"/>
          <w:right w:val="none" w:color="FFFFFF" w:sz="0"/>
          <w:insideH w:val="single" w:color="D5D0C8" w:sz="1"/>
          <w:insideV w:val="none" w:color="FFFFFF" w:sz="0"/>
        </w:tblBorders>
      </w:tblPr>
      <w:tblGrid>
        <w:gridCol w:w="2812"/>
        <w:gridCol w:w="5976"/>
      </w:tblGrid>
      <w:tr>
        <w:trPr>
          <w:cantSplit/>
          <w:tblHeader/>
        </w:trPr>
        <w:tc>
          <w:tcPr>
            <w:tcW w:type="pct" w:w="16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Location</w:t>
            </w:r>
          </w:p>
        </w:tc>
        <w:tc>
          <w:tcPr>
            <w:tcW w:type="pct" w:w="3400"/>
            <w:shd w:fill="15857A" w:val="clear"/>
            <w:tcMar>
              <w:top w:type="dxa" w:w="60"/>
              <w:left w:type="dxa" w:w="120"/>
              <w:bottom w:type="dxa" w:w="60"/>
              <w:right w:type="dxa" w:w="120"/>
            </w:tcMar>
          </w:tcPr>
          <w:p>
            <w:pPr>
              <w:spacing w:line="276"/>
              <w:jc w:val="left"/>
            </w:pPr>
            <w:r>
              <w:rPr>
                <w:rFonts w:ascii="Times New Roman" w:eastAsia="SimSun" w:hAnsi="Times New Roman"/>
                <w:b/>
                <w:bCs/>
                <w:color w:val="FFFFFF"/>
                <w:sz w:val="20"/>
                <w:szCs w:val="20"/>
              </w:rPr>
              <w:t xml:space="preserve">Contents</w:t>
            </w:r>
          </w:p>
        </w:tc>
      </w:tr>
      <w:tr>
        <w:trPr>
          <w:cantSplit/>
        </w:trPr>
        <w:tc>
          <w:tcPr>
            <w:tcW w:type="pct" w:w="1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download/wave2/</w:t>
            </w:r>
          </w:p>
        </w:tc>
        <w:tc>
          <w:tcPr>
            <w:tcW w:type="pct" w:w="3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12 layer files guided-lesson-&lt;noteId&gt;.json + 12 timing receipts timing-receipt-&lt;noteId&gt;.json + the aggregate wave2-receipt.json (minted at this close-out, with the recalibration block and event-log ground truth)</w:t>
            </w:r>
          </w:p>
        </w:tc>
      </w:tr>
      <w:tr>
        <w:trPr>
          <w:cantSplit/>
        </w:trPr>
        <w:tc>
          <w:tcPr>
            <w:tcW w:type="pct" w:w="1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download/Wave-2-Authoring-Wave-Report-20261025.docx</w:t>
            </w:r>
          </w:p>
        </w:tc>
        <w:tc>
          <w:tcPr>
            <w:tcW w:type="pct" w:w="3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This report, the covering document of record for the wave</w:t>
            </w:r>
          </w:p>
        </w:tc>
      </w:tr>
      <w:tr>
        <w:trPr>
          <w:cantSplit/>
        </w:trPr>
        <w:tc>
          <w:tcPr>
            <w:tcW w:type="pct" w:w="1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download/wave-pacing-open-20261024.json</w:t>
            </w:r>
          </w:p>
        </w:tc>
        <w:tc>
          <w:tcPr>
            <w:tcW w:type="pct" w:w="3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The pacing file of record: OPEN-posture schedule for the remaining 102 notes, pacing principles including the recalibration clause, and the wave-2 through wave-10 registers</w:t>
            </w:r>
          </w:p>
        </w:tc>
      </w:tr>
      <w:tr>
        <w:trPr>
          <w:cantSplit/>
        </w:trPr>
        <w:tc>
          <w:tcPr>
            <w:tcW w:type="pct" w:w="1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scripts/</w:t>
            </w:r>
          </w:p>
        </w:tc>
        <w:tc>
          <w:tcPr>
            <w:tcW w:type="pct" w:w="3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Toolchain additions of this wave: wave2-round-verify.js (per-round verification, updated in place each round), wave2-wave-receipt.js (aggregate receipt builder with mechanical asserts), and this report's generator; the wave-1 toolchain (schema, a1-lint.js, wave1-run.js) is unchanged and carried the wave</w:t>
            </w:r>
          </w:p>
        </w:tc>
      </w:tr>
      <w:tr>
        <w:trPr>
          <w:cantSplit/>
        </w:trPr>
        <w:tc>
          <w:tcPr>
            <w:tcW w:type="pct" w:w="16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.tmp/wave2/</w:t>
            </w:r>
          </w:p>
        </w:tc>
        <w:tc>
          <w:tcPr>
            <w:tcW w:type="pct" w:w="3400"/>
            <w:shd w:fill="FFFFFF"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Working state: 12 persisted event logs runs/&lt;noteId&gt;.events.json (the flow-variation evidence), layer working copies, two body extracts</w:t>
            </w:r>
          </w:p>
        </w:tc>
      </w:tr>
      <w:tr>
        <w:trPr>
          <w:cantSplit/>
        </w:trPr>
        <w:tc>
          <w:tcPr>
            <w:tcW w:type="pct" w:w="16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worklog.md</w:t>
            </w:r>
          </w:p>
        </w:tc>
        <w:tc>
          <w:tcPr>
            <w:tcW w:type="pct" w:w="3400"/>
            <w:shd w:fill="F0EDE5" w:val="clear"/>
            <w:tcMar>
              <w:top w:type="dxa" w:w="60"/>
              <w:left w:type="dxa" w:w="120"/>
              <w:bottom w:type="dxa" w:w="60"/>
              <w:right w:type="dxa" w:w="120"/>
            </w:tcMar>
          </w:tcPr>
          <w:p>
            <w:pPr>
              <w:spacing w:line="276"/>
              <w:jc w:val="left"/>
            </w:pPr>
            <w:r>
              <w:rPr>
                <w:rFonts w:ascii="Times New Roman" w:eastAsia="SimSun" w:hAnsi="Times New Roman"/>
                <w:b w:val="false"/>
                <w:bCs w:val="false"/>
                <w:color w:val="000000"/>
                <w:sz w:val="20"/>
                <w:szCs w:val="20"/>
              </w:rPr>
              <w:t xml:space="preserve">Round-by-round narrative of record for all six rounds of the wave, including the flow-variation disclosures and the warning-tally trail reconciled in section 5</w:t>
            </w:r>
          </w:p>
        </w:tc>
      </w:tr>
    </w:tbl>
    <w:p>
      <w:pPr>
        <w:spacing w:after="120" w:line="312"/>
        <w:jc w:val="both"/>
      </w:pPr>
      <w:r>
        <w:rPr>
          <w:rFonts w:ascii="Times New Roman" w:eastAsia="SimSun" w:hAnsi="Times New Roman"/>
          <w:color w:val="000000"/>
          <w:sz w:val="24"/>
          <w:szCs w:val="24"/>
        </w:rPr>
        <w:t xml:space="preserve">The database of record remains untouched for this lane: wave-2 made zero database contact, running entirely off the pinned snapshot, whose file-level SHA-256 was recomputed and matched at every round and again at this close-out (e23e2ab7 through 487d). The snapshot manifest remains the drift detector that would void reuse of authored layers were the corpus ever to move; it observed no drift across the wave.</w:t>
      </w:r>
    </w:p>
    <w:p>
      <w:pPr>
        <w:pStyle w:val="Heading1"/>
        <w:keepNext/>
        <w:spacing w:after="160" w:before="360" w:line="312"/>
      </w:pPr>
      <w:bookmarkStart w:name="_Toc10" w:id="10"/>
      <w:r>
        <w:rPr>
          <w:rFonts w:ascii="Times New Roman" w:eastAsia="SimSun" w:hAnsi="Times New Roman"/>
          <w:b/>
          <w:bCs/>
          <w:color w:val="15857A"/>
          <w:sz w:val="32"/>
          <w:szCs w:val="32"/>
        </w:rPr>
        <w:t xml:space="preserve">10. Next Steps of Record</w:t>
      </w:r>
      <w:bookmarkEnd w:id="10"/>
    </w:p>
    <w:p>
      <w:pPr>
        <w:spacing w:after="120" w:line="312"/>
        <w:jc w:val="both"/>
      </w:pPr>
      <w:r>
        <w:rPr>
          <w:rFonts w:ascii="Times New Roman" w:eastAsia="SimSun" w:hAnsi="Times New Roman"/>
          <w:color w:val="000000"/>
          <w:sz w:val="24"/>
          <w:szCs w:val="24"/>
        </w:rPr>
        <w:t xml:space="preserve">Three items carry forward. First, wave-3: twelve notes of the Principles of Chemistry topic (register led by Electronic Configurations, Electronic Configuration and Reactivity, and the reacting-mass and percentage-yield calculation notes), opening on the next operator go under the identical discipline: snapshot pin re-verified before any authoring, ajv reinstalled if the recycle pattern recurs, per-note receipts and persisted event logs, round verification updated in place, and a wave receipt plus recalibration checkpoint at twelve of twelve. The register's calculation-heavy tail will exercise the arithmetic scanner on multi-term stoichiometry, where the note-eleven stepwise pattern and the note-eight numeric-lhs pattern are the of-record formulations to reuse. Second, the measurement posture decided at this checkpoint stands until changed: receipts as export-gate telemetry, estimator basis frozen at wave-1, no re-timing, and instrumented measurement reopening only if authoring returns inside the chain. Third, the records push and deferred designs remain as wave-1 left them: deliverables file to the research band when a records window next opens, and learner-side metering stays deferred per the OPEN brief.</w:t>
      </w:r>
    </w:p>
    <w:p>
      <w:pPr>
        <w:spacing w:after="120" w:line="312"/>
        <w:jc w:val="both"/>
      </w:pPr>
      <w:r>
        <w:rPr>
          <w:rFonts w:ascii="Times New Roman" w:eastAsia="SimSun" w:hAnsi="Times New Roman"/>
          <w:color w:val="000000"/>
          <w:sz w:val="24"/>
          <w:szCs w:val="24"/>
        </w:rPr>
        <w:t xml:space="preserve">Within the lane's standing constraints, nothing in this report requires operator ignition beyond the go that opens wave-3: all items are lane-local authoring, tooling or scheduling work. The operator-gated classes (ignition, secrets, serving-path changes) remain closed and unconsumed.</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808080"/>
        <w:sz w:val="18"/>
        <w:szCs w:val="18"/>
      </w:rPr>
      <w:fldChar w:fldCharType="begin"/>
    </w:r>
    <w:r>
      <w:rPr>
        <w:rFonts w:ascii="Times New Roman" w:eastAsia="SimSun" w:hAnsi="Times New Roman"/>
        <w:color w:val="808080"/>
        <w:sz w:val="18"/>
        <w:szCs w:val="18"/>
      </w:rPr>
      <w:instrText xml:space="preserve">PAGE</w:instrText>
    </w:r>
    <w:r>
      <w:rPr>
        <w:rFonts w:ascii="Times New Roman" w:eastAsia="SimSun" w:hAnsi="Times New Roman"/>
        <w:color w:val="808080"/>
        <w:sz w:val="18"/>
        <w:szCs w:val="18"/>
      </w:rPr>
      <w:fldChar w:fldCharType="separate"/>
    </w:r>
    <w:r>
      <w:rPr>
        <w:rFonts w:ascii="Times New Roman" w:eastAsia="SimSun" w:hAnsi="Times New Roman"/>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eastAsia="SimSun" w:hAnsi="Times New Roman"/>
        <w:color w:val="808080"/>
        <w:sz w:val="18"/>
        <w:szCs w:val="18"/>
      </w:rPr>
      <w:t xml:space="preserve">Wave-2 Authoring Wave Report - Guided Learning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hAnsi="Times New Roman"/>
      <w:b/>
      <w:bCs/>
      <w:color w:val="15857A"/>
      <w:sz w:val="32"/>
      <w:szCs w:val="32"/>
    </w:rPr>
  </w:style>
  <w:style w:type="paragraph" w:styleId="Heading2">
    <w:name w:val="Heading 2"/>
    <w:basedOn w:val="Normal"/>
    <w:next w:val="Normal"/>
    <w:qFormat/>
    <w:pPr>
      <w:spacing w:after="120" w:before="240" w:line="312"/>
      <w:outlineLvl w:val="1"/>
    </w:pPr>
    <w:rPr>
      <w:rFonts w:ascii="Times New Roman" w:eastAsia="SimSun" w:hAnsi="Times New Roman"/>
      <w:b/>
      <w:bCs/>
      <w:color w:val="15857A"/>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Wave-2 Authoring Wave Report</dc:title>
  <dc:creator>SyllabAI product engineering (lane r1c)</dc:creator>
  <cp:lastModifiedBy>Un-named</cp:lastModifiedBy>
  <cp:revision>1</cp:revision>
  <dcterms:created xsi:type="dcterms:W3CDTF">2026-10-24T16:18:35.982Z</dcterms:created>
  <dcterms:modified xsi:type="dcterms:W3CDTF">2026-10-24T16:18:35.982Z</dcterms:modified>
</cp:coreProperties>
</file>

<file path=docProps/custom.xml><?xml version="1.0" encoding="utf-8"?>
<Properties xmlns="http://schemas.openxmlformats.org/officeDocument/2006/custom-properties" xmlns:vt="http://schemas.openxmlformats.org/officeDocument/2006/docPropsVTypes"/>
</file>