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4F1E9" w:val="clear"/>
            <w:vAlign w:val="top"/>
          </w:tcPr>
          <w:p>
            <w:pPr>
              <w:spacing w:before="3944"/>
            </w:pPr>
          </w:p>
          <w:p>
            <w:pPr>
              <w:pBdr>
                <w:bottom w:val="single" w:color="FF6A3B" w:sz="6" w:space="8"/>
              </w:pBdr>
              <w:spacing w:after="500"/>
              <w:ind w:left="1200" w:right="800"/>
            </w:pPr>
            <w:r>
              <w:rPr>
                <w:color w:val="FF6A3B"/>
                <w:sz w:val="18"/>
                <w:szCs w:val="18"/>
                <w:rFonts w:ascii="Calibri" w:eastAsia="SimHei"/>
                <w:spacing w:val="40"/>
              </w:rPr>
              <w:t xml:space="preserve">W  A  V  E     R  E  P  O  R  T</w:t>
            </w:r>
          </w:p>
          <w:p>
            <w:pPr>
              <w:spacing w:after="100" w:line="920" w:lineRule="atLeast"/>
              <w:ind w:left="1200"/>
            </w:pPr>
            <w:r>
              <w:rPr>
                <w:b/>
                <w:bCs/>
                <w:color w:val="15857A"/>
                <w:sz w:val="80"/>
                <w:szCs w:val="80"/>
                <w:rFonts w:eastAsia="SimHei" w:ascii="Arial"/>
              </w:rPr>
              <w:t xml:space="preserve">Wave-3 Authoring</w:t>
            </w:r>
          </w:p>
          <w:p>
            <w:pPr>
              <w:spacing w:after="300" w:line="920" w:lineRule="atLeast"/>
              <w:ind w:left="1200"/>
            </w:pPr>
            <w:r>
              <w:rPr>
                <w:b/>
                <w:bCs/>
                <w:color w:val="15857A"/>
                <w:sz w:val="80"/>
                <w:szCs w:val="80"/>
                <w:rFonts w:eastAsia="SimHei" w:ascii="Arial"/>
              </w:rPr>
              <w:t xml:space="preserve">Wave Report</w:t>
            </w:r>
          </w:p>
          <w:p>
            <w:pPr>
              <w:spacing w:after="800"/>
              <w:ind w:left="1200" w:right="800"/>
            </w:pPr>
            <w:r>
              <w:rPr>
                <w:color w:val="606060"/>
                <w:sz w:val="24"/>
                <w:szCs w:val="24"/>
                <w:rFonts w:eastAsia="Microsoft YaHei" w:ascii="Arial"/>
              </w:rPr>
              <w:t xml:space="preserve">The third authoring wave of record: the calculation core of Principles of Chemistry, the first all-zero focused total, the P0-flag repair of record, and the recalibration reaffirmation</w:t>
            </w:r>
          </w:p>
          <w:p>
            <w:pPr>
              <w:pBdr>
                <w:left w:val="single" w:color="FF6A3B" w:sz="8" w:space="12"/>
              </w:pBdr>
              <w:spacing w:after="80"/>
              <w:ind w:left="1400"/>
            </w:pPr>
            <w:r>
              <w:rPr>
                <w:color w:val="707070"/>
                <w:sz w:val="24"/>
                <w:szCs w:val="24"/>
                <w:rFonts w:eastAsia="Microsoft YaHei" w:ascii="Arial"/>
              </w:rPr>
              <w:t xml:space="preserve">Wave of record: wave-3, topic T1 Principles of Chemistry, complete 2026-10-25 - 12/12 register notes exported clean</w:t>
            </w:r>
          </w:p>
          <w:p>
            <w:pPr>
              <w:pBdr>
                <w:left w:val="single" w:color="FF6A3B" w:sz="8" w:space="12"/>
              </w:pBdr>
              <w:spacing w:after="80"/>
              <w:ind w:left="1400"/>
            </w:pPr>
            <w:r>
              <w:rPr>
                <w:color w:val="707070"/>
                <w:sz w:val="24"/>
                <w:szCs w:val="24"/>
                <w:rFonts w:eastAsia="Microsoft YaHei" w:ascii="Arial"/>
              </w:rPr>
              <w:t xml:space="preserve">Posture of record: OPEN, build it fully (operator trace 1a1683ec43a016a9); paced by wave-pacing-open/0.1</w:t>
            </w:r>
          </w:p>
          <w:p>
            <w:pPr>
              <w:pBdr>
                <w:left w:val="single" w:color="FF6A3B" w:sz="8" w:space="12"/>
              </w:pBdr>
              <w:spacing w:after="80"/>
              <w:ind w:left="1400"/>
            </w:pPr>
            <w:r>
              <w:rPr>
                <w:color w:val="707070"/>
                <w:sz w:val="24"/>
                <w:szCs w:val="24"/>
                <w:rFonts w:eastAsia="Microsoft YaHei" w:ascii="Arial"/>
              </w:rPr>
              <w:t xml:space="preserve">Progress of record: 34 of 112 notes authored (30.4 percent) - The Periodic Table and Chemical Formulae subtopics closed outright</w:t>
            </w:r>
          </w:p>
          <w:p>
            <w:pPr>
              <w:pBdr>
                <w:left w:val="single" w:color="FF6A3B" w:sz="8" w:space="12"/>
              </w:pBdr>
              <w:spacing w:after="80"/>
              <w:ind w:left="1400"/>
            </w:pPr>
            <w:r>
              <w:rPr>
                <w:color w:val="707070"/>
                <w:sz w:val="24"/>
                <w:szCs w:val="24"/>
                <w:rFonts w:eastAsia="Microsoft YaHei" w:ascii="Arial"/>
              </w:rPr>
              <w:t xml:space="preserve">Quality of record: 12/12 schema PASS, 0 lint hard-fails, 5 designed declarations, 120 checks, 360 named-misconception distractors, zero gate-blocked exports</w:t>
            </w:r>
          </w:p>
          <w:p>
            <w:pPr>
              <w:pBdr>
                <w:left w:val="single" w:color="FF6A3B" w:sz="8" w:space="12"/>
              </w:pBdr>
              <w:spacing w:after="80"/>
              <w:ind w:left="1400"/>
            </w:pPr>
            <w:r>
              <w:rPr>
                <w:color w:val="707070"/>
                <w:sz w:val="24"/>
                <w:szCs w:val="24"/>
                <w:rFonts w:eastAsia="Microsoft YaHei" w:ascii="Arial"/>
              </w:rPr>
              <w:t xml:space="preserve">Integrity of record: P0-flag repair disclosed and repaired of record (notes 5-6); idempotence held - one P8 phase-end per note across all twelve logs</w:t>
            </w:r>
          </w:p>
          <w:p>
            <w:pPr>
              <w:spacing w:before="3944"/>
            </w:pPr>
          </w:p>
          <w:p>
            <w:pPr>
              <w:pBdr>
                <w:top w:val="single" w:color="FF6A3B" w:sz="2" w:space="8"/>
              </w:pBdr>
              <w:spacing w:before="200"/>
              <w:ind w:left="1200" w:right="800"/>
            </w:pPr>
            <w:r>
              <w:rPr>
                <w:color w:val="A0A0A0"/>
                <w:sz w:val="16"/>
                <w:szCs w:val="16"/>
                <w:rFonts w:ascii="Arial"/>
              </w:rPr>
              <w:t xml:space="preserve">SyllabAI Product Engineering</w:t>
            </w:r>
            <w:r>
              <w:t xml:space="preserve">                                        </w:t>
            </w:r>
            <w:r>
              <w:rPr>
                <w:color w:val="A0A0A0"/>
                <w:sz w:val="16"/>
                <w:szCs w:val="16"/>
                <w:rFonts w:ascii="Arial"/>
              </w:rPr>
              <w:t xml:space="preserve">Complete 2026-10-25</w:t>
            </w:r>
          </w:p>
        </w:tc>
      </w:tr>
    </w:tbl>
    <w:p>
      <w:pPr>
        <w:sectPr>
          <w:pgSz w:w="11906" w:h="16838" w:orient="portrait"/>
          <w:pgMar w:top="0" w:right="0" w:bottom="0" w:left="0" w:header="708" w:footer="708" w:gutter="0"/>
          <w:pgNumType/>
          <w:docGrid w:linePitch="360"/>
        </w:sectPr>
      </w:pPr>
    </w:p>
    <w:p>
      <w:pPr>
        <w:spacing w:before="200" w:after="80"/>
        <w:jc w:val="center"/>
      </w:pPr>
      <w:r>
        <w:rPr>
          <w:b/>
          <w:bCs/>
          <w:color w:val="15857A"/>
          <w:sz w:val="32"/>
          <w:szCs w:val="32"/>
          <w:rFonts w:ascii="Times New Roman" w:hAnsi="Times New Roman" w:eastAsia="SimSun"/>
        </w:rPr>
        <w:t xml:space="preserve">Table of Contents</w:t>
      </w:r>
    </w:p>
    <w:p>
      <w:pPr>
        <w:spacing w:after="120"/>
        <w:jc w:val="center"/>
      </w:pPr>
      <w:r>
        <w:rPr>
          <w:i/>
          <w:iCs/>
          <w:color w:val="888888"/>
          <w:sz w:val="18"/>
          <w:szCs w:val="18"/>
          <w:rFonts w:ascii="Times New Roman" w:hAnsi="Times New Roman" w:eastAsia="SimSun"/>
        </w:rPr>
        <w:t xml:space="preserve">Note: This Table of Contents is generated via field codes. To ensure page number accuracy after editing, please right-click the TOC and select "Update Field."</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Posture and Protocol of Record</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Corpus Pin and Register of Record</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Results of Record</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Quality of Record</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6. Measurement Integrity and Flow Variation</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7. Recalibration Checkpoint of Record</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8. Interpretation and Progress</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9. Artifacts of Record</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10. Next Steps of Record</w:t>
            </w:r>
            <w:r>
              <w:tab/>
            </w:r>
            <w:r>
              <w:fldChar w:fldCharType="begin"/>
            </w:r>
            <w:r>
              <w:instrText xml:space="preserve"> PAGEREF _Toc100009 \h </w:instrText>
            </w:r>
            <w:r>
              <w:fldChar w:fldCharType="separate"/>
            </w:r>
            <w:r>
              <w:t>6</w:t>
            </w:r>
            <w:r>
              <w:fldChar w:fldCharType="end"/>
            </w:r>
          </w:hyperlink>
        </w:p>
        <w:p>
          <w:r>
            <w:fldChar w:fldCharType="end"/>
          </w:r>
        </w:p>
      </w:sdtContent>
    </w:sdt>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spacing w:before="360" w:after="160" w:line="312"/>
      </w:pPr>
      <w:bookmarkStart w:id="100000" w:name="_Toc100000"/>
      <w:r>
        <w:rPr>
          <w:b/>
          <w:bCs/>
          <w:color w:val="15857A"/>
          <w:sz w:val="32"/>
          <w:szCs w:val="32"/>
          <w:rFonts w:ascii="Times New Roman" w:hAnsi="Times New Roman" w:eastAsia="SimSun"/>
        </w:rPr>
        <w:t xml:space="preserve">1. Executive Summary</w:t>
      </w:r>
      <w:bookmarkEnd w:id="100000"/>
    </w:p>
    <w:p>
      <w:pPr>
        <w:spacing w:line="312" w:after="120"/>
        <w:jc w:val="both"/>
      </w:pPr>
      <w:r>
        <w:rPr>
          <w:color w:val="000000"/>
          <w:sz w:val="24"/>
          <w:szCs w:val="24"/>
          <w:rFonts w:ascii="Times New Roman" w:hAnsi="Times New Roman" w:eastAsia="SimSun"/>
        </w:rPr>
        <w:t xml:space="preserve">Wave-3, the third authoring wave of the guided-learning programme, is complete of record: all twelve notes of the wave-3 register were authored end to end against the pinned corpus snapshot, exported against the guided-lesson/0.1 schema, and filed with per-phase timing receipts and persisted event logs. Every note passed schema validation with zero lint hard-fail violations, and the only warnings present are the five designed workedExample-null declarations of record (notes two, six, seven, eleven and twelve, each a source note carrying no worked example of any kind). The wave ran under the operator OPEN posture and the pacing file of record wave-pacing-open/0.1, and it was the calculation heaviest stretch the programme has executed: seven of the twelve notes are stoichiometry or solution calculations, including both extension-C spec points (1.34C solution concentrations and 1.35C gas volumes) and the largest source note of the corpus to date (8,551 characters of Empirical and Molecular Formulae).</w:t>
      </w:r>
    </w:p>
    <w:p>
      <w:pPr>
        <w:spacing w:line="312" w:after="120"/>
        <w:jc w:val="both"/>
      </w:pPr>
      <w:r>
        <w:rPr>
          <w:color w:val="000000"/>
          <w:sz w:val="24"/>
          <w:szCs w:val="24"/>
          <w:rFonts w:ascii="Times New Roman" w:hAnsi="Times New Roman" w:eastAsia="SimSun"/>
        </w:rPr>
        <w:t xml:space="preserve">The output volume of record is 24 lessons, 124 key points, 84 glossary entries and 120 explained checks across the twelve notes, covering 46,306 characters of source material, with every one of the 360 check distractors naming the specific misconception it is designed to catch. The receipts' focused total is zero seconds, a first for the programme and the clean expression of the batch-flow posture: every one of the twelve chains ran as a pre-write batch invocation whose phase clocks all read at or below timer resolution, and the receipts' entire 142 seconds of wall time is the disclosed repair interval on notes five and six. The recalibration checkpoint of section 7 reaffirms the wave-2 decision unchanged: the receipts are export-gate telemetry, the planning estimator of record remains the wave-1 instrumented basis, and the corpus-wide exposure arithmetic remains the 28, 56 and 93 author-day bands.</w:t>
      </w:r>
    </w:p>
    <w:p>
      <w:pPr>
        <w:spacing w:line="312" w:after="120"/>
        <w:jc w:val="both"/>
      </w:pPr>
      <w:r>
        <w:rPr>
          <w:color w:val="000000"/>
          <w:sz w:val="24"/>
          <w:szCs w:val="24"/>
          <w:rFonts w:ascii="Times New Roman" w:hAnsi="Times New Roman" w:eastAsia="SimSun"/>
        </w:rPr>
        <w:t xml:space="preserve">Wave-3 also carried the programme's most substantive integrity event to date, fully disclosed and repaired of record: the first phase P1 command of both notes-five-six chains was passed the assist flag in error, flagging the P0 phase-end and making two receipts self-contradictory against the wave's own P0-unflagged precedent. The repair (a surgical flow-flag correction in the two event logs via a persisted tool, followed by the harness's idempotent re-export) left every layer untouched, preserved the single-P8-close idempotence property, and produced a corrected invocation pattern that held clean for the wave's remaining four rounds. With wave-3 closed, the programme stands at 34 of 112 notes authored (30.4 percent of the corpus), two more subtopics have closed outright, and the wave-4 register is staged in the pacing file.</w:t>
      </w:r>
    </w:p>
    <w:p>
      <w:pPr>
        <w:pStyle w:val="Heading1"/>
        <w:keepNext/>
        <w:spacing w:before="360" w:after="160" w:line="312"/>
      </w:pPr>
      <w:bookmarkStart w:id="100001" w:name="_Toc100001"/>
      <w:r>
        <w:rPr>
          <w:b/>
          <w:bCs/>
          <w:color w:val="15857A"/>
          <w:sz w:val="32"/>
          <w:szCs w:val="32"/>
          <w:rFonts w:ascii="Times New Roman" w:hAnsi="Times New Roman" w:eastAsia="SimSun"/>
        </w:rPr>
        <w:t xml:space="preserve">2. Posture and Protocol of Record</w:t>
      </w:r>
      <w:bookmarkEnd w:id="100001"/>
    </w:p>
    <w:p>
      <w:pPr>
        <w:spacing w:line="312" w:after="120"/>
        <w:jc w:val="both"/>
      </w:pPr>
      <w:r>
        <w:rPr>
          <w:color w:val="000000"/>
          <w:sz w:val="24"/>
          <w:szCs w:val="24"/>
          <w:rFonts w:ascii="Times New Roman" w:hAnsi="Times New Roman" w:eastAsia="SimSun"/>
        </w:rPr>
        <w:t xml:space="preserve">The posture of record remains OPEN, build it fully (operator decision of record, trace 1a1683ec43a016a9), and wave-3 is the second wave executed entirely under the pacing file of record. The pacing semantics operated exactly as wave-2 established them: pacing is a schedule, not a gate; receipts and declared assistance continue as measurement discipline rather than admission control; every wave closes with a wave receipt and wave report on the wave-1 pattern; and the recalibration clause discharges at each close-out before the next wave opens. This report and the aggregate receipt minted alongside it discharge that clause for wave-3, and the checkpoint reaffirmed the wave-2 absorption decision without modification.</w:t>
      </w:r>
    </w:p>
    <w:p>
      <w:pPr>
        <w:spacing w:line="312" w:after="120"/>
        <w:jc w:val="both"/>
      </w:pPr>
      <w:r>
        <w:rPr>
          <w:color w:val="000000"/>
          <w:sz w:val="24"/>
          <w:szCs w:val="24"/>
          <w:rFonts w:ascii="Times New Roman" w:hAnsi="Times New Roman" w:eastAsia="SimSun"/>
        </w:rPr>
        <w:t xml:space="preserve">The measurement discipline operated unchanged: per-phase clocks P0 through P8 with the sum of the phase clocks as the receipt's focused total; explicit pause logging (wave-3 logged zero pauses across twelve notes); a corpus pinned to the local snapshot with any mid-run drift voiding reuse; and declared assistance per phase. The chain order of record is the wave-1 integrity-pass formulation: P0 closed unflagged as a read-only phase, P1 through P7 closed with the assist flag, P8 closed mechanically by the export command. The wave opened with an invocation defect against exactly this order on its third round (the notes-five-six chains, where a first P1 command was passed --assist), which is the subject of the repair disclosure in section 6; from the fourth round onward the corrected pattern (first phase P1 command carries no flag) was applied natively and verified clean on every subsequent note.</w:t>
      </w:r>
    </w:p>
    <w:p>
      <w:pPr>
        <w:spacing w:line="312" w:after="120"/>
        <w:jc w:val="both"/>
      </w:pPr>
      <w:r>
        <w:rPr>
          <w:color w:val="000000"/>
          <w:sz w:val="24"/>
          <w:szCs w:val="24"/>
          <w:rFonts w:ascii="Times New Roman" w:hAnsi="Times New Roman" w:eastAsia="SimSun"/>
        </w:rPr>
        <w:t xml:space="preserve">Standing lane constraints were honoured throughout: zero database contact of any kind (all twelve bodies read from the pinned local snapshot with per-note SHA-256 verification at every round; the wave-1 snapshot pull remains the single database contact of the entire programme), no writes to any production surface, no Vercel lane exercise, the repository content pack read-only, and tokens never echoed. The recurring sandbox-recycle pattern (ajv disappearing from the harness path) struck twice early in the wave and was handled each time by the documented no-save reinstall before any export or verification; the docx library was likewise reinstalled for this report build. A new standing entry joined the discipline at this close-out on the operator's instruction: the programme's artefacts now file to the resources repository under the SME-GuidedLessons folder, and future waves append there (section 9).</w:t>
      </w:r>
    </w:p>
    <w:p>
      <w:pPr>
        <w:pStyle w:val="Heading1"/>
        <w:keepNext/>
        <w:spacing w:before="360" w:after="160" w:line="312"/>
      </w:pPr>
      <w:bookmarkStart w:id="100002" w:name="_Toc100002"/>
      <w:r>
        <w:rPr>
          <w:b/>
          <w:bCs/>
          <w:color w:val="15857A"/>
          <w:sz w:val="32"/>
          <w:szCs w:val="32"/>
          <w:rFonts w:ascii="Times New Roman" w:hAnsi="Times New Roman" w:eastAsia="SimSun"/>
        </w:rPr>
        <w:t xml:space="preserve">3. Corpus Pin and Register of Record</w:t>
      </w:r>
      <w:bookmarkEnd w:id="100002"/>
    </w:p>
    <w:p>
      <w:pPr>
        <w:spacing w:line="312" w:after="120"/>
        <w:jc w:val="both"/>
      </w:pPr>
      <w:r>
        <w:rPr>
          <w:color w:val="000000"/>
          <w:sz w:val="24"/>
          <w:szCs w:val="24"/>
          <w:rFonts w:ascii="Times New Roman" w:hAnsi="Times New Roman" w:eastAsia="SimSun"/>
        </w:rPr>
        <w:t xml:space="preserve">The corpus of record remains the snapshot pinned at wave-1 open: 112 notes, 361,272 characters, single corpus version sme-revision-notes-igcse-chemistry-19-2026-09-18, census 4 topics, 28 subtopics, per-topic note counts 40, 36, 15 and 21. Wave-3 re-verified the pin at every round of record: the snapshot file's SHA-256 was recomputed each round and matched the going-forward file pin e23e2ab7 through 487d on all six rounds, and each round reconciled the on-disk deliverable state against the worklog before acting. No corpus drift was detected at any point in the wave; the snapshot manifest remains the instrument that would void reuse of authored layers were the corpus ever to move.</w:t>
      </w:r>
    </w:p>
    <w:p>
      <w:pPr>
        <w:spacing w:line="312" w:after="120"/>
        <w:jc w:val="both"/>
      </w:pPr>
      <w:r>
        <w:rPr>
          <w:color w:val="000000"/>
          <w:sz w:val="24"/>
          <w:szCs w:val="24"/>
          <w:rFonts w:ascii="Times New Roman" w:hAnsi="Times New Roman" w:eastAsia="SimSun"/>
        </w:rPr>
        <w:t xml:space="preserve">The twelve-note register of record is the pacing file's wave-3 register verbatim, and it is the programme's calculation core: it closes The Periodic Table subtopic (electronic configurations and the group-reactivity consequence), carries eight of the ten notes of the Chemical Formulae, Equations, Calculations subtopic (the other two having been authored in wave-1, so the subtopic closed outright with this wave), and opens Ionic Bonding. The register spans shell-filling rule exposition, group-property transfer, five distinct calculation genres (relative mass, reacting masses, percentage yield, formula determination, solution concentrations and gas volumes), two practical-method notes, and a two-note ionic tail. Size extremes are the widest the programme has seen: Empirical and Molecular Formulae at 8,551 characters (the largest source note of the corpus to date) down to Formation of Ions at 1,526. Table 1 lists the register in order of authoring.</w:t>
      </w:r>
    </w:p>
    <w:p>
      <w:pPr>
        <w:keepNext/>
        <w:spacing w:before="200" w:after="80" w:line="312"/>
      </w:pPr>
      <w:r>
        <w:rPr>
          <w:b/>
          <w:bCs/>
          <w:color w:val="404040"/>
          <w:sz w:val="21"/>
          <w:szCs w:val="21"/>
          <w:rFonts w:ascii="Times New Roman" w:hAnsi="Times New Roman" w:eastAsia="SimSun"/>
        </w:rPr>
        <w:t xml:space="preserve">Table 1: Wave-3 register of record (order of authoring)</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gridCol w:w="100"/>
        <w:gridCol w:w="100"/>
        <w:gridCol w:w="100"/>
      </w:tblGrid>
      <w:tr>
        <w:trPr>
          <w:cantSplit/>
          <w:tblHeader/>
        </w:trPr>
        <w:tc>
          <w:tcPr>
            <w:tcW w:type="pct" w:w="5%"/>
            <w:shd w:fill="15857A" w:val="clear"/>
            <w:tcMar>
              <w:top w:type="dxa" w:w="60"/>
              <w:left w:type="dxa" w:w="120"/>
              <w:bottom w:type="dxa" w:w="60"/>
              <w:right w:type="dxa" w:w="120"/>
            </w:tcMar>
          </w:tcPr>
          <w:p>
            <w:pPr>
              <w:spacing w:line="276"/>
              <w:jc w:val="left"/>
            </w:pPr>
            <w:r>
              <w:rPr>
                <w:b/>
                <w:bCs/>
                <w:color w:val="FFFFFF"/>
                <w:sz w:val="20"/>
                <w:szCs w:val="20"/>
                <w:rFonts w:ascii="Times New Roman" w:hAnsi="Times New Roman" w:eastAsia="SimSun"/>
              </w:rPr>
              <w:t xml:space="preserve">#</w:t>
            </w:r>
          </w:p>
        </w:tc>
        <w:tc>
          <w:tcPr>
            <w:tcW w:type="pct" w:w="30%"/>
            <w:shd w:fill="15857A" w:val="clear"/>
            <w:tcMar>
              <w:top w:type="dxa" w:w="60"/>
              <w:left w:type="dxa" w:w="120"/>
              <w:bottom w:type="dxa" w:w="60"/>
              <w:right w:type="dxa" w:w="120"/>
            </w:tcMar>
          </w:tcPr>
          <w:p>
            <w:pPr>
              <w:spacing w:line="276"/>
              <w:jc w:val="left"/>
            </w:pPr>
            <w:r>
              <w:rPr>
                <w:b/>
                <w:bCs/>
                <w:color w:val="FFFFFF"/>
                <w:sz w:val="20"/>
                <w:szCs w:val="20"/>
                <w:rFonts w:ascii="Times New Roman" w:hAnsi="Times New Roman" w:eastAsia="SimSun"/>
              </w:rPr>
              <w:t xml:space="preserve">Note (title of record)</w:t>
            </w:r>
          </w:p>
        </w:tc>
        <w:tc>
          <w:tcPr>
            <w:tcW w:type="pct" w:w="22%"/>
            <w:shd w:fill="15857A" w:val="clear"/>
            <w:tcMar>
              <w:top w:type="dxa" w:w="60"/>
              <w:left w:type="dxa" w:w="120"/>
              <w:bottom w:type="dxa" w:w="60"/>
              <w:right w:type="dxa" w:w="120"/>
            </w:tcMar>
          </w:tcPr>
          <w:p>
            <w:pPr>
              <w:spacing w:line="276"/>
              <w:jc w:val="left"/>
            </w:pPr>
            <w:r>
              <w:rPr>
                <w:b/>
                <w:bCs/>
                <w:color w:val="FFFFFF"/>
                <w:sz w:val="20"/>
                <w:szCs w:val="20"/>
                <w:rFonts w:ascii="Times New Roman" w:hAnsi="Times New Roman" w:eastAsia="SimSun"/>
              </w:rPr>
              <w:t xml:space="preserve">Subtopic</w:t>
            </w:r>
          </w:p>
        </w:tc>
        <w:tc>
          <w:tcPr>
            <w:tcW w:type="pct" w:w="15%"/>
            <w:shd w:fill="15857A" w:val="clear"/>
            <w:tcMar>
              <w:top w:type="dxa" w:w="60"/>
              <w:left w:type="dxa" w:w="120"/>
              <w:bottom w:type="dxa" w:w="60"/>
              <w:right w:type="dxa" w:w="120"/>
            </w:tcMar>
          </w:tcPr>
          <w:p>
            <w:pPr>
              <w:spacing w:line="276"/>
              <w:jc w:val="left"/>
            </w:pPr>
            <w:r>
              <w:rPr>
                <w:b/>
                <w:bCs/>
                <w:color w:val="FFFFFF"/>
                <w:sz w:val="20"/>
                <w:szCs w:val="20"/>
                <w:rFonts w:ascii="Times New Roman" w:hAnsi="Times New Roman" w:eastAsia="SimSun"/>
              </w:rPr>
              <w:t xml:space="preserve">Spec points</w:t>
            </w:r>
          </w:p>
        </w:tc>
        <w:tc>
          <w:tcPr>
            <w:tcW w:type="pct" w:w="10%"/>
            <w:shd w:fill="15857A" w:val="clear"/>
            <w:tcMar>
              <w:top w:type="dxa" w:w="60"/>
              <w:left w:type="dxa" w:w="120"/>
              <w:bottom w:type="dxa" w:w="60"/>
              <w:right w:type="dxa" w:w="120"/>
            </w:tcMar>
          </w:tcPr>
          <w:p>
            <w:pPr>
              <w:spacing w:line="276"/>
              <w:jc w:val="left"/>
            </w:pPr>
            <w:r>
              <w:rPr>
                <w:b/>
                <w:bCs/>
                <w:color w:val="FFFFFF"/>
                <w:sz w:val="20"/>
                <w:szCs w:val="20"/>
                <w:rFonts w:ascii="Times New Roman" w:hAnsi="Times New Roman" w:eastAsia="SimSun"/>
              </w:rPr>
              <w:t xml:space="preserve">Body chars</w:t>
            </w:r>
          </w:p>
        </w:tc>
        <w:tc>
          <w:tcPr>
            <w:tcW w:type="pct" w:w="18%"/>
            <w:shd w:fill="15857A" w:val="clear"/>
            <w:tcMar>
              <w:top w:type="dxa" w:w="60"/>
              <w:left w:type="dxa" w:w="120"/>
              <w:bottom w:type="dxa" w:w="60"/>
              <w:right w:type="dxa" w:w="120"/>
            </w:tcMar>
          </w:tcPr>
          <w:p>
            <w:pPr>
              <w:spacing w:line="276"/>
              <w:jc w:val="left"/>
            </w:pPr>
            <w:r>
              <w:rPr>
                <w:b/>
                <w:bCs/>
                <w:color w:val="FFFFFF"/>
                <w:sz w:val="20"/>
                <w:szCs w:val="20"/>
                <w:rFonts w:ascii="Times New Roman" w:hAnsi="Times New Roman" w:eastAsia="SimSun"/>
              </w:rPr>
              <w:t xml:space="preserve">Genre</w:t>
            </w:r>
          </w:p>
        </w:tc>
      </w:tr>
      <w:tr>
        <w:trPr>
          <w:cantSplit/>
        </w:trPr>
        <w:tc>
          <w:tcPr>
            <w:tcW w:type="pct" w:w="5%"/>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w:t>
            </w:r>
          </w:p>
        </w:tc>
        <w:tc>
          <w:tcPr>
            <w:tcW w:type="pct" w:w="30%"/>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Electronic Configurations</w:t>
            </w:r>
          </w:p>
        </w:tc>
        <w:tc>
          <w:tcPr>
            <w:tcW w:type="pct" w:w="22%"/>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The Periodic Table</w:t>
            </w:r>
          </w:p>
        </w:tc>
        <w:tc>
          <w:tcPr>
            <w:tcW w:type="pct" w:w="15%"/>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1.19, 1.22</w:t>
            </w:r>
          </w:p>
        </w:tc>
        <w:tc>
          <w:tcPr>
            <w:tcW w:type="pct" w:w="10%"/>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5,169</w:t>
            </w:r>
          </w:p>
        </w:tc>
        <w:tc>
          <w:tcPr>
            <w:tcW w:type="pct" w:w="1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Shell-filling rules + table reading</w:t>
            </w:r>
          </w:p>
        </w:tc>
      </w:tr>
      <w:tr>
        <w:trPr>
          <w:cantSplit/>
        </w:trPr>
        <w:tc>
          <w:tcPr>
            <w:tcW w:type="pct" w:w="5%"/>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2</w:t>
            </w:r>
          </w:p>
        </w:tc>
        <w:tc>
          <w:tcPr>
            <w:tcW w:type="pct" w:w="30%"/>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Electronic Configuration &amp; Reactivity</w:t>
            </w:r>
          </w:p>
        </w:tc>
        <w:tc>
          <w:tcPr>
            <w:tcW w:type="pct" w:w="22%"/>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The Periodic Table</w:t>
            </w:r>
          </w:p>
        </w:tc>
        <w:tc>
          <w:tcPr>
            <w:tcW w:type="pct" w:w="15%"/>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1.22, 1.23, 1.24</w:t>
            </w:r>
          </w:p>
        </w:tc>
        <w:tc>
          <w:tcPr>
            <w:tcW w:type="pct" w:w="10%"/>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3,194</w:t>
            </w:r>
          </w:p>
        </w:tc>
        <w:tc>
          <w:tcPr>
            <w:tcW w:type="pct" w:w="18%"/>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Group-property transfer, workedExample-null</w:t>
            </w:r>
          </w:p>
        </w:tc>
      </w:tr>
      <w:tr>
        <w:trPr>
          <w:cantSplit/>
        </w:trPr>
        <w:tc>
          <w:tcPr>
            <w:tcW w:type="pct" w:w="5%"/>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3</w:t>
            </w:r>
          </w:p>
        </w:tc>
        <w:tc>
          <w:tcPr>
            <w:tcW w:type="pct" w:w="30%"/>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Calculate Relative Mass</w:t>
            </w:r>
          </w:p>
        </w:tc>
        <w:tc>
          <w:tcPr>
            <w:tcW w:type="pct" w:w="22%"/>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Chemical Formulae, Equations, Calculations</w:t>
            </w:r>
          </w:p>
        </w:tc>
        <w:tc>
          <w:tcPr>
            <w:tcW w:type="pct" w:w="15%"/>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1.26</w:t>
            </w:r>
          </w:p>
        </w:tc>
        <w:tc>
          <w:tcPr>
            <w:tcW w:type="pct" w:w="10%"/>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2,447</w:t>
            </w:r>
          </w:p>
        </w:tc>
        <w:tc>
          <w:tcPr>
            <w:tcW w:type="pct" w:w="1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Mr calculation incl. brackets</w:t>
            </w:r>
          </w:p>
        </w:tc>
      </w:tr>
      <w:tr>
        <w:trPr>
          <w:cantSplit/>
        </w:trPr>
        <w:tc>
          <w:tcPr>
            <w:tcW w:type="pct" w:w="5%"/>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4</w:t>
            </w:r>
          </w:p>
        </w:tc>
        <w:tc>
          <w:tcPr>
            <w:tcW w:type="pct" w:w="30%"/>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Calculate Reacting Masses</w:t>
            </w:r>
          </w:p>
        </w:tc>
        <w:tc>
          <w:tcPr>
            <w:tcW w:type="pct" w:w="22%"/>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Chemical Formulae, Equations, Calculations</w:t>
            </w:r>
          </w:p>
        </w:tc>
        <w:tc>
          <w:tcPr>
            <w:tcW w:type="pct" w:w="15%"/>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1.25, 1.28, 1.29</w:t>
            </w:r>
          </w:p>
        </w:tc>
        <w:tc>
          <w:tcPr>
            <w:tcW w:type="pct" w:w="10%"/>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4,869</w:t>
            </w:r>
          </w:p>
        </w:tc>
        <w:tc>
          <w:tcPr>
            <w:tcW w:type="pct" w:w="18%"/>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Three-step method + balancing reversal</w:t>
            </w:r>
          </w:p>
        </w:tc>
      </w:tr>
      <w:tr>
        <w:trPr>
          <w:cantSplit/>
        </w:trPr>
        <w:tc>
          <w:tcPr>
            <w:tcW w:type="pct" w:w="5%"/>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5</w:t>
            </w:r>
          </w:p>
        </w:tc>
        <w:tc>
          <w:tcPr>
            <w:tcW w:type="pct" w:w="30%"/>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Calculate Percentage Yield</w:t>
            </w:r>
          </w:p>
        </w:tc>
        <w:tc>
          <w:tcPr>
            <w:tcW w:type="pct" w:w="22%"/>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Chemical Formulae, Equations, Calculations</w:t>
            </w:r>
          </w:p>
        </w:tc>
        <w:tc>
          <w:tcPr>
            <w:tcW w:type="pct" w:w="15%"/>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1.30</w:t>
            </w:r>
          </w:p>
        </w:tc>
        <w:tc>
          <w:tcPr>
            <w:tcW w:type="pct" w:w="10%"/>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3,201</w:t>
            </w:r>
          </w:p>
        </w:tc>
        <w:tc>
          <w:tcPr>
            <w:tcW w:type="pct" w:w="1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Yield equation + loss taxonomy</w:t>
            </w:r>
          </w:p>
        </w:tc>
      </w:tr>
      <w:tr>
        <w:trPr>
          <w:cantSplit/>
        </w:trPr>
        <w:tc>
          <w:tcPr>
            <w:tcW w:type="pct" w:w="5%"/>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6</w:t>
            </w:r>
          </w:p>
        </w:tc>
        <w:tc>
          <w:tcPr>
            <w:tcW w:type="pct" w:w="30%"/>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Experiment: Finding Formulae of Compounds</w:t>
            </w:r>
          </w:p>
        </w:tc>
        <w:tc>
          <w:tcPr>
            <w:tcW w:type="pct" w:w="22%"/>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Chemical Formulae, Equations, Calculations</w:t>
            </w:r>
          </w:p>
        </w:tc>
        <w:tc>
          <w:tcPr>
            <w:tcW w:type="pct" w:w="15%"/>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1.31, 1.33</w:t>
            </w:r>
          </w:p>
        </w:tc>
        <w:tc>
          <w:tcPr>
            <w:tcW w:type="pct" w:w="10%"/>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2,447</w:t>
            </w:r>
          </w:p>
        </w:tc>
        <w:tc>
          <w:tcPr>
            <w:tcW w:type="pct" w:w="18%"/>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Experimental formula determination</w:t>
            </w:r>
          </w:p>
        </w:tc>
      </w:tr>
      <w:tr>
        <w:trPr>
          <w:cantSplit/>
        </w:trPr>
        <w:tc>
          <w:tcPr>
            <w:tcW w:type="pct" w:w="5%"/>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7</w:t>
            </w:r>
          </w:p>
        </w:tc>
        <w:tc>
          <w:tcPr>
            <w:tcW w:type="pct" w:w="30%"/>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Practical: Determine the Formula of a Metal Oxide</w:t>
            </w:r>
          </w:p>
        </w:tc>
        <w:tc>
          <w:tcPr>
            <w:tcW w:type="pct" w:w="22%"/>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Chemical Formulae, Equations, Calculations</w:t>
            </w:r>
          </w:p>
        </w:tc>
        <w:tc>
          <w:tcPr>
            <w:tcW w:type="pct" w:w="15%"/>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1.31, 1.33, 1.36</w:t>
            </w:r>
          </w:p>
        </w:tc>
        <w:tc>
          <w:tcPr>
            <w:tcW w:type="pct" w:w="10%"/>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3,597</w:t>
            </w:r>
          </w:p>
        </w:tc>
        <w:tc>
          <w:tcPr>
            <w:tcW w:type="pct" w:w="1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Twin practical methods, workedExample-null</w:t>
            </w:r>
          </w:p>
        </w:tc>
      </w:tr>
      <w:tr>
        <w:trPr>
          <w:cantSplit/>
        </w:trPr>
        <w:tc>
          <w:tcPr>
            <w:tcW w:type="pct" w:w="5%"/>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8</w:t>
            </w:r>
          </w:p>
        </w:tc>
        <w:tc>
          <w:tcPr>
            <w:tcW w:type="pct" w:w="30%"/>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Empirical &amp; Molecular Formulae</w:t>
            </w:r>
          </w:p>
        </w:tc>
        <w:tc>
          <w:tcPr>
            <w:tcW w:type="pct" w:w="22%"/>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Chemical Formulae, Equations, Calculations</w:t>
            </w:r>
          </w:p>
        </w:tc>
        <w:tc>
          <w:tcPr>
            <w:tcW w:type="pct" w:w="15%"/>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1.31, 1.32, 1.33</w:t>
            </w:r>
          </w:p>
        </w:tc>
        <w:tc>
          <w:tcPr>
            <w:tcW w:type="pct" w:w="10%"/>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8,551</w:t>
            </w:r>
          </w:p>
        </w:tc>
        <w:tc>
          <w:tcPr>
            <w:tcW w:type="pct" w:w="18%"/>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Six-step table + hydrated salts, largest of corpus</w:t>
            </w:r>
          </w:p>
        </w:tc>
      </w:tr>
      <w:tr>
        <w:trPr>
          <w:cantSplit/>
        </w:trPr>
        <w:tc>
          <w:tcPr>
            <w:tcW w:type="pct" w:w="5%"/>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9</w:t>
            </w:r>
          </w:p>
        </w:tc>
        <w:tc>
          <w:tcPr>
            <w:tcW w:type="pct" w:w="30%"/>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Calculate Concentrations of Solutions</w:t>
            </w:r>
          </w:p>
        </w:tc>
        <w:tc>
          <w:tcPr>
            <w:tcW w:type="pct" w:w="22%"/>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Chemical Formulae, Equations, Calculations</w:t>
            </w:r>
          </w:p>
        </w:tc>
        <w:tc>
          <w:tcPr>
            <w:tcW w:type="pct" w:w="15%"/>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1.34C</w:t>
            </w:r>
          </w:p>
        </w:tc>
        <w:tc>
          <w:tcPr>
            <w:tcW w:type="pct" w:w="10%"/>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4,994</w:t>
            </w:r>
          </w:p>
        </w:tc>
        <w:tc>
          <w:tcPr>
            <w:tcW w:type="pct" w:w="1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Concentration triangle + titration scaling</w:t>
            </w:r>
          </w:p>
        </w:tc>
      </w:tr>
      <w:tr>
        <w:trPr>
          <w:cantSplit/>
        </w:trPr>
        <w:tc>
          <w:tcPr>
            <w:tcW w:type="pct" w:w="5%"/>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10</w:t>
            </w:r>
          </w:p>
        </w:tc>
        <w:tc>
          <w:tcPr>
            <w:tcW w:type="pct" w:w="30%"/>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Calculate Volumes of Gases</w:t>
            </w:r>
          </w:p>
        </w:tc>
        <w:tc>
          <w:tcPr>
            <w:tcW w:type="pct" w:w="22%"/>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Chemical Formulae, Equations, Calculations</w:t>
            </w:r>
          </w:p>
        </w:tc>
        <w:tc>
          <w:tcPr>
            <w:tcW w:type="pct" w:w="15%"/>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1.35C</w:t>
            </w:r>
          </w:p>
        </w:tc>
        <w:tc>
          <w:tcPr>
            <w:tcW w:type="pct" w:w="10%"/>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4,479</w:t>
            </w:r>
          </w:p>
        </w:tc>
        <w:tc>
          <w:tcPr>
            <w:tcW w:type="pct" w:w="18%"/>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Molar gas volume + mass-to-volume chain</w:t>
            </w:r>
          </w:p>
        </w:tc>
      </w:tr>
      <w:tr>
        <w:trPr>
          <w:cantSplit/>
        </w:trPr>
        <w:tc>
          <w:tcPr>
            <w:tcW w:type="pct" w:w="5%"/>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11</w:t>
            </w:r>
          </w:p>
        </w:tc>
        <w:tc>
          <w:tcPr>
            <w:tcW w:type="pct" w:w="30%"/>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Formation of Ions</w:t>
            </w:r>
          </w:p>
        </w:tc>
        <w:tc>
          <w:tcPr>
            <w:tcW w:type="pct" w:w="22%"/>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Ionic Bonding</w:t>
            </w:r>
          </w:p>
        </w:tc>
        <w:tc>
          <w:tcPr>
            <w:tcW w:type="pct" w:w="15%"/>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1.37</w:t>
            </w:r>
          </w:p>
        </w:tc>
        <w:tc>
          <w:tcPr>
            <w:tcW w:type="pct" w:w="10%"/>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1,526</w:t>
            </w:r>
          </w:p>
        </w:tc>
        <w:tc>
          <w:tcPr>
            <w:tcW w:type="pct" w:w="1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Ion formation + diagrams, workedExample-null</w:t>
            </w:r>
          </w:p>
        </w:tc>
      </w:tr>
      <w:tr>
        <w:trPr>
          <w:cantSplit/>
        </w:trPr>
        <w:tc>
          <w:tcPr>
            <w:tcW w:type="pct" w:w="5%"/>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12</w:t>
            </w:r>
          </w:p>
        </w:tc>
        <w:tc>
          <w:tcPr>
            <w:tcW w:type="pct" w:w="30%"/>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Common Ions</w:t>
            </w:r>
          </w:p>
        </w:tc>
        <w:tc>
          <w:tcPr>
            <w:tcW w:type="pct" w:w="22%"/>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Ionic Bonding</w:t>
            </w:r>
          </w:p>
        </w:tc>
        <w:tc>
          <w:tcPr>
            <w:tcW w:type="pct" w:w="15%"/>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1.37, 1.38</w:t>
            </w:r>
          </w:p>
        </w:tc>
        <w:tc>
          <w:tcPr>
            <w:tcW w:type="pct" w:w="10%"/>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1,832</w:t>
            </w:r>
          </w:p>
        </w:tc>
        <w:tc>
          <w:tcPr>
            <w:tcW w:type="pct" w:w="18%"/>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Charge deduction + ion tables, workedExample-null</w:t>
            </w:r>
          </w:p>
        </w:tc>
      </w:tr>
    </w:tbl>
    <w:p>
      <w:pPr>
        <w:pStyle w:val="Heading1"/>
        <w:keepNext/>
        <w:spacing w:before="360" w:after="160" w:line="312"/>
      </w:pPr>
      <w:bookmarkStart w:id="100003" w:name="_Toc100003"/>
      <w:r>
        <w:rPr>
          <w:b/>
          <w:bCs/>
          <w:color w:val="15857A"/>
          <w:sz w:val="32"/>
          <w:szCs w:val="32"/>
          <w:rFonts w:ascii="Times New Roman" w:hAnsi="Times New Roman" w:eastAsia="SimSun"/>
        </w:rPr>
        <w:t xml:space="preserve">4. Results of Record</w:t>
      </w:r>
      <w:bookmarkEnd w:id="100003"/>
    </w:p>
    <w:p>
      <w:pPr>
        <w:spacing w:line="312" w:after="120"/>
        <w:jc w:val="both"/>
      </w:pPr>
      <w:r>
        <w:rPr>
          <w:color w:val="000000"/>
          <w:sz w:val="24"/>
          <w:szCs w:val="24"/>
          <w:rFonts w:ascii="Times New Roman" w:hAnsi="Times New Roman" w:eastAsia="SimSun"/>
        </w:rPr>
        <w:t xml:space="preserve">Table 2 carries the per-note figures of record. Every focused figure is zero: all twelve chains ran as single shell invocations under the pre-write batch flow, so every phase clock read at or below timer resolution and the nominal phase share is undefined at a zero total (the first all-zero focused total of the programme, disclosed as such rather than rounded or reconstructed). The wall-clock column is where the wave's one non-zero story lives: notes five and six carry 74 and 68 seconds respectively, which is not export time but the disclosed repair interval of section 6 (the error, its correction, and the idempotent re-export); every other note's wall span is zero. No pause was logged anywhere in the wave, and no export was gate-blocked: all twelve layers were first-pass clean after pre-flight fixes, a first for the programme at wave scale.</w:t>
      </w:r>
    </w:p>
    <w:p>
      <w:pPr>
        <w:keepNext/>
        <w:spacing w:before="200" w:after="80" w:line="312"/>
      </w:pPr>
      <w:r>
        <w:rPr>
          <w:b/>
          <w:bCs/>
          <w:color w:val="404040"/>
          <w:sz w:val="21"/>
          <w:szCs w:val="21"/>
          <w:rFonts w:ascii="Times New Roman" w:hAnsi="Times New Roman" w:eastAsia="SimSun"/>
        </w:rPr>
        <w:t xml:space="preserve">Table 2: Per-note results of record (chain telemetry under batch flow; repair interval on notes 5-6)</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gridCol w:w="100"/>
        <w:gridCol w:w="100"/>
        <w:gridCol w:w="100"/>
        <w:gridCol w:w="100"/>
        <w:gridCol w:w="100"/>
      </w:tblGrid>
      <w:tr>
        <w:trPr>
          <w:cantSplit/>
          <w:tblHeader/>
        </w:trPr>
        <w:tc>
          <w:tcPr>
            <w:tcW w:type="pct" w:w="26%"/>
            <w:shd w:fill="15857A" w:val="clear"/>
            <w:tcMar>
              <w:top w:type="dxa" w:w="60"/>
              <w:left w:type="dxa" w:w="120"/>
              <w:bottom w:type="dxa" w:w="60"/>
              <w:right w:type="dxa" w:w="120"/>
            </w:tcMar>
          </w:tcPr>
          <w:p>
            <w:pPr>
              <w:spacing w:line="276"/>
              <w:jc w:val="left"/>
            </w:pPr>
            <w:r>
              <w:rPr>
                <w:b/>
                <w:bCs/>
                <w:color w:val="FFFFFF"/>
                <w:sz w:val="20"/>
                <w:szCs w:val="20"/>
                <w:rFonts w:ascii="Times New Roman" w:hAnsi="Times New Roman" w:eastAsia="SimSun"/>
              </w:rPr>
              <w:t xml:space="preserve">Note</w:t>
            </w:r>
          </w:p>
        </w:tc>
        <w:tc>
          <w:tcPr>
            <w:tcW w:type="pct" w:w="8%"/>
            <w:shd w:fill="15857A" w:val="clear"/>
            <w:tcMar>
              <w:top w:type="dxa" w:w="60"/>
              <w:left w:type="dxa" w:w="120"/>
              <w:bottom w:type="dxa" w:w="60"/>
              <w:right w:type="dxa" w:w="120"/>
            </w:tcMar>
          </w:tcPr>
          <w:p>
            <w:pPr>
              <w:spacing w:line="276"/>
              <w:jc w:val="left"/>
            </w:pPr>
            <w:r>
              <w:rPr>
                <w:b/>
                <w:bCs/>
                <w:color w:val="FFFFFF"/>
                <w:sz w:val="20"/>
                <w:szCs w:val="20"/>
                <w:rFonts w:ascii="Times New Roman" w:hAnsi="Times New Roman" w:eastAsia="SimSun"/>
              </w:rPr>
              <w:t xml:space="preserve">Lessons</w:t>
            </w:r>
          </w:p>
        </w:tc>
        <w:tc>
          <w:tcPr>
            <w:tcW w:type="pct" w:w="8%"/>
            <w:shd w:fill="15857A" w:val="clear"/>
            <w:tcMar>
              <w:top w:type="dxa" w:w="60"/>
              <w:left w:type="dxa" w:w="120"/>
              <w:bottom w:type="dxa" w:w="60"/>
              <w:right w:type="dxa" w:w="120"/>
            </w:tcMar>
          </w:tcPr>
          <w:p>
            <w:pPr>
              <w:spacing w:line="276"/>
              <w:jc w:val="left"/>
            </w:pPr>
            <w:r>
              <w:rPr>
                <w:b/>
                <w:bCs/>
                <w:color w:val="FFFFFF"/>
                <w:sz w:val="20"/>
                <w:szCs w:val="20"/>
                <w:rFonts w:ascii="Times New Roman" w:hAnsi="Times New Roman" w:eastAsia="SimSun"/>
              </w:rPr>
              <w:t xml:space="preserve">Checks</w:t>
            </w:r>
          </w:p>
        </w:tc>
        <w:tc>
          <w:tcPr>
            <w:tcW w:type="pct" w:w="11%"/>
            <w:shd w:fill="15857A" w:val="clear"/>
            <w:tcMar>
              <w:top w:type="dxa" w:w="60"/>
              <w:left w:type="dxa" w:w="120"/>
              <w:bottom w:type="dxa" w:w="60"/>
              <w:right w:type="dxa" w:w="120"/>
            </w:tcMar>
          </w:tcPr>
          <w:p>
            <w:pPr>
              <w:spacing w:line="276"/>
              <w:jc w:val="left"/>
            </w:pPr>
            <w:r>
              <w:rPr>
                <w:b/>
                <w:bCs/>
                <w:color w:val="FFFFFF"/>
                <w:sz w:val="20"/>
                <w:szCs w:val="20"/>
                <w:rFonts w:ascii="Times New Roman" w:hAnsi="Times New Roman" w:eastAsia="SimSun"/>
              </w:rPr>
              <w:t xml:space="preserve">Body chars</w:t>
            </w:r>
          </w:p>
        </w:tc>
        <w:tc>
          <w:tcPr>
            <w:tcW w:type="pct" w:w="11%"/>
            <w:shd w:fill="15857A" w:val="clear"/>
            <w:tcMar>
              <w:top w:type="dxa" w:w="60"/>
              <w:left w:type="dxa" w:w="120"/>
              <w:bottom w:type="dxa" w:w="60"/>
              <w:right w:type="dxa" w:w="120"/>
            </w:tcMar>
          </w:tcPr>
          <w:p>
            <w:pPr>
              <w:spacing w:line="276"/>
              <w:jc w:val="left"/>
            </w:pPr>
            <w:r>
              <w:rPr>
                <w:b/>
                <w:bCs/>
                <w:color w:val="FFFFFF"/>
                <w:sz w:val="20"/>
                <w:szCs w:val="20"/>
                <w:rFonts w:ascii="Times New Roman" w:hAnsi="Times New Roman" w:eastAsia="SimSun"/>
              </w:rPr>
              <w:t xml:space="preserve">Focused s</w:t>
            </w:r>
          </w:p>
        </w:tc>
        <w:tc>
          <w:tcPr>
            <w:tcW w:type="pct" w:w="10%"/>
            <w:shd w:fill="15857A" w:val="clear"/>
            <w:tcMar>
              <w:top w:type="dxa" w:w="60"/>
              <w:left w:type="dxa" w:w="120"/>
              <w:bottom w:type="dxa" w:w="60"/>
              <w:right w:type="dxa" w:w="120"/>
            </w:tcMar>
          </w:tcPr>
          <w:p>
            <w:pPr>
              <w:spacing w:line="276"/>
              <w:jc w:val="left"/>
            </w:pPr>
            <w:r>
              <w:rPr>
                <w:b/>
                <w:bCs/>
                <w:color w:val="FFFFFF"/>
                <w:sz w:val="20"/>
                <w:szCs w:val="20"/>
                <w:rFonts w:ascii="Times New Roman" w:hAnsi="Times New Roman" w:eastAsia="SimSun"/>
              </w:rPr>
              <w:t xml:space="preserve">Wall s</w:t>
            </w:r>
          </w:p>
        </w:tc>
        <w:tc>
          <w:tcPr>
            <w:tcW w:type="pct" w:w="12%"/>
            <w:shd w:fill="15857A" w:val="clear"/>
            <w:tcMar>
              <w:top w:type="dxa" w:w="60"/>
              <w:left w:type="dxa" w:w="120"/>
              <w:bottom w:type="dxa" w:w="60"/>
              <w:right w:type="dxa" w:w="120"/>
            </w:tcMar>
          </w:tcPr>
          <w:p>
            <w:pPr>
              <w:spacing w:line="276"/>
              <w:jc w:val="left"/>
            </w:pPr>
            <w:r>
              <w:rPr>
                <w:b/>
                <w:bCs/>
                <w:color w:val="FFFFFF"/>
                <w:sz w:val="20"/>
                <w:szCs w:val="20"/>
                <w:rFonts w:ascii="Times New Roman" w:hAnsi="Times New Roman" w:eastAsia="SimSun"/>
              </w:rPr>
              <w:t xml:space="preserve">Warnings</w:t>
            </w:r>
          </w:p>
        </w:tc>
        <w:tc>
          <w:tcPr>
            <w:tcW w:type="pct" w:w="14%"/>
            <w:shd w:fill="15857A" w:val="clear"/>
            <w:tcMar>
              <w:top w:type="dxa" w:w="60"/>
              <w:left w:type="dxa" w:w="120"/>
              <w:bottom w:type="dxa" w:w="60"/>
              <w:right w:type="dxa" w:w="120"/>
            </w:tcMar>
          </w:tcPr>
          <w:p>
            <w:pPr>
              <w:spacing w:line="276"/>
              <w:jc w:val="left"/>
            </w:pPr>
            <w:r>
              <w:rPr>
                <w:b/>
                <w:bCs/>
                <w:color w:val="FFFFFF"/>
                <w:sz w:val="20"/>
                <w:szCs w:val="20"/>
                <w:rFonts w:ascii="Times New Roman" w:hAnsi="Times New Roman" w:eastAsia="SimSun"/>
              </w:rPr>
              <w:t xml:space="preserve">Worked example</w:t>
            </w:r>
          </w:p>
        </w:tc>
      </w:tr>
      <w:tr>
        <w:trPr>
          <w:cantSplit/>
        </w:trPr>
        <w:tc>
          <w:tcPr>
            <w:tcW w:type="pct" w:w="26%"/>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Electronic Configurations</w:t>
            </w:r>
          </w:p>
        </w:tc>
        <w:tc>
          <w:tcPr>
            <w:tcW w:type="pct" w:w="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2</w:t>
            </w:r>
          </w:p>
        </w:tc>
        <w:tc>
          <w:tcPr>
            <w:tcW w:type="pct" w:w="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10</w:t>
            </w:r>
          </w:p>
        </w:tc>
        <w:tc>
          <w:tcPr>
            <w:tcW w:type="pct" w:w="11%"/>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5,169</w:t>
            </w:r>
          </w:p>
        </w:tc>
        <w:tc>
          <w:tcPr>
            <w:tcW w:type="pct" w:w="11%"/>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0%"/>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2%"/>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4%"/>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ported, arithmetic</w:t>
            </w:r>
          </w:p>
        </w:tc>
      </w:tr>
      <w:tr>
        <w:trPr>
          <w:cantSplit/>
        </w:trPr>
        <w:tc>
          <w:tcPr>
            <w:tcW w:type="pct" w:w="26%"/>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Electronic Configuration &amp; Reactivity</w:t>
            </w:r>
          </w:p>
        </w:tc>
        <w:tc>
          <w:tcPr>
            <w:tcW w:type="pct" w:w="8%"/>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2</w:t>
            </w:r>
          </w:p>
        </w:tc>
        <w:tc>
          <w:tcPr>
            <w:tcW w:type="pct" w:w="8%"/>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10</w:t>
            </w:r>
          </w:p>
        </w:tc>
        <w:tc>
          <w:tcPr>
            <w:tcW w:type="pct" w:w="11%"/>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3,194</w:t>
            </w:r>
          </w:p>
        </w:tc>
        <w:tc>
          <w:tcPr>
            <w:tcW w:type="pct" w:w="11%"/>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0%"/>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2%"/>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 designed</w:t>
            </w:r>
          </w:p>
        </w:tc>
        <w:tc>
          <w:tcPr>
            <w:tcW w:type="pct" w:w="14%"/>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null (declared)</w:t>
            </w:r>
          </w:p>
        </w:tc>
      </w:tr>
      <w:tr>
        <w:trPr>
          <w:cantSplit/>
        </w:trPr>
        <w:tc>
          <w:tcPr>
            <w:tcW w:type="pct" w:w="26%"/>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Calculate Relative Mass</w:t>
            </w:r>
          </w:p>
        </w:tc>
        <w:tc>
          <w:tcPr>
            <w:tcW w:type="pct" w:w="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2</w:t>
            </w:r>
          </w:p>
        </w:tc>
        <w:tc>
          <w:tcPr>
            <w:tcW w:type="pct" w:w="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10</w:t>
            </w:r>
          </w:p>
        </w:tc>
        <w:tc>
          <w:tcPr>
            <w:tcW w:type="pct" w:w="11%"/>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2,447</w:t>
            </w:r>
          </w:p>
        </w:tc>
        <w:tc>
          <w:tcPr>
            <w:tcW w:type="pct" w:w="11%"/>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0%"/>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2%"/>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4%"/>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ported, arithmetic</w:t>
            </w:r>
          </w:p>
        </w:tc>
      </w:tr>
      <w:tr>
        <w:trPr>
          <w:cantSplit/>
        </w:trPr>
        <w:tc>
          <w:tcPr>
            <w:tcW w:type="pct" w:w="26%"/>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Calculate Reacting Masses</w:t>
            </w:r>
          </w:p>
        </w:tc>
        <w:tc>
          <w:tcPr>
            <w:tcW w:type="pct" w:w="8%"/>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2</w:t>
            </w:r>
          </w:p>
        </w:tc>
        <w:tc>
          <w:tcPr>
            <w:tcW w:type="pct" w:w="8%"/>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10</w:t>
            </w:r>
          </w:p>
        </w:tc>
        <w:tc>
          <w:tcPr>
            <w:tcW w:type="pct" w:w="11%"/>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4,869</w:t>
            </w:r>
          </w:p>
        </w:tc>
        <w:tc>
          <w:tcPr>
            <w:tcW w:type="pct" w:w="11%"/>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0%"/>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2%"/>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4%"/>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ported, arithmetic</w:t>
            </w:r>
          </w:p>
        </w:tc>
      </w:tr>
      <w:tr>
        <w:trPr>
          <w:cantSplit/>
        </w:trPr>
        <w:tc>
          <w:tcPr>
            <w:tcW w:type="pct" w:w="26%"/>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Calculate Percentage Yield</w:t>
            </w:r>
          </w:p>
        </w:tc>
        <w:tc>
          <w:tcPr>
            <w:tcW w:type="pct" w:w="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2</w:t>
            </w:r>
          </w:p>
        </w:tc>
        <w:tc>
          <w:tcPr>
            <w:tcW w:type="pct" w:w="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10</w:t>
            </w:r>
          </w:p>
        </w:tc>
        <w:tc>
          <w:tcPr>
            <w:tcW w:type="pct" w:w="11%"/>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3,201</w:t>
            </w:r>
          </w:p>
        </w:tc>
        <w:tc>
          <w:tcPr>
            <w:tcW w:type="pct" w:w="11%"/>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0%"/>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74</w:t>
            </w:r>
          </w:p>
        </w:tc>
        <w:tc>
          <w:tcPr>
            <w:tcW w:type="pct" w:w="12%"/>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4%"/>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ported, arithmetic</w:t>
            </w:r>
          </w:p>
        </w:tc>
      </w:tr>
      <w:tr>
        <w:trPr>
          <w:cantSplit/>
        </w:trPr>
        <w:tc>
          <w:tcPr>
            <w:tcW w:type="pct" w:w="26%"/>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Experiment: Finding Formulae of Compounds</w:t>
            </w:r>
          </w:p>
        </w:tc>
        <w:tc>
          <w:tcPr>
            <w:tcW w:type="pct" w:w="8%"/>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2</w:t>
            </w:r>
          </w:p>
        </w:tc>
        <w:tc>
          <w:tcPr>
            <w:tcW w:type="pct" w:w="8%"/>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10</w:t>
            </w:r>
          </w:p>
        </w:tc>
        <w:tc>
          <w:tcPr>
            <w:tcW w:type="pct" w:w="11%"/>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2,447</w:t>
            </w:r>
          </w:p>
        </w:tc>
        <w:tc>
          <w:tcPr>
            <w:tcW w:type="pct" w:w="11%"/>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0%"/>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68</w:t>
            </w:r>
          </w:p>
        </w:tc>
        <w:tc>
          <w:tcPr>
            <w:tcW w:type="pct" w:w="12%"/>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 designed</w:t>
            </w:r>
          </w:p>
        </w:tc>
        <w:tc>
          <w:tcPr>
            <w:tcW w:type="pct" w:w="14%"/>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null (declared)</w:t>
            </w:r>
          </w:p>
        </w:tc>
      </w:tr>
      <w:tr>
        <w:trPr>
          <w:cantSplit/>
        </w:trPr>
        <w:tc>
          <w:tcPr>
            <w:tcW w:type="pct" w:w="26%"/>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Practical: Formula of a Metal Oxide</w:t>
            </w:r>
          </w:p>
        </w:tc>
        <w:tc>
          <w:tcPr>
            <w:tcW w:type="pct" w:w="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2</w:t>
            </w:r>
          </w:p>
        </w:tc>
        <w:tc>
          <w:tcPr>
            <w:tcW w:type="pct" w:w="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10</w:t>
            </w:r>
          </w:p>
        </w:tc>
        <w:tc>
          <w:tcPr>
            <w:tcW w:type="pct" w:w="11%"/>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3,597</w:t>
            </w:r>
          </w:p>
        </w:tc>
        <w:tc>
          <w:tcPr>
            <w:tcW w:type="pct" w:w="11%"/>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0%"/>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2%"/>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 designed</w:t>
            </w:r>
          </w:p>
        </w:tc>
        <w:tc>
          <w:tcPr>
            <w:tcW w:type="pct" w:w="14%"/>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null (declared)</w:t>
            </w:r>
          </w:p>
        </w:tc>
      </w:tr>
      <w:tr>
        <w:trPr>
          <w:cantSplit/>
        </w:trPr>
        <w:tc>
          <w:tcPr>
            <w:tcW w:type="pct" w:w="26%"/>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Empirical &amp; Molecular Formulae</w:t>
            </w:r>
          </w:p>
        </w:tc>
        <w:tc>
          <w:tcPr>
            <w:tcW w:type="pct" w:w="8%"/>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2</w:t>
            </w:r>
          </w:p>
        </w:tc>
        <w:tc>
          <w:tcPr>
            <w:tcW w:type="pct" w:w="8%"/>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10</w:t>
            </w:r>
          </w:p>
        </w:tc>
        <w:tc>
          <w:tcPr>
            <w:tcW w:type="pct" w:w="11%"/>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8,551</w:t>
            </w:r>
          </w:p>
        </w:tc>
        <w:tc>
          <w:tcPr>
            <w:tcW w:type="pct" w:w="11%"/>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0%"/>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2%"/>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4%"/>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ported, arithmetic</w:t>
            </w:r>
          </w:p>
        </w:tc>
      </w:tr>
      <w:tr>
        <w:trPr>
          <w:cantSplit/>
        </w:trPr>
        <w:tc>
          <w:tcPr>
            <w:tcW w:type="pct" w:w="26%"/>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Calculate Concentrations of Solutions</w:t>
            </w:r>
          </w:p>
        </w:tc>
        <w:tc>
          <w:tcPr>
            <w:tcW w:type="pct" w:w="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2</w:t>
            </w:r>
          </w:p>
        </w:tc>
        <w:tc>
          <w:tcPr>
            <w:tcW w:type="pct" w:w="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10</w:t>
            </w:r>
          </w:p>
        </w:tc>
        <w:tc>
          <w:tcPr>
            <w:tcW w:type="pct" w:w="11%"/>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4,994</w:t>
            </w:r>
          </w:p>
        </w:tc>
        <w:tc>
          <w:tcPr>
            <w:tcW w:type="pct" w:w="11%"/>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0%"/>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2%"/>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4%"/>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ported, arithmetic</w:t>
            </w:r>
          </w:p>
        </w:tc>
      </w:tr>
      <w:tr>
        <w:trPr>
          <w:cantSplit/>
        </w:trPr>
        <w:tc>
          <w:tcPr>
            <w:tcW w:type="pct" w:w="26%"/>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Calculate Volumes of Gases</w:t>
            </w:r>
          </w:p>
        </w:tc>
        <w:tc>
          <w:tcPr>
            <w:tcW w:type="pct" w:w="8%"/>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2</w:t>
            </w:r>
          </w:p>
        </w:tc>
        <w:tc>
          <w:tcPr>
            <w:tcW w:type="pct" w:w="8%"/>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10</w:t>
            </w:r>
          </w:p>
        </w:tc>
        <w:tc>
          <w:tcPr>
            <w:tcW w:type="pct" w:w="11%"/>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4,479</w:t>
            </w:r>
          </w:p>
        </w:tc>
        <w:tc>
          <w:tcPr>
            <w:tcW w:type="pct" w:w="11%"/>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0%"/>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2%"/>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4%"/>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ported, arithmetic</w:t>
            </w:r>
          </w:p>
        </w:tc>
      </w:tr>
      <w:tr>
        <w:trPr>
          <w:cantSplit/>
        </w:trPr>
        <w:tc>
          <w:tcPr>
            <w:tcW w:type="pct" w:w="26%"/>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Formation of Ions</w:t>
            </w:r>
          </w:p>
        </w:tc>
        <w:tc>
          <w:tcPr>
            <w:tcW w:type="pct" w:w="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2</w:t>
            </w:r>
          </w:p>
        </w:tc>
        <w:tc>
          <w:tcPr>
            <w:tcW w:type="pct" w:w="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10</w:t>
            </w:r>
          </w:p>
        </w:tc>
        <w:tc>
          <w:tcPr>
            <w:tcW w:type="pct" w:w="11%"/>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1,526</w:t>
            </w:r>
          </w:p>
        </w:tc>
        <w:tc>
          <w:tcPr>
            <w:tcW w:type="pct" w:w="11%"/>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0%"/>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2%"/>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 designed</w:t>
            </w:r>
          </w:p>
        </w:tc>
        <w:tc>
          <w:tcPr>
            <w:tcW w:type="pct" w:w="14%"/>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null (declared)</w:t>
            </w:r>
          </w:p>
        </w:tc>
      </w:tr>
      <w:tr>
        <w:trPr>
          <w:cantSplit/>
        </w:trPr>
        <w:tc>
          <w:tcPr>
            <w:tcW w:type="pct" w:w="26%"/>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Common Ions</w:t>
            </w:r>
          </w:p>
        </w:tc>
        <w:tc>
          <w:tcPr>
            <w:tcW w:type="pct" w:w="8%"/>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2</w:t>
            </w:r>
          </w:p>
        </w:tc>
        <w:tc>
          <w:tcPr>
            <w:tcW w:type="pct" w:w="8%"/>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10</w:t>
            </w:r>
          </w:p>
        </w:tc>
        <w:tc>
          <w:tcPr>
            <w:tcW w:type="pct" w:w="11%"/>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1,832</w:t>
            </w:r>
          </w:p>
        </w:tc>
        <w:tc>
          <w:tcPr>
            <w:tcW w:type="pct" w:w="11%"/>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0%"/>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0</w:t>
            </w:r>
          </w:p>
        </w:tc>
        <w:tc>
          <w:tcPr>
            <w:tcW w:type="pct" w:w="12%"/>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 designed</w:t>
            </w:r>
          </w:p>
        </w:tc>
        <w:tc>
          <w:tcPr>
            <w:tcW w:type="pct" w:w="14%"/>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null (declared)</w:t>
            </w:r>
          </w:p>
        </w:tc>
      </w:tr>
    </w:tbl>
    <w:p>
      <w:pPr>
        <w:spacing w:line="312" w:after="120"/>
        <w:jc w:val="both"/>
      </w:pPr>
      <w:r>
        <w:rPr>
          <w:color w:val="000000"/>
          <w:sz w:val="24"/>
          <w:szCs w:val="24"/>
          <w:rFonts w:ascii="Times New Roman" w:hAnsi="Times New Roman" w:eastAsia="SimSun"/>
        </w:rPr>
        <w:t xml:space="preserve">The aggregate of record: 12 notes, 24 lessons, 124 key points, 84 glossary entries, 120 checks with 480 fully explained options and 360 named-misconception distractors; 46,306 characters of source authored at two lessons per note without exception. The receipts' focused total is zero seconds against the wave-1 instrumented basis of 283 seconds per note, and the wave's only wall time is the 142 seconds of the notes-five-six repair interval. The event logs give the honest mechanism: P0 through P7 phase closures completed in 186 to 253 milliseconds on every note, P8 export windows are sub-resolution on the ten single-pass notes, and exactly one P8 phase-end appears in every log. Section 6 gives the repair story in full and section 7 owns the interpretation.</w:t>
      </w:r>
    </w:p>
    <w:p>
      <w:pPr>
        <w:pStyle w:val="Heading1"/>
        <w:keepNext/>
        <w:spacing w:before="360" w:after="160" w:line="312"/>
      </w:pPr>
      <w:bookmarkStart w:id="100004" w:name="_Toc100004"/>
      <w:r>
        <w:rPr>
          <w:b/>
          <w:bCs/>
          <w:color w:val="15857A"/>
          <w:sz w:val="32"/>
          <w:szCs w:val="32"/>
          <w:rFonts w:ascii="Times New Roman" w:hAnsi="Times New Roman" w:eastAsia="SimSun"/>
        </w:rPr>
        <w:t xml:space="preserve">5. Quality of Record</w:t>
      </w:r>
      <w:bookmarkEnd w:id="100004"/>
    </w:p>
    <w:p>
      <w:pPr>
        <w:spacing w:line="312" w:after="120"/>
        <w:jc w:val="both"/>
      </w:pPr>
      <w:r>
        <w:rPr>
          <w:color w:val="000000"/>
          <w:sz w:val="24"/>
          <w:szCs w:val="24"/>
          <w:rFonts w:ascii="Times New Roman" w:hAnsi="Times New Roman" w:eastAsia="SimSun"/>
        </w:rPr>
        <w:t xml:space="preserve">All twelve layer files validate against the guided-lesson/0.1 JSON Schema (draft-07, additionalProperties false throughout, so unknown fields fail closed), verified at export by ajv and re-verified by the round verifier after each round and again at this close-out. All twelve pass the house-style lint with zero hard-fail violations: spec-point coverage is exact (every code of record referenced, no invented codes, every referenced code carrying its official content-pack text), every check keys exactly one correct option, all 480 options carry explanations, and all 360 distractors name the misconception they catch. The dual gate exported all twelve layers first-pass clean after pre-flight lint catches were fixed before the export attempt, the first wave of the programme to record no gate-blocked export at all.</w:t>
      </w:r>
    </w:p>
    <w:p>
      <w:pPr>
        <w:spacing w:line="312" w:after="120"/>
        <w:jc w:val="both"/>
      </w:pPr>
      <w:r>
        <w:rPr>
          <w:color w:val="000000"/>
          <w:sz w:val="24"/>
          <w:szCs w:val="24"/>
          <w:rFonts w:ascii="Times New Roman" w:hAnsi="Times New Roman" w:eastAsia="SimSun"/>
        </w:rPr>
        <w:t xml:space="preserve">The warning inventory of record is five designed declarations and nothing else: workedExample-null on notes two, six, seven, eleven and twelve, each a source note carrying no worked example of any kind, where null is the of-record behaviour. Notably, no no-arithmetic declaration was needed anywhere in the wave: every ported worked example was arithmetic-bearing, and the calculation notes reused the of-record scanner formulations to verify them. The round-by-round narrative tally tracked the receipts exactly this wave (one designed declaration at the open round, two from notes five-six, three from notes seven-eight, five at the closing pair), so unlike the wave-2 close-out there is no reconciliation drift to correct; the receipts are authoritative and the aggregate receipt carries the parity statement.</w:t>
      </w:r>
    </w:p>
    <w:p>
      <w:pPr>
        <w:spacing w:line="312" w:after="120"/>
        <w:jc w:val="both"/>
      </w:pPr>
      <w:r>
        <w:rPr>
          <w:color w:val="000000"/>
          <w:sz w:val="24"/>
          <w:szCs w:val="24"/>
          <w:rFonts w:ascii="Times New Roman" w:hAnsi="Times New Roman" w:eastAsia="SimSun"/>
        </w:rPr>
        <w:t xml:space="preserve">Content discipline held across all seven genres of the register. Source-fidelity was protected from the start: the largest note of the corpus (note eight, 8,551 characters) was split across a six-step empirical-formula table and the hydrated-salt adaptation without a single fidelity run at export. The plain-words register scan was satisfied by glossing rather than weakening, extending the wave-2 single-word precedent: configuration glossed as a bare term on notes one and two, conservation on note three, and note six keeping the word crystallisation out of scanned fields entirely while the phrase water of crystallisation glosses the concept; note five avoids all long -ation words in scanned fields with the concepts riding in unscanned key points and checks. Superscript spacing in spec texts was normalised on the wave-2 treatment's authority (dm3, cm3, Ag+, NH4+), and the primer, confidence-gate contract, and glossary cap structures all passed untouched.</w:t>
      </w:r>
    </w:p>
    <w:p>
      <w:pPr>
        <w:spacing w:line="312" w:after="120"/>
        <w:jc w:val="both"/>
      </w:pPr>
      <w:r>
        <w:rPr>
          <w:color w:val="000000"/>
          <w:sz w:val="24"/>
          <w:szCs w:val="24"/>
          <w:rFonts w:ascii="Times New Roman" w:hAnsi="Times New Roman" w:eastAsia="SimSun"/>
        </w:rPr>
        <w:t xml:space="preserve">The arithmetic-verification rule evaluated all seven ported worked examples and their companion check batteries, and every final answer traces to stated steps: the sodium-ion configuration count (11 minus 1 giving 10, trace to 2,8), the three-part formula masses (58.5, 79.5, 148 with the Mg(NO3)2 sum going stepwise 24 + 28 + 96), the magnesium combustion chain (6 over 24 giving 0.25, 24 + 16 giving 40, 0.25 times 40 giving 10), the copper(II) sulfate yield (1.6 over 2.0 times 100 giving 80, in the numeric-lhs form), the sodium hydroxide concentration chain, and the nitrogen gas volume (154 grams over 28 times 24 giving 132), with the empirical-formulae note's ported example riding the six-step table. The headline check batteries were hand-verified of record: the formula-mass checks (74/57/72/98, 138/99/122/140, 132/114/130/148), the practical ratios (44/28/60 and the 10/40/8/4 g reacting-mass set), and the metal-oxide 1:1 datasets (0.72/24 and 0.48/16 both giving 0.03, 0.049/0.025 giving 1.96 with a 0.51 inversion distractor). Two of-record scanner decisions were extended or documented this wave: the percentage-yield example was authored in the label-colon, numeric-lhs, single-equals form (one equals per step, assignment steps carrying none), and a new crash mode was documented of record, in which a step written with two equals signs makes the shunting-yard resume inside the numeric run and throw a malformed-expression error that crashes the lint rule; the single-equals formulation structurally avoids it.</w:t>
      </w:r>
    </w:p>
    <w:p>
      <w:pPr>
        <w:pStyle w:val="Heading1"/>
        <w:keepNext/>
        <w:spacing w:before="360" w:after="160" w:line="312"/>
      </w:pPr>
      <w:bookmarkStart w:id="100005" w:name="_Toc100005"/>
      <w:r>
        <w:rPr>
          <w:b/>
          <w:bCs/>
          <w:color w:val="15857A"/>
          <w:sz w:val="32"/>
          <w:szCs w:val="32"/>
          <w:rFonts w:ascii="Times New Roman" w:hAnsi="Times New Roman" w:eastAsia="SimSun"/>
        </w:rPr>
        <w:t xml:space="preserve">6. Measurement Integrity and Flow Variation</w:t>
      </w:r>
      <w:bookmarkEnd w:id="100005"/>
    </w:p>
    <w:p>
      <w:pPr>
        <w:spacing w:line="312" w:after="120"/>
        <w:jc w:val="both"/>
      </w:pPr>
      <w:r>
        <w:rPr>
          <w:color w:val="000000"/>
          <w:sz w:val="24"/>
          <w:szCs w:val="24"/>
          <w:rFonts w:ascii="Times New Roman" w:hAnsi="Times New Roman" w:eastAsia="SimSun"/>
        </w:rPr>
        <w:t xml:space="preserve">Wave-3's headline measurement fact is the programme's first all-zero focused total: every phase clock on every one of the twelve receipts read at or below timer resolution, because all twelve chains ran as pre-write batch invocations under the posture wave-2 established and wave-3 adopted natively from its first round. The persisted event logs give the mechanism at millisecond resolution: P0 through P7 phase closures completed in 186 to 253 milliseconds per note (the same band wave-2 recorded at 191 to 222), the P8 export windows are sub-resolution on the ten notes whose chains exported in a single pass, and the nominal phase-share percentages are undefined at a zero total rather than misleadingly concentrated. The receipts record exactly what the clocks observed; nothing was rounded, reconstructed or back-filled to make the numbers look conventional, and the aggregate receipt carries the per-note ground truth.</w:t>
      </w:r>
    </w:p>
    <w:p>
      <w:pPr>
        <w:spacing w:line="312" w:after="120"/>
        <w:jc w:val="both"/>
      </w:pPr>
      <w:r>
        <w:rPr>
          <w:color w:val="000000"/>
          <w:sz w:val="24"/>
          <w:szCs w:val="24"/>
          <w:rFonts w:ascii="Times New Roman" w:hAnsi="Times New Roman" w:eastAsia="SimSun"/>
        </w:rPr>
        <w:t xml:space="preserve">The wave's one non-zero story is the repair of record, disclosed here as it was disclosed in the logs at the time. On the third round, the first phase P1 command of both notes-five-six chains was passed the assist flag in error: P0 closed flagged, which contradicts the P0 read-only unflagged precedent that notes one through four (and every prior production note) carry, making each receipt self-contradictory against its own protocol line. The repair was surgical and is itself persisted tooling: the repair script corrected assist true to false on the P0 phase-end of the two event logs only, touched no layer file and no content field, and then the harness's idempotent re-export path regenerated both receipts. The transparency trail is visible in the logs themselves, where each notes-five-six log carries a second export event marked reExport; exactly one P8 phase-end per note held through the repair (no phase was ever re-closed), and the receipts' 74 and 68 second wall spans honestly bracket the repair interval rather than hiding it. From the fourth round onward the corrected invocation pattern was applied natively and verified clean on every remaining note.</w:t>
      </w:r>
    </w:p>
    <w:p>
      <w:pPr>
        <w:spacing w:line="312" w:after="120"/>
        <w:jc w:val="both"/>
      </w:pPr>
      <w:r>
        <w:rPr>
          <w:color w:val="000000"/>
          <w:sz w:val="24"/>
          <w:szCs w:val="24"/>
          <w:rFonts w:ascii="Times New Roman" w:hAnsi="Times New Roman" w:eastAsia="SimSun"/>
        </w:rPr>
        <w:t xml:space="preserve">The integrity machinery accumulated further live proof. The harness patch that persists event logs at mutation time and keeps re-exports from re-closing phases survived its seventh and eighth consecutive production rounds: wave-3 recorded no gate-blocked first exports at all (a first at wave scale, with pre-flight catches fixing schema and lint issues before any export attempt), and the two repair-driven re-exports on notes five and six ran provably idempotent, which exercises the same property through a different door. Chain-order discipline is asserted mechanically at receipt build on all twelve notes, including a new P0 phase-end assist-false assert on every event log added in the wake of the repair, so the failure mode that motivated the repair is now a permanent verification guard rather than a memory.</w:t>
      </w:r>
    </w:p>
    <w:p>
      <w:pPr>
        <w:spacing w:line="312" w:after="120"/>
        <w:jc w:val="both"/>
      </w:pPr>
      <w:r>
        <w:rPr>
          <w:color w:val="000000"/>
          <w:sz w:val="24"/>
          <w:szCs w:val="24"/>
          <w:rFonts w:ascii="Times New Roman" w:hAnsi="Times New Roman" w:eastAsia="SimSun"/>
        </w:rPr>
        <w:t xml:space="preserve">The register-scanner discipline also hardened this wave in a way future waves inherit. The wave-2 observation that the scanner matches individual words (so a two-word glossary phrase does not cover its own headword) became a working pattern set: configuration glossed bare on notes one and two, conservation bare on note three, and note six's crystallisation handled by keeping the single word out of every scanned field while the full phrase glosses the concept in unscanned content. On the arithmetic side, the note-eight numeric-lhs formulation and the note-eleven stepwise formulation were both reused under load, and the crash mode those patterns exist to avoid was documented of record with its exact mechanism (an operator-led left-hand side fragment makes the shunting-yard evaluator resume inside a numeric run and throw), giving future authors a named failure mode instead of a surprise.</w:t>
      </w:r>
    </w:p>
    <w:p>
      <w:pPr>
        <w:pStyle w:val="Heading1"/>
        <w:keepNext/>
        <w:spacing w:before="360" w:after="160" w:line="312"/>
      </w:pPr>
      <w:bookmarkStart w:id="100006" w:name="_Toc100006"/>
      <w:r>
        <w:rPr>
          <w:b/>
          <w:bCs/>
          <w:color w:val="15857A"/>
          <w:sz w:val="32"/>
          <w:szCs w:val="32"/>
          <w:rFonts w:ascii="Times New Roman" w:hAnsi="Times New Roman" w:eastAsia="SimSun"/>
        </w:rPr>
        <w:t xml:space="preserve">7. Recalibration Checkpoint of Record</w:t>
      </w:r>
      <w:bookmarkEnd w:id="100006"/>
    </w:p>
    <w:p>
      <w:pPr>
        <w:spacing w:line="312" w:after="120"/>
        <w:jc w:val="both"/>
      </w:pPr>
      <w:r>
        <w:rPr>
          <w:color w:val="000000"/>
          <w:sz w:val="24"/>
          <w:szCs w:val="24"/>
          <w:rFonts w:ascii="Times New Roman" w:hAnsi="Times New Roman" w:eastAsia="SimSun"/>
        </w:rPr>
        <w:t xml:space="preserve">The pacing file's recalibration clause requires that at each wave receipt the lane recompute the mean seconds per note, seconds per character and phase shares from that wave's receipts, restate the estimators, and disclose any drift before the next wave opens. Recomputed from the twelve wave-3 receipts: mean zero seconds per note, zero seconds per character, and phase shares undefined at the zero total. Recomputed from the event logs: P0 through P7 totals of 186 to 253 milliseconds per note, P8 windows sub-resolution on ten notes and ms-scale on the two repair notes, and 142 seconds of wall time fully attributed to the disclosed repair interval. Recomputed against the wave-1 basis (283 seconds per note, 0.0697 seconds per character): the nominal wave-3 figures are infinitely below the basis, which is the arithmetic signature of a zero numerator, not a deflation to be interpreted.</w:t>
      </w:r>
    </w:p>
    <w:p>
      <w:pPr>
        <w:spacing w:line="312" w:after="120"/>
        <w:jc w:val="both"/>
      </w:pPr>
      <w:r>
        <w:rPr>
          <w:color w:val="000000"/>
          <w:sz w:val="24"/>
          <w:szCs w:val="24"/>
          <w:rFonts w:ascii="Times New Roman" w:hAnsi="Times New Roman" w:eastAsia="SimSun"/>
        </w:rPr>
        <w:t xml:space="preserve">The checkpoint's decision of record reaffirms the wave-2 absorption decision unchanged in all four parts. First, the planning estimator of record remains the wave-1 instrumented basis (283 seconds per note, 0.0697 seconds per character, wave-1 phase shares); wave-2 and wave-3 receipts alike are classified of record as export-gate telemetry, retained because they still prove schema verdicts, lint state, chain-order discipline, idempotence and wall spans, and not used to restate the pacing estimators. Second, re-timing a paced round remains declined: under the batch authoring posture the instrument still measures the chain window, and wave-3's zero totals make the point more starkly than wave-2's 418 seconds did, since there is literally nothing on the clock to misread. Third, receipts continue on every future wave regardless, each carrying its own event-log ground-truth block, and focused tallies are never compared across waves with different authoring placement. Fourth, the corpus-wide exposure arithmetic is unchanged: the 28, 56 and 93 author-day bands remain the only planning figures, and the 0.2-hours-per-topic floor remains never quotable as a human rate.</w:t>
      </w:r>
    </w:p>
    <w:p>
      <w:pPr>
        <w:spacing w:line="312" w:after="120"/>
        <w:jc w:val="both"/>
      </w:pPr>
      <w:r>
        <w:rPr>
          <w:color w:val="000000"/>
          <w:sz w:val="24"/>
          <w:szCs w:val="24"/>
          <w:rFonts w:ascii="Times New Roman" w:hAnsi="Times New Roman" w:eastAsia="SimSun"/>
        </w:rPr>
        <w:t xml:space="preserve">The comparability rule that future wave reports inherit is unchanged and wave-3 sharpens it: a focused total means the time the instrument observed, and the instrument only observes what the chain encloses. Wave-2 and wave-3 share one comparability class (both declare the pre-write batch placement), so their focused totals are comparable to each other (418 seconds against zero, a difference fully explained by wave-2's heavy export windows and wave-3's single-pass exports plus repair attribution), while neither is comparable to wave-1's authoring-in-chain placement. Each wave receipt states its own placement and the estimator basis in force, and that pairing is what future readers should trust.</w:t>
      </w:r>
    </w:p>
    <w:p>
      <w:pPr>
        <w:pStyle w:val="Heading1"/>
        <w:keepNext/>
        <w:spacing w:before="360" w:after="160" w:line="312"/>
      </w:pPr>
      <w:bookmarkStart w:id="100007" w:name="_Toc100007"/>
      <w:r>
        <w:rPr>
          <w:b/>
          <w:bCs/>
          <w:color w:val="15857A"/>
          <w:sz w:val="32"/>
          <w:szCs w:val="32"/>
          <w:rFonts w:ascii="Times New Roman" w:hAnsi="Times New Roman" w:eastAsia="SimSun"/>
        </w:rPr>
        <w:t xml:space="preserve">8. Interpretation and Progress</w:t>
      </w:r>
      <w:bookmarkEnd w:id="100007"/>
    </w:p>
    <w:p>
      <w:pPr>
        <w:spacing w:line="312" w:after="120"/>
        <w:jc w:val="both"/>
      </w:pPr>
      <w:r>
        <w:rPr>
          <w:color w:val="000000"/>
          <w:sz w:val="24"/>
          <w:szCs w:val="24"/>
          <w:rFonts w:ascii="Times New Roman" w:hAnsi="Times New Roman" w:eastAsia="SimSun"/>
        </w:rPr>
        <w:t xml:space="preserve">The programme stands at 34 of 112 notes authored, 30.4 percent of the corpus, with the remaining 78 notes staged in the pacing file's wave-4 through wave-10 registers. Wave-3 closed two subtopics outright: The Periodic Table (four of four notes across waves one through three) and Chemical Formulae, Equations, Calculations (ten of ten, of which wave-3 authored eight and wave-1 had carried the equation and mole foundations). It opened Ionic Bonding (two of five, three remaining in wave-4) and took the programme through both extension-C calculation spec points without a single non-designed lint warning. Cumulatively the programme now holds 72 lessons, 360 checks, 377 key points and 236 glossary entries across 34 notes, every lesson carrying the write-once confidence-gate contract, two depth layers and the check battery.</w:t>
      </w:r>
    </w:p>
    <w:p>
      <w:pPr>
        <w:spacing w:line="312" w:after="120"/>
        <w:jc w:val="both"/>
      </w:pPr>
      <w:r>
        <w:rPr>
          <w:color w:val="000000"/>
          <w:sz w:val="24"/>
          <w:szCs w:val="24"/>
          <w:rFonts w:ascii="Times New Roman" w:hAnsi="Times New Roman" w:eastAsia="SimSun"/>
        </w:rPr>
        <w:t xml:space="preserve">The format carried its heaviest load yet without strain. The wave exercised every calculation genre the corpus offers at Principles of Chemistry depth, absorbed the largest source note of the programme (8,551 characters, split into a six-step empirical table plus a hydrated-salt adaptation), authored both a twin-method practical note and an experiment-method note, and did all of it inside guided-lesson/0.1 with no schema extension anywhere in the wave, which is now three consecutive waves of evidence that the v0.1 format holds. The check batteries diversified accordingly: ratio-scaling sets for titrations, inversion distractors for mole divisions, table-row checks for gas volumes, and dataset checks built to each named misconception in the practicals.</w:t>
      </w:r>
    </w:p>
    <w:p>
      <w:pPr>
        <w:spacing w:line="312" w:after="120"/>
        <w:jc w:val="both"/>
      </w:pPr>
      <w:r>
        <w:rPr>
          <w:color w:val="000000"/>
          <w:sz w:val="24"/>
          <w:szCs w:val="24"/>
          <w:rFonts w:ascii="Times New Roman" w:hAnsi="Times New Roman" w:eastAsia="SimSun"/>
        </w:rPr>
        <w:t xml:space="preserve">The programme also gained a durable external home this close-out, on the operator's explicit instruction: all wave artefacts of record (layers, receipts, event logs, the pinned snapshot, the pacing register, the gate tooling and the wave reports) now file to the resources repository under the SME-GuidedLessons folder as a new top-level programme home, landed as a single additive commit and verified by content-hash reconciliation; future waves append there. This discharges the records-push item the wave-2 report had deferred, and it means the wave-4 open inherits both a staging convention and a publication convention from day one. The operator-gated classes (ignition, secrets, serving-path changes) remain otherwise closed and unconsumed.</w:t>
      </w:r>
    </w:p>
    <w:p>
      <w:pPr>
        <w:pStyle w:val="Heading1"/>
        <w:keepNext/>
        <w:spacing w:before="360" w:after="160" w:line="312"/>
      </w:pPr>
      <w:bookmarkStart w:id="100008" w:name="_Toc100008"/>
      <w:r>
        <w:rPr>
          <w:b/>
          <w:bCs/>
          <w:color w:val="15857A"/>
          <w:sz w:val="32"/>
          <w:szCs w:val="32"/>
          <w:rFonts w:ascii="Times New Roman" w:hAnsi="Times New Roman" w:eastAsia="SimSun"/>
        </w:rPr>
        <w:t xml:space="preserve">9. Artifacts of Record</w:t>
      </w:r>
      <w:bookmarkEnd w:id="100008"/>
    </w:p>
    <w:p>
      <w:pPr>
        <w:spacing w:line="312" w:after="120"/>
        <w:jc w:val="both"/>
      </w:pPr>
      <w:r>
        <w:rPr>
          <w:color w:val="000000"/>
          <w:sz w:val="24"/>
          <w:szCs w:val="24"/>
          <w:rFonts w:ascii="Times New Roman" w:hAnsi="Times New Roman" w:eastAsia="SimSun"/>
        </w:rPr>
        <w:t xml:space="preserve">All wave deliverables of record are filed in the download directory, mirrored to the resources repository home, and reproducible from the scripts. Table 3 maps the artifact tree as it stands at wave close.</w:t>
      </w:r>
    </w:p>
    <w:p>
      <w:pPr>
        <w:keepNext/>
        <w:spacing w:before="200" w:after="80" w:line="312"/>
      </w:pPr>
      <w:r>
        <w:rPr>
          <w:b/>
          <w:bCs/>
          <w:color w:val="404040"/>
          <w:sz w:val="21"/>
          <w:szCs w:val="21"/>
          <w:rFonts w:ascii="Times New Roman" w:hAnsi="Times New Roman" w:eastAsia="SimSun"/>
        </w:rPr>
        <w:t xml:space="preserve">Table 3: Artifact map of record, wave-3</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tblGrid>
      <w:tr>
        <w:trPr>
          <w:cantSplit/>
          <w:tblHeader/>
        </w:trPr>
        <w:tc>
          <w:tcPr>
            <w:tcW w:type="pct" w:w="32%"/>
            <w:shd w:fill="15857A" w:val="clear"/>
            <w:tcMar>
              <w:top w:type="dxa" w:w="60"/>
              <w:left w:type="dxa" w:w="120"/>
              <w:bottom w:type="dxa" w:w="60"/>
              <w:right w:type="dxa" w:w="120"/>
            </w:tcMar>
          </w:tcPr>
          <w:p>
            <w:pPr>
              <w:spacing w:line="276"/>
              <w:jc w:val="left"/>
            </w:pPr>
            <w:r>
              <w:rPr>
                <w:b/>
                <w:bCs/>
                <w:color w:val="FFFFFF"/>
                <w:sz w:val="20"/>
                <w:szCs w:val="20"/>
                <w:rFonts w:ascii="Times New Roman" w:hAnsi="Times New Roman" w:eastAsia="SimSun"/>
              </w:rPr>
              <w:t xml:space="preserve">Location</w:t>
            </w:r>
          </w:p>
        </w:tc>
        <w:tc>
          <w:tcPr>
            <w:tcW w:type="pct" w:w="68%"/>
            <w:shd w:fill="15857A" w:val="clear"/>
            <w:tcMar>
              <w:top w:type="dxa" w:w="60"/>
              <w:left w:type="dxa" w:w="120"/>
              <w:bottom w:type="dxa" w:w="60"/>
              <w:right w:type="dxa" w:w="120"/>
            </w:tcMar>
          </w:tcPr>
          <w:p>
            <w:pPr>
              <w:spacing w:line="276"/>
              <w:jc w:val="left"/>
            </w:pPr>
            <w:r>
              <w:rPr>
                <w:b/>
                <w:bCs/>
                <w:color w:val="FFFFFF"/>
                <w:sz w:val="20"/>
                <w:szCs w:val="20"/>
                <w:rFonts w:ascii="Times New Roman" w:hAnsi="Times New Roman" w:eastAsia="SimSun"/>
              </w:rPr>
              <w:t xml:space="preserve">Contents</w:t>
            </w:r>
          </w:p>
        </w:tc>
      </w:tr>
      <w:tr>
        <w:trPr>
          <w:cantSplit/>
        </w:trPr>
        <w:tc>
          <w:tcPr>
            <w:tcW w:type="pct" w:w="32%"/>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download/wave3/</w:t>
            </w:r>
          </w:p>
        </w:tc>
        <w:tc>
          <w:tcPr>
            <w:tcW w:type="pct" w:w="6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12 layer files guided-lesson-&lt;noteId&gt;.json + 12 timing receipts timing-receipt-&lt;noteId&gt;.json + the aggregate wave3-receipt.json (minted at this close-out, with the recalibration reaffirmation, event-log ground truth and repair transparency)</w:t>
            </w:r>
          </w:p>
        </w:tc>
      </w:tr>
      <w:tr>
        <w:trPr>
          <w:cantSplit/>
        </w:trPr>
        <w:tc>
          <w:tcPr>
            <w:tcW w:type="pct" w:w="32%"/>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download/Wave-3-Authoring-Wave-Report-20261025.docx</w:t>
            </w:r>
          </w:p>
        </w:tc>
        <w:tc>
          <w:tcPr>
            <w:tcW w:type="pct" w:w="68%"/>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This report, the covering document of record for the wave</w:t>
            </w:r>
          </w:p>
        </w:tc>
      </w:tr>
      <w:tr>
        <w:trPr>
          <w:cantSplit/>
        </w:trPr>
        <w:tc>
          <w:tcPr>
            <w:tcW w:type="pct" w:w="32%"/>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download/wave-pacing-open-20261024.json</w:t>
            </w:r>
          </w:p>
        </w:tc>
        <w:tc>
          <w:tcPr>
            <w:tcW w:type="pct" w:w="6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The pacing file of record: OPEN-posture schedule for the remaining notes, pacing principles including the recalibration clause, and the wave-2 through wave-10 registers</w:t>
            </w:r>
          </w:p>
        </w:tc>
      </w:tr>
      <w:tr>
        <w:trPr>
          <w:cantSplit/>
        </w:trPr>
        <w:tc>
          <w:tcPr>
            <w:tcW w:type="pct" w:w="32%"/>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SME-GuidedLessons/ (syllabai-resources, commit 7dbdf2ba + the close-out append)</w:t>
            </w:r>
          </w:p>
        </w:tc>
        <w:tc>
          <w:tcPr>
            <w:tcW w:type="pct" w:w="68%"/>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The programme's durable repository home: wave-1/2/3 exports, event logs, the pinned corpus snapshot, the pacing register, gate tooling (26 scripts), wave reports, README decision record and per-file MANIFEST</w:t>
            </w:r>
          </w:p>
        </w:tc>
      </w:tr>
      <w:tr>
        <w:trPr>
          <w:cantSplit/>
        </w:trPr>
        <w:tc>
          <w:tcPr>
            <w:tcW w:type="pct" w:w="32%"/>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scripts/</w:t>
            </w:r>
          </w:p>
        </w:tc>
        <w:tc>
          <w:tcPr>
            <w:tcW w:type="pct" w:w="6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Toolchain additions of this wave: wave3-round-verify.js (per-round verification extended in place, now carrying the close-out guards), wave3-wave-receipt.js (aggregate receipt builder), wave3-schema-check.js (standalone pre-flight ajv gate), wave3-row-dump.js (register/snapshot row reconciliation), wave3-p0flag-repair.js (the disclosed repair tool), and this report's generator; the wave-1/2 toolchain is unchanged</w:t>
            </w:r>
          </w:p>
        </w:tc>
      </w:tr>
      <w:tr>
        <w:trPr>
          <w:cantSplit/>
        </w:trPr>
        <w:tc>
          <w:tcPr>
            <w:tcW w:type="pct" w:w="32%"/>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.tmp/wave3/</w:t>
            </w:r>
          </w:p>
        </w:tc>
        <w:tc>
          <w:tcPr>
            <w:tcW w:type="pct" w:w="68%"/>
            <w:shd w:fill="F0EDE5"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Working state: 12 persisted event logs runs/&lt;noteId&gt;.events.json (the chain-discipline and repair evidence), 12 layer working copies</w:t>
            </w:r>
          </w:p>
        </w:tc>
      </w:tr>
      <w:tr>
        <w:trPr>
          <w:cantSplit/>
        </w:trPr>
        <w:tc>
          <w:tcPr>
            <w:tcW w:type="pct" w:w="32%"/>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worklog.md</w:t>
            </w:r>
          </w:p>
        </w:tc>
        <w:tc>
          <w:tcPr>
            <w:tcW w:type="pct" w:w="68%"/>
            <w:shd w:fill="FFFFFF" w:val="clear"/>
            <w:tcMar>
              <w:top w:type="dxa" w:w="60"/>
              <w:left w:type="dxa" w:w="120"/>
              <w:bottom w:type="dxa" w:w="60"/>
              <w:right w:type="dxa" w:w="120"/>
            </w:tcMar>
          </w:tcPr>
          <w:p>
            <w:pPr>
              <w:spacing w:line="276"/>
              <w:jc w:val="left"/>
            </w:pPr>
            <w:r>
              <w:rPr>
                <w:b w:val="false"/>
                <w:bCs w:val="false"/>
                <w:color w:val="000000"/>
                <w:sz w:val="20"/>
                <w:szCs w:val="20"/>
                <w:rFonts w:ascii="Times New Roman" w:hAnsi="Times New Roman" w:eastAsia="SimSun"/>
              </w:rPr>
              <w:t xml:space="preserve">Round-by-round narrative of record for all six rounds of the wave, including the repair disclosure trail and the invocation-pattern correction</w:t>
            </w:r>
          </w:p>
        </w:tc>
      </w:tr>
    </w:tbl>
    <w:p>
      <w:pPr>
        <w:spacing w:line="312" w:after="120"/>
        <w:jc w:val="both"/>
      </w:pPr>
      <w:r>
        <w:rPr>
          <w:color w:val="000000"/>
          <w:sz w:val="24"/>
          <w:szCs w:val="24"/>
          <w:rFonts w:ascii="Times New Roman" w:hAnsi="Times New Roman" w:eastAsia="SimSun"/>
        </w:rPr>
        <w:t xml:space="preserve">The database of record remains untouched for this lane: wave-3 made zero database contact, running entirely off the pinned snapshot, whose file-level SHA-256 was recomputed and matched at every round and again at this close-out (e23e2ab7 through 487d). The snapshot manifest remains the drift detector that would void reuse of authored layers were the corpus ever to move; it observed no drift across the wave.</w:t>
      </w:r>
    </w:p>
    <w:p>
      <w:pPr>
        <w:pStyle w:val="Heading1"/>
        <w:keepNext/>
        <w:spacing w:before="360" w:after="160" w:line="312"/>
      </w:pPr>
      <w:bookmarkStart w:id="100009" w:name="_Toc100009"/>
      <w:r>
        <w:rPr>
          <w:b/>
          <w:bCs/>
          <w:color w:val="15857A"/>
          <w:sz w:val="32"/>
          <w:szCs w:val="32"/>
          <w:rFonts w:ascii="Times New Roman" w:hAnsi="Times New Roman" w:eastAsia="SimSun"/>
        </w:rPr>
        <w:t xml:space="preserve">10. Next Steps of Record</w:t>
      </w:r>
      <w:bookmarkEnd w:id="100009"/>
    </w:p>
    <w:p>
      <w:pPr>
        <w:spacing w:line="312" w:after="120"/>
        <w:jc w:val="both"/>
      </w:pPr>
      <w:r>
        <w:rPr>
          <w:color w:val="000000"/>
          <w:sz w:val="24"/>
          <w:szCs w:val="24"/>
          <w:rFonts w:ascii="Times New Roman" w:hAnsi="Times New Roman" w:eastAsia="SimSun"/>
        </w:rPr>
        <w:t xml:space="preserve">Three items carry forward. First, wave-4: eleven notes of the Principles of Chemistry topic (39,034 characters, 25 spec points), closing Ionic Bonding (formulae for ionic compounds, dot-and-cross diagrams, bonds and properties), carrying all of Covalent Bonding (formation, diagrams, simple molecular and giant covalent structures) and Metallic Bonding, and opening Electrolysis (conductivity, experiments, and the aqueous-solutions practical). It opens on the next operator go under the identical discipline: snapshot pin re-verified before any authoring, ajv and docx reinstalled if the recycle pattern recurs, the corrected invocation pattern (first phase P1 command unflagged) applied natively, per-note receipts and persisted event logs, round verification updated in place, and a wave receipt plus recalibration checkpoint at eleven of eleven, with all artefacts appending to the SME-GuidedLessons repository home. Second, the measurement posture decided at the wave-2 checkpoint and reaffirmed here stands until changed: receipts as export-gate telemetry, estimator basis frozen at wave-1, no re-timing, and instrumented measurement reopening only if authoring returns inside the chain. Third, the deferred designs remain as the earlier waves left them: learner-side metering stays deferred per the OPEN brief, and the repository home now gives the records surface a standing address rather than a pending task.</w:t>
      </w:r>
    </w:p>
    <w:p>
      <w:pPr>
        <w:spacing w:line="312" w:after="120"/>
        <w:jc w:val="both"/>
      </w:pPr>
      <w:r>
        <w:rPr>
          <w:color w:val="000000"/>
          <w:sz w:val="24"/>
          <w:szCs w:val="24"/>
          <w:rFonts w:ascii="Times New Roman" w:hAnsi="Times New Roman" w:eastAsia="SimSun"/>
        </w:rPr>
        <w:t xml:space="preserve">Within the lane's standing constraints, nothing in this report requires operator ignition beyond the go that opens wave-4: all items are lane-local authoring, tooling or filing work against the already-established repository home. The operator-gated classes (ignition, secrets, serving-path changes) remain closed and unconsumed.</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Fonts w:ascii="Times New Roman" w:hAnsi="Times New Roman" w:eastAsia="SimSun"/>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Fonts w:ascii="Times New Roman" w:hAnsi="Times New Roman" w:eastAsia="SimSu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color w:val="808080"/>
        <w:sz w:val="18"/>
        <w:szCs w:val="18"/>
        <w:rFonts w:ascii="Times New Roman" w:hAnsi="Times New Roman" w:eastAsia="SimSun"/>
      </w:rPr>
      <w:t xml:space="preserve">Wave-3 Authoring Wave Report - Guided Learning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Fonts w:ascii="Times New Roman" w:hAnsi="Times New Roman" w:eastAsia="SimSun"/>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160" w:line="312"/>
      <w:outlineLvl w:val="0"/>
    </w:pPr>
    <w:rPr>
      <w:b/>
      <w:bCs/>
      <w:color w:val="15857A"/>
      <w:sz w:val="32"/>
      <w:szCs w:val="32"/>
      <w:rFonts w:ascii="Times New Roman" w:hAnsi="Times New Roman" w:eastAsia="SimSun"/>
    </w:rPr>
  </w:style>
  <w:style w:type="paragraph" w:styleId="Heading2">
    <w:name w:val="Heading 2"/>
    <w:basedOn w:val="Normal"/>
    <w:next w:val="Normal"/>
    <w:qFormat/>
    <w:pPr>
      <w:spacing w:before="240" w:after="120" w:line="312"/>
      <w:outlineLvl w:val="1"/>
    </w:pPr>
    <w:rPr>
      <w:b/>
      <w:bCs/>
      <w:color w:val="15857A"/>
      <w:sz w:val="28"/>
      <w:szCs w:val="28"/>
      <w:rFonts w:ascii="Times New Roman" w:hAnsi="Times New Roman" w:eastAsia="SimSun"/>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Wave-3 Authoring Wave Report</dc:title>
  <dc:creator>SyllabAI product engineering (lane w0a)</dc:creator>
  <cp:lastModifiedBy>Un-named</cp:lastModifiedBy>
  <cp:revision>1</cp:revision>
  <dcterms:created xsi:type="dcterms:W3CDTF">2026-10-24T20:57:34.831Z</dcterms:created>
  <dcterms:modified xsi:type="dcterms:W3CDTF">2026-10-24T20:57:34.831Z</dcterms:modified>
</cp:coreProperties>
</file>

<file path=docProps/custom.xml><?xml version="1.0" encoding="utf-8"?>
<Properties xmlns="http://schemas.openxmlformats.org/officeDocument/2006/custom-properties" xmlns:vt="http://schemas.openxmlformats.org/officeDocument/2006/docPropsVTypes"/>
</file>