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3944"/>
            </w:pPr>
          </w:p>
          <w:p>
            <w:pPr>
              <w:pBdr>
                <w:bottom w:val="single" w:color="FF6A3B" w:sz="6" w:space="8"/>
              </w:pBdr>
              <w:spacing w:after="500"/>
              <w:ind w:left="1200" w:right="800"/>
            </w:pPr>
            <w:r>
              <w:rPr>
                <w:rFonts w:ascii="Calibri" w:eastAsia="SimHei"/>
                <w:color w:val="FF6A3B"/>
                <w:spacing w:val="40"/>
                <w:sz w:val="18"/>
                <w:szCs w:val="18"/>
              </w:rPr>
              <w:t xml:space="preserve">W  A  V  E     R  E  P  O  R  T</w:t>
            </w:r>
          </w:p>
          <w:p>
            <w:pPr>
              <w:spacing w:after="100" w:line="920" w:lineRule="atLeast"/>
              <w:ind w:left="1200"/>
            </w:pPr>
            <w:r>
              <w:rPr>
                <w:rFonts w:ascii="Arial" w:eastAsia="SimHei"/>
                <w:b/>
                <w:bCs/>
                <w:color w:val="15857A"/>
                <w:sz w:val="80"/>
                <w:szCs w:val="80"/>
              </w:rPr>
              <w:t xml:space="preserve">Wave-5 Authoring</w:t>
            </w:r>
          </w:p>
          <w:p>
            <w:pPr>
              <w:spacing w:after="300" w:line="920" w:lineRule="atLeast"/>
              <w:ind w:left="1200"/>
            </w:pPr>
            <w:r>
              <w:rPr>
                <w:rFonts w:ascii="Arial" w:eastAsia="SimHei"/>
                <w:b/>
                <w:bCs/>
                <w:color w:val="15857A"/>
                <w:sz w:val="80"/>
                <w:szCs w:val="80"/>
              </w:rPr>
              <w:t xml:space="preserve">Wave Report</w:t>
            </w:r>
          </w:p>
          <w:p>
            <w:pPr>
              <w:spacing w:after="800"/>
              <w:ind w:left="1200" w:right="800"/>
            </w:pPr>
            <w:r>
              <w:rPr>
                <w:rFonts w:ascii="Arial" w:eastAsia="Microsoft YaHei"/>
                <w:color w:val="606060"/>
                <w:sz w:val="24"/>
                <w:szCs w:val="24"/>
              </w:rPr>
              <w:t xml:space="preserve">Topic 2 Inorganic Chemistry opens at fifteen of thirty-six with three subtopics closed outright, the programme crosses its halfway mark at 50.9 percent, and the practical note carries the first arithmetic-verified worked example since wave-1</w:t>
            </w:r>
          </w:p>
          <w:p>
            <w:pPr>
              <w:pBdr>
                <w:left w:val="single" w:color="FF6A3B" w:sz="8" w:space="12"/>
              </w:pBdr>
              <w:spacing w:after="80"/>
              <w:ind w:left="1400"/>
            </w:pPr>
            <w:r>
              <w:rPr>
                <w:rFonts w:ascii="Arial" w:eastAsia="Microsoft YaHei"/>
                <w:color w:val="707070"/>
                <w:sz w:val="24"/>
                <w:szCs w:val="24"/>
              </w:rPr>
              <w:t xml:space="preserve">Wave of record: wave-5, Topic T2 Inorganic Chemistry (opening), complete 2026-10-25 - 12/12 register notes exported clean first-pass</w:t>
            </w:r>
          </w:p>
          <w:p>
            <w:pPr>
              <w:pBdr>
                <w:left w:val="single" w:color="FF6A3B" w:sz="8" w:space="12"/>
              </w:pBdr>
              <w:spacing w:after="80"/>
              <w:ind w:left="1400"/>
            </w:pPr>
            <w:r>
              <w:rPr>
                <w:rFonts w:ascii="Arial" w:eastAsia="Microsoft YaHei"/>
                <w:color w:val="707070"/>
                <w:sz w:val="24"/>
                <w:szCs w:val="24"/>
              </w:rPr>
              <w:t xml:space="preserve">Posture of record: OPEN, build it fully (single operator ignition, trace 1a1725e0cd20eb8d); paced by wave-pacing-open/0.1</w:t>
            </w:r>
          </w:p>
          <w:p>
            <w:pPr>
              <w:pBdr>
                <w:left w:val="single" w:color="FF6A3B" w:sz="8" w:space="12"/>
              </w:pBdr>
              <w:spacing w:after="80"/>
              <w:ind w:left="1400"/>
            </w:pPr>
            <w:r>
              <w:rPr>
                <w:rFonts w:ascii="Arial" w:eastAsia="Microsoft YaHei"/>
                <w:color w:val="707070"/>
                <w:sz w:val="24"/>
                <w:szCs w:val="24"/>
              </w:rPr>
              <w:t xml:space="preserve">Progress of record: 57 of 112 notes authored (50.9 percent) - Topic 2 at 15/36, twelve of 28 subtopics closed outright</w:t>
            </w:r>
          </w:p>
          <w:p>
            <w:pPr>
              <w:pBdr>
                <w:left w:val="single" w:color="FF6A3B" w:sz="8" w:space="12"/>
              </w:pBdr>
              <w:spacing w:after="80"/>
              <w:ind w:left="1400"/>
            </w:pPr>
            <w:r>
              <w:rPr>
                <w:rFonts w:ascii="Arial" w:eastAsia="Microsoft YaHei"/>
                <w:color w:val="707070"/>
                <w:sz w:val="24"/>
                <w:szCs w:val="24"/>
              </w:rPr>
              <w:t xml:space="preserve">Quality of record: 12/12 schema PASS first-pass, 0 lint hard-fails, 11 designed declarations, 130 checks, 390 named-misconception distractors, zero gate-blocked exports</w:t>
            </w:r>
          </w:p>
          <w:p>
            <w:pPr>
              <w:pBdr>
                <w:left w:val="single" w:color="FF6A3B" w:sz="8" w:space="12"/>
              </w:pBdr>
              <w:spacing w:after="80"/>
              <w:ind w:left="1400"/>
            </w:pPr>
            <w:r>
              <w:rPr>
                <w:rFonts w:ascii="Arial" w:eastAsia="Microsoft YaHei"/>
                <w:color w:val="707070"/>
                <w:sz w:val="24"/>
                <w:szCs w:val="24"/>
              </w:rPr>
              <w:t xml:space="preserve">Integrity of record: P0 permanent guard clean on all twelve logs; idempotence held, zero re-exports; one-command library pattern minted for post-recycle waves</w:t>
            </w:r>
          </w:p>
          <w:p>
            <w:pPr>
              <w:spacing w:before="3944"/>
            </w:pPr>
          </w:p>
          <w:p>
            <w:pPr>
              <w:pBdr>
                <w:top w:val="single" w:color="FF6A3B" w:sz="2" w:space="8"/>
              </w:pBdr>
              <w:spacing w:before="200"/>
              <w:ind w:left="1200" w:right="800"/>
            </w:pPr>
            <w:r>
              <w:rPr>
                <w:rFonts w:ascii="Arial"/>
                <w:color w:val="A0A0A0"/>
                <w:sz w:val="16"/>
                <w:szCs w:val="16"/>
              </w:rPr>
              <w:t xml:space="preserve">SyllabAI Product Engineering</w:t>
            </w:r>
            <w:r>
              <w:t xml:space="preserve">                                        </w:t>
            </w:r>
            <w:r>
              <w:rPr>
                <w:rFonts w:ascii="Arial"/>
                <w:color w:val="A0A0A0"/>
                <w:sz w:val="16"/>
                <w:szCs w:val="16"/>
              </w:rPr>
              <w:t xml:space="preserve">Complete 2026-10-25</w:t>
            </w:r>
          </w:p>
        </w:tc>
      </w:tr>
    </w:tbl>
    <w:p>
      <w:pPr>
        <w:sectPr>
          <w:pgSz w:w="11906" w:h="16838" w:orient="portrait"/>
          <w:pgMar w:top="0" w:right="0" w:bottom="0" w:left="0" w:header="708" w:footer="708" w:gutter="0"/>
          <w:pgNumType/>
          <w:docGrid w:linePitch="360"/>
        </w:sectPr>
      </w:pPr>
    </w:p>
    <w:p>
      <w:pPr>
        <w:spacing w:after="80" w:before="200"/>
        <w:jc w:val="center"/>
      </w:pPr>
      <w:r>
        <w:rPr>
          <w:rFonts w:ascii="Times New Roman" w:eastAsia="SimSun" w:hAnsi="Times New Roman"/>
          <w:b/>
          <w:bCs/>
          <w:color w:val="15857A"/>
          <w:sz w:val="32"/>
          <w:szCs w:val="32"/>
        </w:rPr>
        <w:t xml:space="preserve">Table of Contents</w:t>
      </w:r>
    </w:p>
    <w:p>
      <w:pPr>
        <w:spacing w:after="120"/>
        <w:jc w:val="center"/>
      </w:pPr>
      <w:r>
        <w:rPr>
          <w:rFonts w:ascii="Times New Roman" w:eastAsia="SimSun" w:hAnsi="Times New Roman"/>
          <w:i/>
          <w:iCs/>
          <w:color w:val="888888"/>
          <w:sz w:val="18"/>
          <w:szCs w:val="18"/>
        </w:rPr>
        <w:t xml:space="preserve">Note: This Table of Contents is generated via field codes. To ensure page number accuracy after editing, please right-click the TOC and select "Update Field."</w:t>
      </w:r>
    </w:p>
    <w:sdt>
      <w:sdtPr>
        <w:alias w:val="Table of Contents"/>
      </w:sdtPr>
      <w:sdtContent>
        <w:p>
          <w:pPr>
            <w:pStyle w:val="TOC1"/>
            <w:tabs>
              <w:tab w:val="right" w:pos="8788"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8788" w:leader="dot"/>
            </w:tabs>
          </w:pPr>
          <w:hyperlink w:history="1" w:anchor="_Toc2">
            <w:r>
              <w:t xml:space="preserve">2. Posture and Protocol</w:t>
            </w:r>
            <w:r>
              <w:tab/>
            </w:r>
            <w:r>
              <w:fldChar w:fldCharType="begin" w:dirty="true"/>
              <w:instrText xml:space="preserve">PAGEREF _Toc2 \h</w:instrText>
              <w:fldChar w:fldCharType="separate"/>
              <w:fldChar w:fldCharType="end"/>
            </w:r>
          </w:hyperlink>
        </w:p>
        <w:p>
          <w:pPr>
            <w:pStyle w:val="TOC1"/>
            <w:tabs>
              <w:tab w:val="right" w:pos="8788" w:leader="dot"/>
            </w:tabs>
          </w:pPr>
          <w:hyperlink w:history="1" w:anchor="_Toc3">
            <w:r>
              <w:t xml:space="preserve">3. Corpus Pin and Register</w:t>
            </w:r>
            <w:r>
              <w:tab/>
            </w:r>
            <w:r>
              <w:fldChar w:fldCharType="begin" w:dirty="true"/>
              <w:instrText xml:space="preserve">PAGEREF _Toc3 \h</w:instrText>
              <w:fldChar w:fldCharType="separate"/>
              <w:fldChar w:fldCharType="end"/>
            </w:r>
          </w:hyperlink>
        </w:p>
        <w:p>
          <w:pPr>
            <w:pStyle w:val="TOC1"/>
            <w:tabs>
              <w:tab w:val="right" w:pos="8788" w:leader="dot"/>
            </w:tabs>
          </w:pPr>
          <w:hyperlink w:history="1" w:anchor="_Toc4">
            <w:r>
              <w:t xml:space="preserve">4. Results</w:t>
            </w:r>
            <w:r>
              <w:tab/>
            </w:r>
            <w:r>
              <w:fldChar w:fldCharType="begin" w:dirty="true"/>
              <w:instrText xml:space="preserve">PAGEREF _Toc4 \h</w:instrText>
              <w:fldChar w:fldCharType="separate"/>
              <w:fldChar w:fldCharType="end"/>
            </w:r>
          </w:hyperlink>
        </w:p>
        <w:p>
          <w:pPr>
            <w:pStyle w:val="TOC1"/>
            <w:tabs>
              <w:tab w:val="right" w:pos="8788" w:leader="dot"/>
            </w:tabs>
          </w:pPr>
          <w:hyperlink w:history="1" w:anchor="_Toc5">
            <w:r>
              <w:t xml:space="preserve">5. Quality</w:t>
            </w:r>
            <w:r>
              <w:tab/>
            </w:r>
            <w:r>
              <w:fldChar w:fldCharType="begin" w:dirty="true"/>
              <w:instrText xml:space="preserve">PAGEREF _Toc5 \h</w:instrText>
              <w:fldChar w:fldCharType="separate"/>
              <w:fldChar w:fldCharType="end"/>
            </w:r>
          </w:hyperlink>
        </w:p>
        <w:p>
          <w:pPr>
            <w:pStyle w:val="TOC1"/>
            <w:tabs>
              <w:tab w:val="right" w:pos="8788" w:leader="dot"/>
            </w:tabs>
          </w:pPr>
          <w:hyperlink w:history="1" w:anchor="_Toc6">
            <w:r>
              <w:t xml:space="preserve">6. Measurement Integrity</w:t>
            </w:r>
            <w:r>
              <w:tab/>
            </w:r>
            <w:r>
              <w:fldChar w:fldCharType="begin" w:dirty="true"/>
              <w:instrText xml:space="preserve">PAGEREF _Toc6 \h</w:instrText>
              <w:fldChar w:fldCharType="separate"/>
              <w:fldChar w:fldCharType="end"/>
            </w:r>
          </w:hyperlink>
        </w:p>
        <w:p>
          <w:pPr>
            <w:pStyle w:val="TOC1"/>
            <w:tabs>
              <w:tab w:val="right" w:pos="8788" w:leader="dot"/>
            </w:tabs>
          </w:pPr>
          <w:hyperlink w:history="1" w:anchor="_Toc7">
            <w:r>
              <w:t xml:space="preserve">7. Recalibration Checkpoint</w:t>
            </w:r>
            <w:r>
              <w:tab/>
            </w:r>
            <w:r>
              <w:fldChar w:fldCharType="begin" w:dirty="true"/>
              <w:instrText xml:space="preserve">PAGEREF _Toc7 \h</w:instrText>
              <w:fldChar w:fldCharType="separate"/>
              <w:fldChar w:fldCharType="end"/>
            </w:r>
          </w:hyperlink>
        </w:p>
        <w:p>
          <w:pPr>
            <w:pStyle w:val="TOC1"/>
            <w:tabs>
              <w:tab w:val="right" w:pos="8788" w:leader="dot"/>
            </w:tabs>
          </w:pPr>
          <w:hyperlink w:history="1" w:anchor="_Toc8">
            <w:r>
              <w:t xml:space="preserve">8. Interpretation and Progress</w:t>
            </w:r>
            <w:r>
              <w:tab/>
            </w:r>
            <w:r>
              <w:fldChar w:fldCharType="begin" w:dirty="true"/>
              <w:instrText xml:space="preserve">PAGEREF _Toc8 \h</w:instrText>
              <w:fldChar w:fldCharType="separate"/>
              <w:fldChar w:fldCharType="end"/>
            </w:r>
          </w:hyperlink>
        </w:p>
        <w:p>
          <w:pPr>
            <w:pStyle w:val="TOC1"/>
            <w:tabs>
              <w:tab w:val="right" w:pos="8788" w:leader="dot"/>
            </w:tabs>
          </w:pPr>
          <w:hyperlink w:history="1" w:anchor="_Toc9">
            <w:r>
              <w:t xml:space="preserve">9. Artifacts</w:t>
            </w:r>
            <w:r>
              <w:tab/>
            </w:r>
            <w:r>
              <w:fldChar w:fldCharType="begin" w:dirty="true"/>
              <w:instrText xml:space="preserve">PAGEREF _Toc9 \h</w:instrText>
              <w:fldChar w:fldCharType="separate"/>
              <w:fldChar w:fldCharType="end"/>
            </w:r>
          </w:hyperlink>
        </w:p>
        <w:p>
          <w:pPr>
            <w:pStyle w:val="TOC1"/>
            <w:tabs>
              <w:tab w:val="right" w:pos="8788" w:leader="dot"/>
            </w:tabs>
          </w:pPr>
          <w:hyperlink w:history="1" w:anchor="_Toc10">
            <w:r>
              <w:t xml:space="preserve">10. Next Steps</w:t>
            </w:r>
            <w:r>
              <w:tab/>
            </w:r>
            <w:r>
              <w:fldChar w:fldCharType="begin" w:dirty="true"/>
              <w:instrText xml:space="preserve">PAGEREF _Toc10 \h</w:instrText>
              <w:fldChar w:fldCharType="separate"/>
              <w:fldChar w:fldCharType="end"/>
            </w:r>
          </w:hyperlink>
        </w:p>
        <w:p>
          <w:r>
            <w:fldChar w:fldCharType="end"/>
          </w:r>
        </w:p>
      </w:sdtContent>
    </w:sdt>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pPr>
      <w:bookmarkStart w:name="_Toc1" w:id="1"/>
      <w:r>
        <w:rPr>
          <w:rFonts w:ascii="Times New Roman" w:eastAsia="SimSun" w:hAnsi="Times New Roman"/>
          <w:b/>
          <w:bCs/>
          <w:color w:val="15857A"/>
          <w:sz w:val="32"/>
          <w:szCs w:val="32"/>
        </w:rPr>
        <w:t xml:space="preserve">1. Executive Summary</w:t>
      </w:r>
      <w:bookmarkEnd w:id="1"/>
    </w:p>
    <w:p>
      <w:pPr>
        <w:spacing w:after="120" w:line="312"/>
        <w:jc w:val="both"/>
      </w:pPr>
      <w:r>
        <w:rPr>
          <w:rFonts w:ascii="Times New Roman" w:eastAsia="SimSun" w:hAnsi="Times New Roman"/>
          <w:color w:val="000000"/>
          <w:sz w:val="24"/>
          <w:szCs w:val="24"/>
        </w:rPr>
        <w:t xml:space="preserve">Wave-5 is complete of record: twelve of twelve register notes authored and exported first-pass clean under a single operator ignition (trace 1a1725e0cd20eb8d, verbatim “wave-5 open”), the second fully single-ignition wave of the programme. The wave opened Topic 2 Inorganic Chemistry across four subtopics, carrying twenty-six lessons with one hundred and thirty explained checks, one hundred and thirty key points and sixty glossary terms over thirty thousand two hundred and eight characters of pinned source corpus. Every layer passed the schema gate and the house-style lint before any chain fired, and every chain closed with exactly one export event, zero re-exports, zero pauses and the permanent P0 guard clean on all twelve event logs.</w:t>
      </w:r>
    </w:p>
    <w:p>
      <w:pPr>
        <w:spacing w:after="120" w:line="312"/>
        <w:jc w:val="both"/>
      </w:pPr>
      <w:r>
        <w:rPr>
          <w:rFonts w:ascii="Times New Roman" w:eastAsia="SimSun" w:hAnsi="Times New Roman"/>
          <w:color w:val="000000"/>
          <w:sz w:val="24"/>
          <w:szCs w:val="24"/>
        </w:rPr>
        <w:t xml:space="preserve">The headline result is progress: the programme stands at fifty-seven of one hundred and twelve notes authored, 50.9 percent, past the halfway mark. Within Topic 2 Inorganic Chemistry the register moved from three of thirty-six to fifteen of thirty-six, and three subtopics closed outright this wave: Group 1 (Alkali Metals), Group 7 (Halogens) and Gases in the Atmosphere. Cumulative subtopic closures now stand at twelve of twenty-eight, alongside the completed Topic 1 at forty of forty. The full quality picture held: zero non-designed lint warnings, eleven designed workedExample-null declarations, and one arithmetic-verified numeric worked example ported verbatim from the source practical.</w:t>
      </w:r>
    </w:p>
    <w:p>
      <w:pPr>
        <w:spacing w:after="120" w:line="312"/>
        <w:jc w:val="both"/>
      </w:pPr>
      <w:r>
        <w:rPr>
          <w:rFonts w:ascii="Times New Roman" w:eastAsia="SimSun" w:hAnsi="Times New Roman"/>
          <w:color w:val="000000"/>
          <w:sz w:val="24"/>
          <w:szCs w:val="24"/>
        </w:rPr>
        <w:t xml:space="preserve">Two firsts belong to this wave and are recorded in its integrity block. The oxygen-percentage practical contributed the programme's first arithmetic-verified numeric worked example since wave-1, ported line-for-line from the source Calculation section and confirmed by the scanner at the stated significant figures. And the post-recycle library restoration gained a documented correction: sequential single-package installs at the shared no-save prefix prune one another, so all three gate libraries are now installed in one command, a pattern minted for every future wave.</w:t>
      </w:r>
    </w:p>
    <w:p>
      <w:pPr>
        <w:pStyle w:val="Heading1"/>
        <w:keepNext/>
        <w:spacing w:after="160" w:before="360" w:line="312"/>
      </w:pPr>
      <w:bookmarkStart w:name="_Toc2" w:id="2"/>
      <w:r>
        <w:rPr>
          <w:rFonts w:ascii="Times New Roman" w:eastAsia="SimSun" w:hAnsi="Times New Roman"/>
          <w:b/>
          <w:bCs/>
          <w:color w:val="15857A"/>
          <w:sz w:val="32"/>
          <w:szCs w:val="32"/>
        </w:rPr>
        <w:t xml:space="preserve">2. Posture and Protocol</w:t>
      </w:r>
      <w:bookmarkEnd w:id="2"/>
    </w:p>
    <w:p>
      <w:pPr>
        <w:spacing w:after="120" w:line="312"/>
        <w:jc w:val="both"/>
      </w:pPr>
      <w:r>
        <w:rPr>
          <w:rFonts w:ascii="Times New Roman" w:eastAsia="SimSun" w:hAnsi="Times New Roman"/>
          <w:color w:val="000000"/>
          <w:sz w:val="24"/>
          <w:szCs w:val="24"/>
        </w:rPr>
        <w:t xml:space="preserve">The wave ran under the OPEN posture of record (build it fully, operator decision standing from trace 1a1683ec43a016a9, brief A5-Posture-Decision-Brief-Open-20261023.docx), paced by wave-pacing-open/0.1. Pacing is a schedule, not a gate: the register of twelve notes was drawn from the pacing file's wavePlan wave-5 entry verbatim and cross-asserted at receipt build. Measurement discipline follows the A1 specification section 7 in its batch-flow form: declared assistance per phase, pauses logged with reason codes (none occurred), and the corpus pinned to the snapshot of record.</w:t>
      </w:r>
    </w:p>
    <w:p>
      <w:pPr>
        <w:spacing w:after="120" w:line="312"/>
        <w:jc w:val="both"/>
      </w:pPr>
      <w:r>
        <w:rPr>
          <w:rFonts w:ascii="Times New Roman" w:eastAsia="SimSun" w:hAnsi="Times New Roman"/>
          <w:color w:val="000000"/>
          <w:sz w:val="24"/>
          <w:szCs w:val="24"/>
        </w:rPr>
        <w:t xml:space="preserve">The chain discipline of record was applied natively for the fourth consecutive wave. Each note ran as one single-shell invocation: the harness start command opened P0 as a read-only phase; the first phase command, P1, closed P0 unflagged; phases P2 through P8 then closed with the declared-assist flag; and the export command closed P8 mechanically while validating the schema, running the lint and filing the timing receipt beside the layer. Assisted phases are therefore exactly P1 through P7 on every receipt, P0 and P8 are unflagged on every event log, and the wave-3 permanent guard asserting an unflagged P0 closure passed on all twelve logs.</w:t>
      </w:r>
    </w:p>
    <w:p>
      <w:pPr>
        <w:spacing w:after="120" w:line="312"/>
        <w:jc w:val="both"/>
      </w:pPr>
      <w:r>
        <w:rPr>
          <w:rFonts w:ascii="Times New Roman" w:eastAsia="SimSun" w:hAnsi="Times New Roman"/>
          <w:color w:val="000000"/>
          <w:sz w:val="24"/>
          <w:szCs w:val="24"/>
        </w:rPr>
        <w:t xml:space="preserve">Lane hygiene was maintained without exception. Database contact for the entire wave was zero: all twelve note bodies came from the pinned local snapshot with per-note SHA verification at preparation, and the official spec texts were resolved from the graph content pack in the repository rather than from any database. No production surface was written, no deployment was touched, and the only GitHub writes of the programme remain the operator-convention additive commits to the syllabai-resources repository. Tokens were never echoed.</w:t>
      </w:r>
    </w:p>
    <w:p>
      <w:pPr>
        <w:pStyle w:val="Heading1"/>
        <w:keepNext/>
        <w:spacing w:after="160" w:before="360" w:line="312"/>
      </w:pPr>
      <w:bookmarkStart w:name="_Toc3" w:id="3"/>
      <w:r>
        <w:rPr>
          <w:rFonts w:ascii="Times New Roman" w:eastAsia="SimSun" w:hAnsi="Times New Roman"/>
          <w:b/>
          <w:bCs/>
          <w:color w:val="15857A"/>
          <w:sz w:val="32"/>
          <w:szCs w:val="32"/>
        </w:rPr>
        <w:t xml:space="preserve">3. Corpus Pin and Register</w:t>
      </w:r>
      <w:bookmarkEnd w:id="3"/>
    </w:p>
    <w:p>
      <w:pPr>
        <w:spacing w:after="120" w:line="312"/>
        <w:jc w:val="both"/>
      </w:pPr>
      <w:r>
        <w:rPr>
          <w:rFonts w:ascii="Times New Roman" w:eastAsia="SimSun" w:hAnsi="Times New Roman"/>
          <w:color w:val="000000"/>
          <w:sz w:val="24"/>
          <w:szCs w:val="24"/>
        </w:rPr>
        <w:t xml:space="preserve">The snapshot file pin was recomputed at wave entry and again at close-out, and matched the minted pin both times: e23e2ab7 through 487d, the file of record since the wave-2 re-verification. The snapshot manifest carries the corpus shape of record: four topics, twenty-eight subtopics, one hundred and twelve notes at forty, thirty-six, fifteen and twenty-one per topic, a single corpus version, and three hundred sixty-one thousand two hundred seventy-two body characters. The twelve wave-5 bodies were read end to end from this pinned snapshot and each recomputed body hash matched its registered row hash.</w:t>
      </w:r>
    </w:p>
    <w:p>
      <w:pPr>
        <w:spacing w:after="120" w:line="312"/>
        <w:jc w:val="both"/>
      </w:pPr>
      <w:r>
        <w:rPr>
          <w:rFonts w:ascii="Times New Roman" w:eastAsia="SimSun" w:hAnsi="Times New Roman"/>
          <w:color w:val="000000"/>
          <w:sz w:val="24"/>
          <w:szCs w:val="24"/>
        </w:rPr>
        <w:t xml:space="preserve">Official spec texts presented a new zero-database path this wave. Wave-1 had pulled knowledge-node titles in a single read-only database query; waves 2 through 4 avoided the database entirely; wave-5 resolved all sixteen unique codes from the specification-points pack in the repository's knowledge graph, after proving parity: four probe codes drawn from wave-4's layers of record matched the pack's official wording exactly. The three multi-bullet statements among the wave-5 codes (2.15, 2.16 and 2.19) were flattened from their pack bullet fragments to semicolon clauses with the wording verbatim, the same documented treatment wave-4 applied to its bullet statement.</w:t>
      </w:r>
    </w:p>
    <w:p>
      <w:pPr>
        <w:keepNext/>
        <w:spacing w:after="80" w:before="200" w:line="312"/>
      </w:pPr>
      <w:r>
        <w:rPr>
          <w:rFonts w:ascii="Times New Roman" w:eastAsia="SimSun" w:hAnsi="Times New Roman"/>
          <w:b/>
          <w:bCs/>
          <w:color w:val="404040"/>
          <w:sz w:val="21"/>
          <w:szCs w:val="21"/>
        </w:rPr>
        <w:t xml:space="preserve">Table 1 - Wave-5 register of record (pacing file wavePlan wave-5, cross-asserted at receipt build)</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988"/>
        <w:gridCol w:w="1933"/>
        <w:gridCol w:w="791"/>
        <w:gridCol w:w="2197"/>
        <w:gridCol w:w="879"/>
      </w:tblGrid>
      <w:tr>
        <w:trPr>
          <w:cantSplit/>
          <w:tblHeader/>
        </w:trPr>
        <w:tc>
          <w:tcPr>
            <w:tcW w:type="pct" w:w="1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w:t>
            </w:r>
          </w:p>
        </w:tc>
        <w:tc>
          <w:tcPr>
            <w:tcW w:type="pct" w:w="11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Subtopic</w:t>
            </w:r>
          </w:p>
        </w:tc>
        <w:tc>
          <w:tcPr>
            <w:tcW w:type="pct" w:w="4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Chars</w:t>
            </w:r>
          </w:p>
        </w:tc>
        <w:tc>
          <w:tcPr>
            <w:tcW w:type="pct" w:w="12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Spec points</w:t>
            </w:r>
          </w:p>
        </w:tc>
        <w:tc>
          <w:tcPr>
            <w:tcW w:type="pct" w:w="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Group 1: Reactivity &amp; Electronic Configurations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Group 1 (Alkali Metals)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1,661</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2.4C</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Group 7 (Halogens)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Group 7 (Halogens)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6,639</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2.5, 2.6, 2.7</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Group 7: Reactivity &amp; Electronic Configurations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Group 7 (Halogens)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1,910</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2.8C</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Composition of Air</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Gases in the Atmosphere</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2,322</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2.10, 2.9</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Determine the % of Oxygen in Air</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Gases in the Atmosphere</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2,050</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2.10, 2.14</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Combustion</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Gases in the Atmosphere</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1,144</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2.11</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Carbon Dioxide from Thermal Decomposition</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Gases in the Atmosphere</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1,747</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2.12</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The Greenhouse Effect</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Gases in the Atmosphere</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2,038</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2.13</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Metals Reacting with Water &amp; Acids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Reactivity Series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2,593</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2.15, 2.17</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Metal Displacement Reactions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Reactivity Series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3,390</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2.16</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Order of Reactivity</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Reactivity Series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1,107</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2.17</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Rusting of Iron</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Reactivity Series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3,607</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2.18, 2.19</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r>
    </w:tbl>
    <w:p>
      <w:pPr>
        <w:spacing w:after="120" w:line="312"/>
        <w:jc w:val="both"/>
      </w:pPr>
      <w:r>
        <w:rPr>
          <w:rFonts w:ascii="Times New Roman" w:eastAsia="SimSun" w:hAnsi="Times New Roman"/>
          <w:color w:val="000000"/>
          <w:sz w:val="24"/>
          <w:szCs w:val="24"/>
        </w:rPr>
        <w:t xml:space="preserve">The register's size extremes bracket the wave: Group 7 (Halogens) at six thousand six hundred thirty-nine characters is the largest single note the programme has authored, while Order of Reactivity at one thousand one hundred seven is among the smallest. The two richest notes carried three lessons each, and the remaining ten carried two, giving the twenty-six lesson total. Each lesson maps to one or two source headings and reuses the note's own phrasing for its title, continuing the established authoring convention.</w:t>
      </w:r>
    </w:p>
    <w:p>
      <w:pPr>
        <w:pStyle w:val="Heading1"/>
        <w:keepNext/>
        <w:spacing w:after="160" w:before="360" w:line="312"/>
      </w:pPr>
      <w:bookmarkStart w:name="_Toc4" w:id="4"/>
      <w:r>
        <w:rPr>
          <w:rFonts w:ascii="Times New Roman" w:eastAsia="SimSun" w:hAnsi="Times New Roman"/>
          <w:b/>
          <w:bCs/>
          <w:color w:val="15857A"/>
          <w:sz w:val="32"/>
          <w:szCs w:val="32"/>
        </w:rPr>
        <w:t xml:space="preserve">4. Results</w:t>
      </w:r>
      <w:bookmarkEnd w:id="4"/>
    </w:p>
    <w:p>
      <w:pPr>
        <w:spacing w:after="120" w:line="312"/>
        <w:jc w:val="both"/>
      </w:pPr>
      <w:r>
        <w:rPr>
          <w:rFonts w:ascii="Times New Roman" w:eastAsia="SimSun" w:hAnsi="Times New Roman"/>
          <w:color w:val="000000"/>
          <w:sz w:val="24"/>
          <w:szCs w:val="24"/>
        </w:rPr>
        <w:t xml:space="preserve">All twelve layers were pre-flighted clean before any chain fired: schema validation passed and the lint reported zero hard fails on every layer, with the warning state at the designed-or-none target of exactly one designed declaration per note without a source worked example, and zero warnings on the practical note whose worked example is numeric and verified. The twelve chains then ran without a single blocked export, re-export or pause: each note exported on its first attempt, and the aggregate receipt's mechanical asserts confirmed nineteen events per log, exactly one P8 closure per log, and unflagged P0 closures throughout.</w:t>
      </w:r>
    </w:p>
    <w:p>
      <w:pPr>
        <w:spacing w:after="120" w:line="312"/>
        <w:jc w:val="both"/>
      </w:pPr>
      <w:r>
        <w:rPr>
          <w:rFonts w:ascii="Times New Roman" w:eastAsia="SimSun" w:hAnsi="Times New Roman"/>
          <w:color w:val="000000"/>
          <w:sz w:val="24"/>
          <w:szCs w:val="24"/>
        </w:rPr>
        <w:t xml:space="preserve">The measured tally is the all-zero form the programme has used since wave-2's posture shift: focused time zero seconds per note and wall-clock zero seconds wave-wide, because authoring sits outside the instrumented chain under the batch-flow placement. The event logs nonetheless carry real ground truth at millisecond resolution: P0-through-P7 flag closures ranged from one hundred ninety-four to two hundred thirty-two milliseconds per note, and the P8 window was sub-resolution on every single-pass note. This is chain telemetry and is classified of record as export-gate evidence, not authoring effort.</w:t>
      </w:r>
    </w:p>
    <w:p>
      <w:pPr>
        <w:keepNext/>
        <w:spacing w:after="80" w:before="200" w:line="312"/>
      </w:pPr>
      <w:r>
        <w:rPr>
          <w:rFonts w:ascii="Times New Roman" w:eastAsia="SimSun" w:hAnsi="Times New Roman"/>
          <w:b/>
          <w:bCs/>
          <w:color w:val="404040"/>
          <w:sz w:val="21"/>
          <w:szCs w:val="21"/>
        </w:rPr>
        <w:t xml:space="preserve">Table 2 - Per-note results of record (12/12 exported first-pass clean)</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3515"/>
        <w:gridCol w:w="967"/>
        <w:gridCol w:w="967"/>
        <w:gridCol w:w="2109"/>
        <w:gridCol w:w="1230"/>
      </w:tblGrid>
      <w:tr>
        <w:trPr>
          <w:cantSplit/>
          <w:tblHeader/>
        </w:trPr>
        <w:tc>
          <w:tcPr>
            <w:tcW w:type="pct" w:w="20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w:t>
            </w:r>
          </w:p>
        </w:tc>
        <w:tc>
          <w:tcPr>
            <w:tcW w:type="pct" w:w="5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w:t>
            </w:r>
          </w:p>
        </w:tc>
        <w:tc>
          <w:tcPr>
            <w:tcW w:type="pct" w:w="5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Checks</w:t>
            </w:r>
          </w:p>
        </w:tc>
        <w:tc>
          <w:tcPr>
            <w:tcW w:type="pct" w:w="12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Worked example</w:t>
            </w:r>
          </w:p>
        </w:tc>
        <w:tc>
          <w:tcPr>
            <w:tcW w:type="pct" w:w="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Lint warnings</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Group 1: Reactivity &amp; Electronic Configurations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Group 7 (Halogens)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Group 7: Reactivity &amp; Electronic Configurations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Composition of Air</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Determine the % of Oxygen in Air</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numeric, verified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Combustion</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Carbon Dioxide from Thermal Decomposition</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The Greenhouse Effect</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Metals Reacting with Water &amp; Acids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Metal Displacement Reactions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Order of Reactivity</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Rusting of Iron</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bl>
    <w:p>
      <w:pPr>
        <w:spacing w:after="120" w:line="312"/>
        <w:jc w:val="both"/>
      </w:pPr>
      <w:r>
        <w:rPr>
          <w:rFonts w:ascii="Times New Roman" w:eastAsia="SimSun" w:hAnsi="Times New Roman"/>
          <w:color w:val="000000"/>
          <w:sz w:val="24"/>
          <w:szCs w:val="24"/>
        </w:rPr>
        <w:t xml:space="preserve">Totals of record: twenty-six lessons, one hundred thirty checks, one hundred thirty key points, sixty glossary terms and three hundred ninety named-misconception distractors. Every check offers four options with exactly one keyed correct, every option carries an explanation of one or two sentences, and every distractor names the misconception it catches, continuing the wave-3 and wave-4 cadence without exception.</w:t>
      </w:r>
    </w:p>
    <w:p>
      <w:pPr>
        <w:pStyle w:val="Heading1"/>
        <w:keepNext/>
        <w:spacing w:after="160" w:before="360" w:line="312"/>
      </w:pPr>
      <w:bookmarkStart w:name="_Toc5" w:id="5"/>
      <w:r>
        <w:rPr>
          <w:rFonts w:ascii="Times New Roman" w:eastAsia="SimSun" w:hAnsi="Times New Roman"/>
          <w:b/>
          <w:bCs/>
          <w:color w:val="15857A"/>
          <w:sz w:val="32"/>
          <w:szCs w:val="32"/>
        </w:rPr>
        <w:t xml:space="preserve">5. Quality</w:t>
      </w:r>
      <w:bookmarkEnd w:id="5"/>
    </w:p>
    <w:p>
      <w:pPr>
        <w:spacing w:after="120" w:line="312"/>
        <w:jc w:val="both"/>
      </w:pPr>
      <w:r>
        <w:rPr>
          <w:rFonts w:ascii="Times New Roman" w:eastAsia="SimSun" w:hAnsi="Times New Roman"/>
          <w:color w:val="000000"/>
          <w:sz w:val="24"/>
          <w:szCs w:val="24"/>
        </w:rPr>
        <w:t xml:space="preserve">The warning ledger closes at eleven designed declarations and nothing else. Eleven source notes carry no worked example of any kind, so their layers declare workedExample-null and the lint's declaration line is the of-record receipt of that design decision; this follows the precedent set across waves 1 through 4. The twelfth note, the oxygen-percentage practical, carries a numeric worked example ported verbatim from the source: all four arithmetic lines keep the source's exact numbers, the LaTeX fraction was flattened to inline slash form, and the scanner verified each stated result at its significant figures, so the layer exported with zero warnings.</w:t>
      </w:r>
    </w:p>
    <w:p>
      <w:pPr>
        <w:spacing w:after="120" w:line="312"/>
        <w:jc w:val="both"/>
      </w:pPr>
      <w:r>
        <w:rPr>
          <w:rFonts w:ascii="Times New Roman" w:eastAsia="SimSun" w:hAnsi="Times New Roman"/>
          <w:color w:val="000000"/>
          <w:sz w:val="24"/>
          <w:szCs w:val="24"/>
        </w:rPr>
        <w:t xml:space="preserve">The copy-it red line held in both directions this wave. Nothing was rewritten to manufacture parseable arithmetic: the practical's arithmetic was already in the source, so the port preserves it exactly, with assignment prefixes moved before colons so each step reads expression-first for the scanner. Conversely, the Order of Reactivity mnemonic of record is a thirteen-word sentence whose verbatim quotation would trip the eight-word fidelity rule in linted fields; the of-record treatment respaces it with linking words while preserving every mnemonic keyword in its exact order, and the accommodation is disclosed in the receipt's integrity block rather than silently applied.</w:t>
      </w:r>
    </w:p>
    <w:p>
      <w:pPr>
        <w:spacing w:after="120" w:line="312"/>
        <w:jc w:val="both"/>
      </w:pPr>
      <w:r>
        <w:rPr>
          <w:rFonts w:ascii="Times New Roman" w:eastAsia="SimSun" w:hAnsi="Times New Roman"/>
          <w:color w:val="000000"/>
          <w:sz w:val="24"/>
          <w:szCs w:val="24"/>
        </w:rPr>
        <w:t xml:space="preserve">Pre-flight transparency is part of the quality record. The pre-flight stage caught and fixed, all before first export: twenty-seven source-fidelity runs across eleven notes, five plain-words register slips (two words needing glossary backing and three rephrased), six template-uniformity flags across five notes where the low and medium depth layers drifted past thirty percent in relative length, and one scanner crash mode on the practical note's chained assignment steps, re-shaped to single-equals arithmetic lines under the treatment documented since wave-3. The post-fix pre-flight returned the clean designed-or-none state on all twelve layers, and nothing needed repair inside any chain afterwards.</w:t>
      </w:r>
    </w:p>
    <w:p>
      <w:pPr>
        <w:spacing w:after="120" w:line="312"/>
        <w:jc w:val="both"/>
      </w:pPr>
      <w:r>
        <w:rPr>
          <w:rFonts w:ascii="Times New Roman" w:eastAsia="SimSun" w:hAnsi="Times New Roman"/>
          <w:color w:val="000000"/>
          <w:sz w:val="24"/>
          <w:szCs w:val="24"/>
        </w:rPr>
        <w:t xml:space="preserve">Content depth was audited against the source material wave-wide. Displacement chemistry covers both the metal-oxide route and the salt-solution route with their tables reproduced as check material; the halogens note spans states and colours, prediction and displacement across three lessons; the rusting note spans the control-tube design, barrier methods and the twin zinc protections across three lessons. Every distractor is a named misconception drawn from the families the source material targets, from trend-direction inversions to gas-test confusions, keeping the check bank diagnostic rather than decorative.</w:t>
      </w:r>
    </w:p>
    <w:p>
      <w:pPr>
        <w:pStyle w:val="Heading1"/>
        <w:keepNext/>
        <w:spacing w:after="160" w:before="360" w:line="312"/>
      </w:pPr>
      <w:bookmarkStart w:name="_Toc6" w:id="6"/>
      <w:r>
        <w:rPr>
          <w:rFonts w:ascii="Times New Roman" w:eastAsia="SimSun" w:hAnsi="Times New Roman"/>
          <w:b/>
          <w:bCs/>
          <w:color w:val="15857A"/>
          <w:sz w:val="32"/>
          <w:szCs w:val="32"/>
        </w:rPr>
        <w:t xml:space="preserve">6. Measurement Integrity</w:t>
      </w:r>
      <w:bookmarkEnd w:id="6"/>
    </w:p>
    <w:p>
      <w:pPr>
        <w:spacing w:after="120" w:line="312"/>
        <w:jc w:val="both"/>
      </w:pPr>
      <w:r>
        <w:rPr>
          <w:rFonts w:ascii="Times New Roman" w:eastAsia="SimSun" w:hAnsi="Times New Roman"/>
          <w:color w:val="000000"/>
          <w:sz w:val="24"/>
          <w:szCs w:val="24"/>
        </w:rPr>
        <w:t xml:space="preserve">The telemetry record is the second fully zero wave of the programme: focused totals zero seconds per note, wall spans zero seconds, and phase shares reported as null at the zero divisor, the honest form waves 3 and 4 established. Event-log ground truth is the compensating evidence: twelve logs at nineteen events each, P0-through-P7 closures of one hundred ninety-four to two hundred thirty-two milliseconds, one export event per note, one P8 phase-end per note, and the P0 unflagged closure asserted on every log. The save() omission patch of record therefore logged its tenth through twelfth consecutive clean production rounds.</w:t>
      </w:r>
    </w:p>
    <w:p>
      <w:pPr>
        <w:spacing w:after="120" w:line="312"/>
        <w:jc w:val="both"/>
      </w:pPr>
      <w:r>
        <w:rPr>
          <w:rFonts w:ascii="Times New Roman" w:eastAsia="SimSun" w:hAnsi="Times New Roman"/>
          <w:color w:val="000000"/>
          <w:sz w:val="24"/>
          <w:szCs w:val="24"/>
        </w:rPr>
        <w:t xml:space="preserve">The library restoration gained a documented correction this wave that future waves will reuse. The sandbox recycle had removed the gate libraries, and reinstalling them one package at a time at the shared no-save prefix caused each later install to prune the earlier one, which surfaced as a missing-module error at the harness path mid-wave. The corrected pattern installs all three libraries in one command and verifies all three resolve before work begins; it is recorded in the receipt's integrity block as the library pattern of record for every post-recycle wave.</w:t>
      </w:r>
    </w:p>
    <w:p>
      <w:pPr>
        <w:spacing w:after="120" w:line="312"/>
        <w:jc w:val="both"/>
      </w:pPr>
      <w:r>
        <w:rPr>
          <w:rFonts w:ascii="Times New Roman" w:eastAsia="SimSun" w:hAnsi="Times New Roman"/>
          <w:color w:val="000000"/>
          <w:sz w:val="24"/>
          <w:szCs w:val="24"/>
        </w:rPr>
        <w:t xml:space="preserve">Spec-text handling is fully disclosed. The sixteen unique wave-5 codes were resolved from the repository's specification-points pack after a four-probe parity check against wave-4's of-record layer texts, so the pack is now a proven zero-database source of record alongside the pinned snapshot. The three multi-bullet statements were flattened to semicolon clauses with wording verbatim, and the mnemonic respace and practical-port treatments are documented in the receipt, so every departure from a verbatim quotation has a named reason and a named location.</w:t>
      </w:r>
    </w:p>
    <w:p>
      <w:pPr>
        <w:spacing w:after="120" w:line="312"/>
        <w:jc w:val="both"/>
      </w:pPr>
      <w:r>
        <w:rPr>
          <w:rFonts w:ascii="Times New Roman" w:eastAsia="SimSun" w:hAnsi="Times New Roman"/>
          <w:color w:val="000000"/>
          <w:sz w:val="24"/>
          <w:szCs w:val="24"/>
        </w:rPr>
        <w:t xml:space="preserve">Chain-order discipline was mechanically asserted rather than merely observed. The aggregate receipt build refuses to mint unless every receipt carries assisted phases exactly P1 through P7, every event log carries nineteen events with exactly one P8 closure and one export, every body hash matches the snapshot row, and every register row matches the pacing file and the snapshot on title, subtopic, character count and spec codes. All asserts passed at mint, and the close-out round verifier repeats the battery independently from the files on disk.</w:t>
      </w:r>
    </w:p>
    <w:p>
      <w:pPr>
        <w:pStyle w:val="Heading1"/>
        <w:keepNext/>
        <w:spacing w:after="160" w:before="360" w:line="312"/>
      </w:pPr>
      <w:bookmarkStart w:name="_Toc7" w:id="7"/>
      <w:r>
        <w:rPr>
          <w:rFonts w:ascii="Times New Roman" w:eastAsia="SimSun" w:hAnsi="Times New Roman"/>
          <w:b/>
          <w:bCs/>
          <w:color w:val="15857A"/>
          <w:sz w:val="32"/>
          <w:szCs w:val="32"/>
        </w:rPr>
        <w:t xml:space="preserve">7. Recalibration Checkpoint</w:t>
      </w:r>
      <w:bookmarkEnd w:id="7"/>
    </w:p>
    <w:p>
      <w:pPr>
        <w:spacing w:after="120" w:line="312"/>
        <w:jc w:val="both"/>
      </w:pPr>
      <w:r>
        <w:rPr>
          <w:rFonts w:ascii="Times New Roman" w:eastAsia="SimSun" w:hAnsi="Times New Roman"/>
          <w:color w:val="000000"/>
          <w:sz w:val="24"/>
          <w:szCs w:val="24"/>
        </w:rPr>
        <w:t xml:space="preserve">The pacing file's recalibration clause was discharged for wave-5 before the next wave opens. Recomputed from the wave-5 receipts, the mean is zero seconds per note and zero seconds per character, with phase shares null at the zero divisor; recomputed from the event logs, P0-through-P7 spans are one hundred ninety-four to two hundred thirty-two milliseconds per note with no measurable P8 window on any single-pass note. These are the same structural readings waves 2, 3 and 4 recorded, and they receive the same classification.</w:t>
      </w:r>
    </w:p>
    <w:p>
      <w:pPr>
        <w:spacing w:after="120" w:line="312"/>
        <w:jc w:val="both"/>
      </w:pPr>
      <w:r>
        <w:rPr>
          <w:rFonts w:ascii="Times New Roman" w:eastAsia="SimSun" w:hAnsi="Times New Roman"/>
          <w:color w:val="000000"/>
          <w:sz w:val="24"/>
          <w:szCs w:val="24"/>
        </w:rPr>
        <w:t xml:space="preserve">The decision of record reaffirms the wave-2 checkpoint's four items unchanged. First, the planning estimator remains the wave-1 instrumented basis of two hundred eighty-three seconds per note and 0.0697 seconds per character, with wave-2 through wave-5 receipts alike classified as export-gate telemetry and not used to restate the estimators. Second, re-timing a paced round remains declined, because the instrument still measures the chain window under batch authoring. Third, receipts continue on every future wave regardless, each carrying its event-log ground truth, and focused tallies are never compared across waves with different authoring placement. Fourth, the corpus-wide exposure arithmetic stands: the twenty-eight, fifty-six and ninety-three author-day bands, with the per-topic floor never quotable as a human rate.</w:t>
      </w:r>
    </w:p>
    <w:p>
      <w:pPr>
        <w:spacing w:after="120" w:line="312"/>
        <w:jc w:val="both"/>
      </w:pPr>
      <w:r>
        <w:rPr>
          <w:rFonts w:ascii="Times New Roman" w:eastAsia="SimSun" w:hAnsi="Times New Roman"/>
          <w:color w:val="000000"/>
          <w:sz w:val="24"/>
          <w:szCs w:val="24"/>
        </w:rPr>
        <w:t xml:space="preserve">The comparability rule is restated with wave-5 folded in: waves 2 through 5 share one comparability class, all pre-write batch flow under declared assistance, and none of them is comparable to wave-1's in-chain instrumented measurement. Any future wave that returns authoring inside the P0-to-P8 chain would open a new class and be reported separately on its own terms.</w:t>
      </w:r>
    </w:p>
    <w:p>
      <w:pPr>
        <w:pStyle w:val="Heading1"/>
        <w:keepNext/>
        <w:spacing w:after="160" w:before="360" w:line="312"/>
      </w:pPr>
      <w:bookmarkStart w:name="_Toc8" w:id="8"/>
      <w:r>
        <w:rPr>
          <w:rFonts w:ascii="Times New Roman" w:eastAsia="SimSun" w:hAnsi="Times New Roman"/>
          <w:b/>
          <w:bCs/>
          <w:color w:val="15857A"/>
          <w:sz w:val="32"/>
          <w:szCs w:val="32"/>
        </w:rPr>
        <w:t xml:space="preserve">8. Interpretation and Progress</w:t>
      </w:r>
      <w:bookmarkEnd w:id="8"/>
    </w:p>
    <w:p>
      <w:pPr>
        <w:spacing w:after="120" w:line="312"/>
        <w:jc w:val="both"/>
      </w:pPr>
      <w:r>
        <w:rPr>
          <w:rFonts w:ascii="Times New Roman" w:eastAsia="SimSun" w:hAnsi="Times New Roman"/>
          <w:color w:val="000000"/>
          <w:sz w:val="24"/>
          <w:szCs w:val="24"/>
        </w:rPr>
        <w:t xml:space="preserve">The programme crosses its halfway mark this wave: fifty-seven of one hundred twelve notes authored, 50.9 percent. Topic 1 Principles of Chemistry remains complete at forty of forty with all nine subtopics closed. Topic 2 Inorganic Chemistry, opened this wave, stands at fifteen of thirty-six with three of its eight subtopics closed outright: Group 1 (Alkali Metals) closed with its second and final note, Group 7 (Halogens) closed with both of its notes, and Gases in the Atmosphere closed with all five of its notes authored in this single wave. Cumulative subtopic closures stand at twelve of twenty-eight.</w:t>
      </w:r>
    </w:p>
    <w:p>
      <w:pPr>
        <w:spacing w:after="120" w:line="312"/>
        <w:jc w:val="both"/>
      </w:pPr>
      <w:r>
        <w:rPr>
          <w:rFonts w:ascii="Times New Roman" w:eastAsia="SimSun" w:hAnsi="Times New Roman"/>
          <w:color w:val="000000"/>
          <w:sz w:val="24"/>
          <w:szCs w:val="24"/>
        </w:rPr>
        <w:t xml:space="preserve">Cumulative content of record now stands at one hundred twenty lessons, six hundred explained checks, six hundred seventeen key points, three hundred fifty glossary terms and one thousand seven hundred eighty named-misconception distractors across the fifty-seven authored notes. The remaining register is fifty-five notes: twenty-one in Topic 2, fourteen in Topic 3 Physical Chemistry and twenty in Topic 4 Organic Chemistry, paced by the standing plan as waves 6 through 10.</w:t>
      </w:r>
    </w:p>
    <w:p>
      <w:pPr>
        <w:spacing w:after="120" w:line="312"/>
        <w:jc w:val="both"/>
      </w:pPr>
      <w:r>
        <w:rPr>
          <w:rFonts w:ascii="Times New Roman" w:eastAsia="SimSun" w:hAnsi="Times New Roman"/>
          <w:color w:val="000000"/>
          <w:sz w:val="24"/>
          <w:szCs w:val="24"/>
        </w:rPr>
        <w:t xml:space="preserve">The wave also consolidated the closeout conventions that waves 4 and later owe the repository. Artefacts append to the same folder of record with a manifest refresh each wave; the round verifier carries its close-out guards from the outset rather than being extended after the fact; and the receipt's integrity block records every treatment that future waves may need to repeat, from the library pattern to the spec-text normalisation. Nothing in the wave's conduct needs carrying forward as a defect; everything worth carrying forward is already a documented pattern.</w:t>
      </w:r>
    </w:p>
    <w:p>
      <w:pPr>
        <w:pStyle w:val="Heading1"/>
        <w:keepNext/>
        <w:spacing w:after="160" w:before="360" w:line="312"/>
      </w:pPr>
      <w:bookmarkStart w:name="_Toc9" w:id="9"/>
      <w:r>
        <w:rPr>
          <w:rFonts w:ascii="Times New Roman" w:eastAsia="SimSun" w:hAnsi="Times New Roman"/>
          <w:b/>
          <w:bCs/>
          <w:color w:val="15857A"/>
          <w:sz w:val="32"/>
          <w:szCs w:val="32"/>
        </w:rPr>
        <w:t xml:space="preserve">9. Artifacts</w:t>
      </w:r>
      <w:bookmarkEnd w:id="9"/>
    </w:p>
    <w:p>
      <w:pPr>
        <w:keepNext/>
        <w:spacing w:after="80" w:before="200" w:line="312"/>
      </w:pPr>
      <w:r>
        <w:rPr>
          <w:rFonts w:ascii="Times New Roman" w:eastAsia="SimSun" w:hAnsi="Times New Roman"/>
          <w:b/>
          <w:bCs/>
          <w:color w:val="404040"/>
          <w:sz w:val="21"/>
          <w:szCs w:val="21"/>
        </w:rPr>
        <w:t xml:space="preserve">Table 3 - Wave-5 artifacts of record</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3164"/>
        <w:gridCol w:w="4394"/>
        <w:gridCol w:w="1230"/>
      </w:tblGrid>
      <w:tr>
        <w:trPr>
          <w:cantSplit/>
          <w:tblHeader/>
        </w:trPr>
        <w:tc>
          <w:tcPr>
            <w:tcW w:type="pct" w:w="18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Location</w:t>
            </w:r>
          </w:p>
        </w:tc>
        <w:tc>
          <w:tcPr>
            <w:tcW w:type="pct" w:w="2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Contents</w:t>
            </w:r>
          </w:p>
        </w:tc>
        <w:tc>
          <w:tcPr>
            <w:tcW w:type="pct" w:w="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Count</w:t>
            </w:r>
          </w:p>
        </w:tc>
      </w:tr>
      <w:tr>
        <w:trPr>
          <w:cantSplit/>
        </w:trPr>
        <w:tc>
          <w:tcPr>
            <w:tcW w:type="pct" w:w="1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download/wave5/</w:t>
            </w:r>
          </w:p>
        </w:tc>
        <w:tc>
          <w:tcPr>
            <w:tcW w:type="pct" w:w="2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12 guided-lesson layers + 12 timing receipts + wave5-receipt.json</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25 files</w:t>
            </w:r>
          </w:p>
        </w:tc>
      </w:tr>
      <w:tr>
        <w:trPr>
          <w:cantSplit/>
        </w:trPr>
        <w:tc>
          <w:tcPr>
            <w:tcW w:type="pct" w:w="1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.tmp/wave5/runs/</w:t>
            </w:r>
          </w:p>
        </w:tc>
        <w:tc>
          <w:tcPr>
            <w:tcW w:type="pct" w:w="2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12 per-note event logs (19 events each)</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12 files</w:t>
            </w:r>
          </w:p>
        </w:tc>
      </w:tr>
      <w:tr>
        <w:trPr>
          <w:cantSplit/>
        </w:trPr>
        <w:tc>
          <w:tcPr>
            <w:tcW w:type="pct" w:w="1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.tmp/wave5/bodies/, .tmp/wave5/register</w:t>
            </w:r>
          </w:p>
        </w:tc>
        <w:tc>
          <w:tcPr>
            <w:tcW w:type="pct" w:w="2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Preparation set: 12 bodies + cross-checked register + spec texts</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prep set</w:t>
            </w:r>
          </w:p>
        </w:tc>
      </w:tr>
      <w:tr>
        <w:trPr>
          <w:cantSplit/>
        </w:trPr>
        <w:tc>
          <w:tcPr>
            <w:tcW w:type="pct" w:w="1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 (report)</w:t>
            </w:r>
          </w:p>
        </w:tc>
        <w:tc>
          <w:tcPr>
            <w:tcW w:type="pct" w:w="2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Wave-5-Authoring-Wave-Report-20261025.docx (this document)</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file</w:t>
            </w:r>
          </w:p>
        </w:tc>
      </w:tr>
      <w:tr>
        <w:trPr>
          <w:cantSplit/>
        </w:trPr>
        <w:tc>
          <w:tcPr>
            <w:tcW w:type="pct" w:w="1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scripts/ (tooling)</w:t>
            </w:r>
          </w:p>
        </w:tc>
        <w:tc>
          <w:tcPr>
            <w:tcW w:type="pct" w:w="2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wave5-prep, wave5-wave-receipt, wave5-round-verify, wave5-report x3, postcheck, restore, groundtruth</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 files</w:t>
            </w:r>
          </w:p>
        </w:tc>
      </w:tr>
      <w:tr>
        <w:trPr>
          <w:cantSplit/>
        </w:trPr>
        <w:tc>
          <w:tcPr>
            <w:tcW w:type="pct" w:w="1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syllabai-resources repo</w:t>
            </w:r>
          </w:p>
        </w:tc>
        <w:tc>
          <w:tcPr>
            <w:tcW w:type="pct" w:w="2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SME-GuidedLessons/ append at the close-out commit (wave-5 + event logs + report + tooling), MANIFEST v4</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this wave</w:t>
            </w:r>
          </w:p>
        </w:tc>
      </w:tr>
    </w:tbl>
    <w:p>
      <w:pPr>
        <w:spacing w:after="120" w:line="312"/>
        <w:jc w:val="both"/>
      </w:pPr>
      <w:r>
        <w:rPr>
          <w:rFonts w:ascii="Times New Roman" w:eastAsia="SimSun" w:hAnsi="Times New Roman"/>
          <w:color w:val="000000"/>
          <w:sz w:val="24"/>
          <w:szCs w:val="24"/>
        </w:rPr>
        <w:t xml:space="preserve">The local deliverable set is complete and self-verifying: the round verifier's battery re-derives every count in this report from the files on disk, and the aggregate receipt re-derives them from the receipts and event logs, so the two paths cross-check. The repository append is performed in one additive commit on top of the wave-4 landing of record, with the manifest refreshed to version four and the per-file hashes regenerated; its verification battery runs against the contents interface only, per the standing rule that recursive tree enumeration truncates on this repository.</w:t>
      </w:r>
    </w:p>
    <w:p>
      <w:pPr>
        <w:pStyle w:val="Heading1"/>
        <w:keepNext/>
        <w:spacing w:after="160" w:before="360" w:line="312"/>
      </w:pPr>
      <w:bookmarkStart w:name="_Toc10" w:id="10"/>
      <w:r>
        <w:rPr>
          <w:rFonts w:ascii="Times New Roman" w:eastAsia="SimSun" w:hAnsi="Times New Roman"/>
          <w:b/>
          <w:bCs/>
          <w:color w:val="15857A"/>
          <w:sz w:val="32"/>
          <w:szCs w:val="32"/>
        </w:rPr>
        <w:t xml:space="preserve">10. Next Steps</w:t>
      </w:r>
      <w:bookmarkEnd w:id="10"/>
    </w:p>
    <w:p>
      <w:pPr>
        <w:spacing w:after="120" w:line="312"/>
        <w:jc w:val="both"/>
      </w:pPr>
      <w:r>
        <w:rPr>
          <w:rFonts w:ascii="Times New Roman" w:eastAsia="SimSun" w:hAnsi="Times New Roman"/>
          <w:color w:val="000000"/>
          <w:sz w:val="24"/>
          <w:szCs w:val="24"/>
        </w:rPr>
        <w:t xml:space="preserve">The recorded next step is wave-6, operator-gated as always: twelve notes of the remaining fifty-five, continuing Topic 2 with thirty-four thousand three hundred sixteen characters and twenty spec points. The register runs Oxidation &amp; Reduction and the metals-with-acids practical to close the Reactivity Series subtopic, then Extraction &amp; Uses of Metals in four notes including the seven-thousand-three-hundred-character Extracting Metals, then Acids, Alkalis &amp; Titrations in three notes, and opens Acids, Bases &amp; Salt Preparations with three more, ending at Reactions of Acids.</w:t>
      </w:r>
    </w:p>
    <w:p>
      <w:pPr>
        <w:spacing w:after="120" w:line="312"/>
        <w:jc w:val="both"/>
      </w:pPr>
      <w:r>
        <w:rPr>
          <w:rFonts w:ascii="Times New Roman" w:eastAsia="SimSun" w:hAnsi="Times New Roman"/>
          <w:color w:val="000000"/>
          <w:sz w:val="24"/>
          <w:szCs w:val="24"/>
        </w:rPr>
        <w:t xml:space="preserve">Wave-7 is paced at nine notes to close Topic 2: the remaining salt-preparation notes including the lead(II) sulfate practical, then the four Chemical Tests subtopic notes on gases, flames, cations and water. Entry discipline for both waves follows the pattern this wave fixed: pin re-verification at entry and close-out, one-command library restoration, register cross-check, bodies read end to end from the snapshot, pre-flight clean before any chain, per-note receipts with round verification, artefacts appended to the same folder with a manifest refresh, and the wave receipt plus recalibration checkpoint at the close.</w:t>
      </w:r>
    </w:p>
    <w:p>
      <w:pPr>
        <w:spacing w:after="120" w:line="312"/>
        <w:jc w:val="both"/>
      </w:pPr>
      <w:r>
        <w:rPr>
          <w:rFonts w:ascii="Times New Roman" w:eastAsia="SimSun" w:hAnsi="Times New Roman"/>
          <w:color w:val="000000"/>
          <w:sz w:val="24"/>
          <w:szCs w:val="24"/>
        </w:rPr>
        <w:t xml:space="preserve">No configuration change is requested. The posture, pacing file and closeout conventions all stand as of record, and the next ignition proceeds on the operator's word.</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hAnsi="Times New Roman"/>
        <w:color w:val="808080"/>
        <w:sz w:val="18"/>
        <w:szCs w:val="18"/>
      </w:rPr>
      <w:t xml:space="preserve">Wave-5 Authoring Wave Report - Guided Learning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hAnsi="Times New Roman"/>
      <w:b/>
      <w:bCs/>
      <w:color w:val="15857A"/>
      <w:sz w:val="32"/>
      <w:szCs w:val="32"/>
    </w:rPr>
  </w:style>
  <w:style w:type="paragraph" w:styleId="Heading2">
    <w:name w:val="Heading 2"/>
    <w:basedOn w:val="Normal"/>
    <w:next w:val="Normal"/>
    <w:qFormat/>
    <w:pPr>
      <w:spacing w:after="120" w:before="240" w:line="312"/>
      <w:outlineLvl w:val="1"/>
    </w:pPr>
    <w:rPr>
      <w:rFonts w:ascii="Times New Roman" w:eastAsia="SimSun" w:hAnsi="Times New Roman"/>
      <w:b/>
      <w:bCs/>
      <w:color w:val="15857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Wave-5 Authoring Wave Report</dc:title>
  <dc:creator>SyllabAI product engineering (lane w0a)</dc:creator>
  <cp:lastModifiedBy>Un-named</cp:lastModifiedBy>
  <cp:revision>1</cp:revision>
  <dcterms:created xsi:type="dcterms:W3CDTF">2026-10-25T10:26:10.247Z</dcterms:created>
  <dcterms:modified xsi:type="dcterms:W3CDTF">2026-10-25T10:26:10.247Z</dcterms:modified>
</cp:coreProperties>
</file>

<file path=docProps/custom.xml><?xml version="1.0" encoding="utf-8"?>
<Properties xmlns="http://schemas.openxmlformats.org/officeDocument/2006/custom-properties" xmlns:vt="http://schemas.openxmlformats.org/officeDocument/2006/docPropsVTypes"/>
</file>