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Wave-4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The topic-closing wave of record: Ionic, Covalent, Metallic and Electrolysis complete, all of Topic 1 closed at forty of forty notes, and the cleanest all-zero telemetry of the programme</w:t>
            </w:r>
          </w:p>
          <w:p>
            <w:pPr>
              <w:pBdr>
                <w:left w:val="single" w:color="FF6A3B" w:sz="8" w:space="12"/>
              </w:pBdr>
              <w:spacing w:after="80"/>
              <w:ind w:left="1400"/>
            </w:pPr>
            <w:r>
              <w:rPr>
                <w:rFonts w:ascii="Arial" w:eastAsia="Microsoft YaHei"/>
                <w:color w:val="707070"/>
                <w:sz w:val="24"/>
                <w:szCs w:val="24"/>
              </w:rPr>
              <w:t xml:space="preserve">Wave of record: wave-4, topic T1 Principles of Chemistry (topic-closing), complete 2026-10-25 - 11/11 register notes exported clean first-pass</w:t>
            </w:r>
          </w:p>
          <w:p>
            <w:pPr>
              <w:pBdr>
                <w:left w:val="single" w:color="FF6A3B" w:sz="8" w:space="12"/>
              </w:pBdr>
              <w:spacing w:after="80"/>
              <w:ind w:left="1400"/>
            </w:pPr>
            <w:r>
              <w:rPr>
                <w:rFonts w:ascii="Arial" w:eastAsia="Microsoft YaHei"/>
                <w:color w:val="707070"/>
                <w:sz w:val="24"/>
                <w:szCs w:val="24"/>
              </w:rPr>
              <w:t xml:space="preserve">Posture of record: OPEN, build it fully (single operator ignition, trace 1a16fbc3d4b5b749); paced by wave-pacing-open/0.1</w:t>
            </w:r>
          </w:p>
          <w:p>
            <w:pPr>
              <w:pBdr>
                <w:left w:val="single" w:color="FF6A3B" w:sz="8" w:space="12"/>
              </w:pBdr>
              <w:spacing w:after="80"/>
              <w:ind w:left="1400"/>
            </w:pPr>
            <w:r>
              <w:rPr>
                <w:rFonts w:ascii="Arial" w:eastAsia="Microsoft YaHei"/>
                <w:color w:val="707070"/>
                <w:sz w:val="24"/>
                <w:szCs w:val="24"/>
              </w:rPr>
              <w:t xml:space="preserve">Progress of record: 45 of 112 notes authored (40.2 percent) - Topic 1 complete at 40/40, nine of 28 subtopics closed outright</w:t>
            </w:r>
          </w:p>
          <w:p>
            <w:pPr>
              <w:pBdr>
                <w:left w:val="single" w:color="FF6A3B" w:sz="8" w:space="12"/>
              </w:pBdr>
              <w:spacing w:after="80"/>
              <w:ind w:left="1400"/>
            </w:pPr>
            <w:r>
              <w:rPr>
                <w:rFonts w:ascii="Arial" w:eastAsia="Microsoft YaHei"/>
                <w:color w:val="707070"/>
                <w:sz w:val="24"/>
                <w:szCs w:val="24"/>
              </w:rPr>
              <w:t xml:space="preserve">Quality of record: 11/11 schema PASS first-pass, 0 lint hard-fails, 11 designed declarations, 110 checks, 330 named-misconception distractors, zero gate-blocked exports</w:t>
            </w:r>
          </w:p>
          <w:p>
            <w:pPr>
              <w:pBdr>
                <w:left w:val="single" w:color="FF6A3B" w:sz="8" w:space="12"/>
              </w:pBdr>
              <w:spacing w:after="80"/>
              <w:ind w:left="1400"/>
            </w:pPr>
            <w:r>
              <w:rPr>
                <w:rFonts w:ascii="Arial" w:eastAsia="Microsoft YaHei"/>
                <w:color w:val="707070"/>
                <w:sz w:val="24"/>
                <w:szCs w:val="24"/>
              </w:rPr>
              <w:t xml:space="preserve">Integrity of record: corrected invocation pattern native on its first full wave; P0 permanent guard clean on all eleven logs; idempotence held, zero re-exports</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2026-10-25</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 of Record</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 of Record</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 of Record</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 of Record</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 of Record</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 of Record</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 of Record</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 of Record</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Wave-4, the fourth authoring wave of the guided-learning programme, is complete of record: all eleven notes of the wave-4 register were authored end to end against the pinned corpus snapshot, exported against the guided-lesson/0.1 schema, and filed with per-phase timing receipts and persisted event logs. Every note passed schema validation with zero lint hard-fail violations on its first export attempt, and the only warnings present are the eleven designed declarations of record: nine workedExample-null notes, where the source carries no worked example of any kind, and two non-numeric ported examples (Formulae for Ionic Compounds and Electrolysis Experiments), where the no-arithmetic warning line stands as the declaration per the wave-1 and wave-2 precedent. The wave ran under the operator OPEN posture in a single operator ignition, and it is the structural milestone wave of the programme: its register closes Ionic Bonding, Covalent Bonding, Metallic Bonding and Electrolysis, which completes the whole of Topic 1, Principles of Chemistry.</w:t>
      </w:r>
    </w:p>
    <w:p>
      <w:pPr>
        <w:spacing w:after="120" w:line="312"/>
        <w:jc w:val="both"/>
      </w:pPr>
      <w:r>
        <w:rPr>
          <w:rFonts w:ascii="Times New Roman" w:eastAsia="SimSun" w:hAnsi="Times New Roman"/>
          <w:color w:val="000000"/>
          <w:sz w:val="24"/>
          <w:szCs w:val="24"/>
        </w:rPr>
        <w:t xml:space="preserve">The output volume of record is 22 lessons, 110 key points, 54 glossary entries and 110 explained checks across the eleven notes, covering 39,034 characters of source material, with every one of the 330 check distractors naming the specific misconception it is designed to catch. The receipts' focused total is zero seconds and the wall-clock total is likewise zero: the first wave of the programme with no non-zero interval anywhere in its telemetry, since no repair, no gate-blocked export, no re-export and no pause occurred at any point. Every chain ran as a single shell invocation under the pre-write batch flow, with the P0-P7 flag closures reading between 193 and 208 milliseconds per note in the event logs. The recalibration checkpoint of section 7 reaffirms the wave-2 decision unchanged: the receipts are export-gate telemetry, the planning estimator of record remains the wave-1 instrumented basis, and the corpus-wide exposure arithmetic remains the 28, 56 and 93 author-day bands.</w:t>
      </w:r>
    </w:p>
    <w:p>
      <w:pPr>
        <w:spacing w:after="120" w:line="312"/>
        <w:jc w:val="both"/>
      </w:pPr>
      <w:r>
        <w:rPr>
          <w:rFonts w:ascii="Times New Roman" w:eastAsia="SimSun" w:hAnsi="Times New Roman"/>
          <w:color w:val="000000"/>
          <w:sz w:val="24"/>
          <w:szCs w:val="24"/>
        </w:rPr>
        <w:t xml:space="preserve">With wave-4 closed, the programme stands at 45 of 112 notes authored (40.2 percent of the corpus), 94 lessons, 470 explained checks, 487 key points and 290 glossary entries cumulative, with 1,390 named-misconception distractors banked. Nine of the corpus's 28 subtopics have now closed outright, and Topic 1 is the first complete topic of record: all forty of its notes are authored and all nine of its subtopics are closed, from States of Matter through Electrolysis. The programme's artefacts continue to file to the SME-GuidedLessons folder of the syllabai-resources repository, where wave-4's deliverables append beside waves one through three under the operator's standing convention, and the wave-5 register is staged in the pacing file.</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 of Record</w:t>
      </w:r>
      <w:bookmarkEnd w:id="2"/>
    </w:p>
    <w:p>
      <w:pPr>
        <w:spacing w:after="120" w:line="312"/>
        <w:jc w:val="both"/>
      </w:pPr>
      <w:r>
        <w:rPr>
          <w:rFonts w:ascii="Times New Roman" w:eastAsia="SimSun" w:hAnsi="Times New Roman"/>
          <w:color w:val="000000"/>
          <w:sz w:val="24"/>
          <w:szCs w:val="24"/>
        </w:rPr>
        <w:t xml:space="preserve">The posture of record remains OPEN, build it fully (operator decision of record, standing from trace 1a1683ec43a016a9), and wave-4 is the third wave executed entirely under the pacing file of record. This wave also ran under a single operator ignition (trace 1a16fbc3d4b5b749), which continued the wave-3 close-out directive verbatim: wave-3 closeout at twelve of twelve, then waves four and onward appending their artefacts to the same repository folder. The pacing semantics operated exactly as waves two and three established them: pacing is a schedule, not a gate; receipts and declared assistance continue as measurement discipline rather than admission control; every wave closes with a wave receipt and wave report on the wave-1 pattern; and the recalibration clause discharges at each close-out before the next wave opens. This report and the aggregate receipt minted alongside it discharge that clause for wave-4.</w:t>
      </w:r>
    </w:p>
    <w:p>
      <w:pPr>
        <w:spacing w:after="120" w:line="312"/>
        <w:jc w:val="both"/>
      </w:pPr>
      <w:r>
        <w:rPr>
          <w:rFonts w:ascii="Times New Roman" w:eastAsia="SimSun" w:hAnsi="Times New Roman"/>
          <w:color w:val="000000"/>
          <w:sz w:val="24"/>
          <w:szCs w:val="24"/>
        </w:rPr>
        <w:t xml:space="preserve">The measurement discipline operated unchanged: per-phase clocks P0 through P8 with the sum of the phase clocks as the receipt's focused total; explicit pause logging (wave-4 logged zero pauses across eleven notes); a corpus pinned to the local snapshot with any mid-run drift voiding reuse; and declared assistance per phase. The chain order of record is the corrected invocation pattern minted in wave-3: P0 closed unflagged as a read-only phase by way of a first phase P1 command that carries no flag, P1 through P7 closed with the assist flag, and P8 closed mechanically by the export command. Wave-4 is the first full wave to run this pattern natively from its first chain to its last: all eleven chains were clean on the first pass, no repair tool was invoked, and the P0 assist-equals-false guard that the wave-3 repair minted into the verification passed on every one of the eleven event logs.</w:t>
      </w:r>
    </w:p>
    <w:p>
      <w:pPr>
        <w:spacing w:after="120" w:line="312"/>
        <w:jc w:val="both"/>
      </w:pPr>
      <w:r>
        <w:rPr>
          <w:rFonts w:ascii="Times New Roman" w:eastAsia="SimSun" w:hAnsi="Times New Roman"/>
          <w:color w:val="000000"/>
          <w:sz w:val="24"/>
          <w:szCs w:val="24"/>
        </w:rPr>
        <w:t xml:space="preserve">Standing lane constraints were honoured throughout: zero database contact of any kind (all eleven bodies read from the pinned local snapshot with per-note SHA-256 verification; the wave-1 snapshot pull remains the single database contact of the entire programme), no writes to any production surface, no Vercel lane exercise, the repository content pack read-only, and tokens never echoed. The recurring sandbox-recycle pattern struck again before the wave opened: ajv was absent from the harness path and was restored by the documented no-save reinstall at the prefix of record before any export or verification, and the docx library was likewise reinstalled for this report build, resolving to its CommonJS distribution entry in the current version layout. The harness's save() patch of record remained in effect throughout, verified in the source before the first chain fired.</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 of Record</w:t>
      </w:r>
      <w:bookmarkEnd w:id="3"/>
    </w:p>
    <w:p>
      <w:pPr>
        <w:spacing w:after="120" w:line="312"/>
        <w:jc w:val="both"/>
      </w:pPr>
      <w:r>
        <w:rPr>
          <w:rFonts w:ascii="Times New Roman" w:eastAsia="SimSun" w:hAnsi="Times New Roman"/>
          <w:color w:val="000000"/>
          <w:sz w:val="24"/>
          <w:szCs w:val="24"/>
        </w:rPr>
        <w:t xml:space="preserve">The corpus of record remains the snapshot pinned at wave-1 open: 112 notes, 361,272 characters, single corpus version sme-revision-notes-igcse-chemistry-19-2026-09-18, census 4 topics, 28 subtopics, per-topic note counts 40, 36, 15 and 21. Wave-4 re-verified the pin at open and at close: the snapshot file's SHA-256 was recomputed and matched the going-forward file pin e23e2ab7 through 487d at both verification rounds, and each note body was SHA-verified against its snapshot row before authoring. No corpus drift was detected at any point in the wave; the snapshot manifest remains the instrument that would void reuse of authored layers were the corpus ever to move.</w:t>
      </w:r>
    </w:p>
    <w:p>
      <w:pPr>
        <w:spacing w:after="120" w:line="312"/>
        <w:jc w:val="both"/>
      </w:pPr>
      <w:r>
        <w:rPr>
          <w:rFonts w:ascii="Times New Roman" w:eastAsia="SimSun" w:hAnsi="Times New Roman"/>
          <w:color w:val="000000"/>
          <w:sz w:val="24"/>
          <w:szCs w:val="24"/>
        </w:rPr>
        <w:t xml:space="preserve">The eleven-note register of record is the pacing file's wave-4 register verbatim, and it is the topic-closing register: three notes complete Ionic Bonding (formulae from ion charges, the dot-and-cross diagrams of electron transfer, and the bonding-structure-properties chain), four notes complete Covalent Bonding (bond formation by shared pairs, the covalent dot-and-cross families, simple molecular structures with the C60 fullerene case, and giant covalent structures with the diamond and graphite allotropes), one note completes Metallic Bonding (the ion-plus-electron-sea model and the 2-D lattice diagram), and three notes complete Electrolysis (the conductivity explanation with the anion and cation vocabulary, the molten and aqueous experiment descriptions, and the aqueous-solutions practical itself). Table 1 lists the register in order of authoring, with the size extremes running from Electrolysis Experiments at 5,951 characters down to Metallic Bonding at 2,319.</w:t>
      </w:r>
    </w:p>
    <w:p>
      <w:pPr>
        <w:keepNext/>
        <w:spacing w:after="80" w:before="200" w:line="312"/>
      </w:pPr>
      <w:r>
        <w:rPr>
          <w:rFonts w:ascii="Times New Roman" w:eastAsia="SimSun" w:hAnsi="Times New Roman"/>
          <w:b/>
          <w:bCs/>
          <w:color w:val="404040"/>
          <w:sz w:val="21"/>
          <w:szCs w:val="21"/>
        </w:rPr>
        <w:t xml:space="preserve">Table 1: Wave-4 register of record (order of authoring)</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439"/>
        <w:gridCol w:w="2636"/>
        <w:gridCol w:w="1494"/>
        <w:gridCol w:w="1406"/>
        <w:gridCol w:w="879"/>
        <w:gridCol w:w="1933"/>
      </w:tblGrid>
      <w:tr>
        <w:trPr>
          <w:cantSplit/>
          <w:tblHeader/>
        </w:trPr>
        <w:tc>
          <w:tcPr>
            <w:tcW w:type="pct" w:w="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t>
            </w:r>
          </w:p>
        </w:tc>
        <w:tc>
          <w:tcPr>
            <w:tcW w:type="pct" w:w="1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 (title of record)</w:t>
            </w:r>
          </w:p>
        </w:tc>
        <w:tc>
          <w:tcPr>
            <w:tcW w:type="pct" w:w="8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8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Body chars</w:t>
            </w:r>
          </w:p>
        </w:tc>
        <w:tc>
          <w:tcPr>
            <w:tcW w:type="pct" w:w="11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Genre</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Formulae for Ionic Compounds</w:t>
            </w:r>
          </w:p>
        </w:tc>
        <w:tc>
          <w:tcPr>
            <w:tcW w:type="pct" w:w="8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Bonding</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1.39</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3,862</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Charge cancellation + swap-and-drop, non-numeric example</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Bonds: Dot &amp; Cross Diagrams</w:t>
            </w:r>
          </w:p>
        </w:tc>
        <w:tc>
          <w:tcPr>
            <w:tcW w:type="pct" w:w="8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Bonding</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1.37, 1.40</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2,640</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Electron-transfer diagrams (NaCl + MgO), workedExample-null</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compounds: Bonds, Structure &amp; Properties</w:t>
            </w:r>
          </w:p>
        </w:tc>
        <w:tc>
          <w:tcPr>
            <w:tcW w:type="pct" w:w="8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Bonding</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1.41, 1.42, 1.43</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3,217</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Electrostatics + lattice mp/bp + conductivity, workedExample-null</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Formation of Covalent Bonds</w:t>
            </w:r>
          </w:p>
        </w:tc>
        <w:tc>
          <w:tcPr>
            <w:tcW w:type="pct" w:w="8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1.44, 1.45</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2,779</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Shared pairs + electrostatic explanation, workedExample-null</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Bonds: Dot &amp; Cross Diagrams</w:t>
            </w:r>
          </w:p>
        </w:tc>
        <w:tc>
          <w:tcPr>
            <w:tcW w:type="pct" w:w="8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1.46</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3,058</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Diatomic, inorganic and organic families, workedExample-null</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Simple Molecular Structures</w:t>
            </w:r>
          </w:p>
        </w:tc>
        <w:tc>
          <w:tcPr>
            <w:tcW w:type="pct" w:w="8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1.47, 1.48, 1.50, 1.51</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5,157</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Intermolecular forces + mass trend + C60, workedExample-null</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Giant Covalent Structures</w:t>
            </w:r>
          </w:p>
        </w:tc>
        <w:tc>
          <w:tcPr>
            <w:tcW w:type="pct" w:w="8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1.49, 1.50</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4,591</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Giant covalent melting + diamond/graphite, workedExample-null</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Metallic Bonding</w:t>
            </w:r>
          </w:p>
        </w:tc>
        <w:tc>
          <w:tcPr>
            <w:tcW w:type="pct" w:w="8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Metallic Bonding</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1.52C, 1.53C, 1.54C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2,319</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Ion-plus-electron-sea + 2-D lattice, workedExample-null</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Explaining Conductivity</w:t>
            </w:r>
          </w:p>
        </w:tc>
        <w:tc>
          <w:tcPr>
            <w:tcW w:type="pct" w:w="8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1.55C, 1.56C, 1.57C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3,062</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vs ionic conduction + ion names, workedExample-null</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 Experiments</w:t>
            </w:r>
          </w:p>
        </w:tc>
        <w:tc>
          <w:tcPr>
            <w:tcW w:type="pct" w:w="8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1.56C, 1.58C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5,951</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Molten PbBr2 + aqueous prediction rules, non-numeric example</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Investigate the Electrolysis of Aqueous Solutions</w:t>
            </w:r>
          </w:p>
        </w:tc>
        <w:tc>
          <w:tcPr>
            <w:tcW w:type="pct" w:w="8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1.58C, 1.60C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2,398</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aqueous practical: method, tests, results, workedExample-null</w:t>
            </w:r>
          </w:p>
        </w:tc>
      </w:tr>
    </w:tbl>
    <w:p>
      <w:pPr>
        <w:pStyle w:val="Heading1"/>
        <w:keepNext/>
        <w:spacing w:after="160" w:before="360" w:line="312"/>
      </w:pPr>
      <w:bookmarkStart w:name="_Toc4" w:id="4"/>
      <w:r>
        <w:rPr>
          <w:rFonts w:ascii="Times New Roman" w:eastAsia="SimSun" w:hAnsi="Times New Roman"/>
          <w:b/>
          <w:bCs/>
          <w:color w:val="15857A"/>
          <w:sz w:val="32"/>
          <w:szCs w:val="32"/>
        </w:rPr>
        <w:t xml:space="preserve">4. Results of Record</w:t>
      </w:r>
      <w:bookmarkEnd w:id="4"/>
    </w:p>
    <w:p>
      <w:pPr>
        <w:spacing w:after="120" w:line="312"/>
        <w:jc w:val="both"/>
      </w:pPr>
      <w:r>
        <w:rPr>
          <w:rFonts w:ascii="Times New Roman" w:eastAsia="SimSun" w:hAnsi="Times New Roman"/>
          <w:color w:val="000000"/>
          <w:sz w:val="24"/>
          <w:szCs w:val="24"/>
        </w:rPr>
        <w:t xml:space="preserve">Table 2 carries the per-note figures of record. Every focused figure is zero, and for the first time so is every wall-clock figure: all eleven chains ran as single shell invocations under the pre-write batch flow, so every phase clock read at or below timer resolution, the nominal phase share is undefined at a zero total (the all-zero form wave-3 introduced, now without even a repair interval to attribute), and no note carries any wall span at all. No pause was logged anywhere in the wave, no export was gate-blocked, and no re-export occurred: all eleven layers were first-pass clean after pre-flight fixes, which extends the wave-3 pattern to a whole wave and keeps the chain telemetry perfectly uniform.</w:t>
      </w:r>
    </w:p>
    <w:p>
      <w:pPr>
        <w:spacing w:after="120" w:line="312"/>
        <w:jc w:val="both"/>
      </w:pPr>
      <w:r>
        <w:rPr>
          <w:rFonts w:ascii="Times New Roman" w:eastAsia="SimSun" w:hAnsi="Times New Roman"/>
          <w:color w:val="000000"/>
          <w:sz w:val="24"/>
          <w:szCs w:val="24"/>
        </w:rPr>
        <w:t xml:space="preserve">The event logs carry the wave's only non-zero mechanical detail: each of the eleven logs holds exactly nineteen events, the phase-flag closures between them span 193 to 208 milliseconds per note, and each log closes with exactly one export event and exactly one P8 phase-end, the idempotence property holding for its ninth through eleventh consecutive production rounds. The receipt totals reconcile against the disk state at the close-out verification: 22 lessons, 110 key points, 110 checks and 54 glossary entries, with the 330 distractors distributed uniformly at thirty per note since every check in the wave carries four options.</w:t>
      </w:r>
    </w:p>
    <w:p>
      <w:pPr>
        <w:keepNext/>
        <w:spacing w:after="80" w:before="200" w:line="312"/>
      </w:pPr>
      <w:r>
        <w:rPr>
          <w:rFonts w:ascii="Times New Roman" w:eastAsia="SimSun" w:hAnsi="Times New Roman"/>
          <w:b/>
          <w:bCs/>
          <w:color w:val="404040"/>
          <w:sz w:val="21"/>
          <w:szCs w:val="21"/>
        </w:rPr>
        <w:t xml:space="preserve">Table 2: Wave-4 per-note results of record (2 lessons x 5 checks per note throughout; every figure first-pass clean)</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52"/>
        <w:gridCol w:w="2636"/>
        <w:gridCol w:w="1406"/>
        <w:gridCol w:w="1055"/>
        <w:gridCol w:w="791"/>
        <w:gridCol w:w="791"/>
        <w:gridCol w:w="1758"/>
      </w:tblGrid>
      <w:tr>
        <w:trPr>
          <w:cantSplit/>
          <w:tblHeader/>
        </w:trPr>
        <w:tc>
          <w:tcPr>
            <w:tcW w:type="pct" w:w="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t>
            </w:r>
          </w:p>
        </w:tc>
        <w:tc>
          <w:tcPr>
            <w:tcW w:type="pct" w:w="1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 (title of record)</w:t>
            </w:r>
          </w:p>
        </w:tc>
        <w:tc>
          <w:tcPr>
            <w:tcW w:type="pct" w:w="8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6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 x checks</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Key points</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Glossary</w:t>
            </w:r>
          </w:p>
        </w:tc>
        <w:tc>
          <w:tcPr>
            <w:tcW w:type="pct" w:w="10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 of record</w:t>
            </w:r>
          </w:p>
        </w:tc>
      </w:tr>
      <w:tr>
        <w:trPr>
          <w:cantSplit/>
        </w:trPr>
        <w:tc>
          <w:tcPr>
            <w:tcW w:type="pct" w:w="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Formulae for Ionic Compounds</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Bonding</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non-numeric (declared)</w:t>
            </w:r>
          </w:p>
        </w:tc>
      </w:tr>
      <w:tr>
        <w:trPr>
          <w:cantSplit/>
        </w:trPr>
        <w:tc>
          <w:tcPr>
            <w:tcW w:type="pct" w:w="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Bonds: Dot &amp; Cross Diagrams</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Bonding</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w:t>
            </w:r>
          </w:p>
        </w:tc>
        <w:tc>
          <w:tcPr>
            <w:tcW w:type="pct" w:w="1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compounds: Bonds, Structure &amp; Properties</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Ionic Bonding</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Formation of Covalent Bonds</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Bonds: Dot &amp; Cross Diagrams</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Simple Molecular Structures</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Giant Covalent Structures</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Covalent Bonding</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Metallic Bonding</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Metallic Bonding</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Explaining Conductivity</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 Experiments</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non-numeric (declared)</w:t>
            </w:r>
          </w:p>
        </w:tc>
      </w:tr>
      <w:tr>
        <w:trPr>
          <w:cantSplit/>
        </w:trPr>
        <w:tc>
          <w:tcPr>
            <w:tcW w:type="pct" w:w="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Investigate the Electrolysis of Aqueous Solutions</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Electrolysis</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 x 5</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bl>
    <w:p>
      <w:pPr>
        <w:pStyle w:val="Heading1"/>
        <w:keepNext/>
        <w:spacing w:after="160" w:before="360" w:line="312"/>
      </w:pPr>
      <w:bookmarkStart w:name="_Toc5" w:id="5"/>
      <w:r>
        <w:rPr>
          <w:rFonts w:ascii="Times New Roman" w:eastAsia="SimSun" w:hAnsi="Times New Roman"/>
          <w:b/>
          <w:bCs/>
          <w:color w:val="15857A"/>
          <w:sz w:val="32"/>
          <w:szCs w:val="32"/>
        </w:rPr>
        <w:t xml:space="preserve">5. Quality of Record</w:t>
      </w:r>
      <w:bookmarkEnd w:id="5"/>
    </w:p>
    <w:p>
      <w:pPr>
        <w:spacing w:after="120" w:line="312"/>
        <w:jc w:val="both"/>
      </w:pPr>
      <w:r>
        <w:rPr>
          <w:rFonts w:ascii="Times New Roman" w:eastAsia="SimSun" w:hAnsi="Times New Roman"/>
          <w:color w:val="000000"/>
          <w:sz w:val="24"/>
          <w:szCs w:val="24"/>
        </w:rPr>
        <w:t xml:space="preserve">The wave's quality state is uniform across all eleven notes: schema validation PASS under ajv draft-07 with additionalProperties false, zero lint hard-fail violations, and exactly one lint warning line per note, every one of which is a designed declaration. Nine notes declare workedExample null because their source notes carry no worked example of any kind; two notes port their source's worked example verbatim and declare the example non-numeric, since the lint's arithmetic scanner finds no equals-signed expression to verify in qualitative material. The two non-numeric declarations follow the wave-1 note-6 and wave-2 note-7 precedent exactly, where the warning line itself is the declaration of record, and the copy-it red line was held: no step of either ported example was rewritten to manufacture parseable arithmetic.</w:t>
      </w:r>
    </w:p>
    <w:p>
      <w:pPr>
        <w:spacing w:after="120" w:line="312"/>
        <w:jc w:val="both"/>
      </w:pPr>
      <w:r>
        <w:rPr>
          <w:rFonts w:ascii="Times New Roman" w:eastAsia="SimSun" w:hAnsi="Times New Roman"/>
          <w:color w:val="000000"/>
          <w:sz w:val="24"/>
          <w:szCs w:val="24"/>
        </w:rPr>
        <w:t xml:space="preserve">Every one of the wave's 110 checks carries exactly one keyed correct option, an explanation on every option, and a misconception string on every distractor; the 330 distractors name thirty distinct misconception families across the wave, from swap-direction reversal and unsimplified ratios in the formulae material, through force-scale confusion between covalent bonds and intermolecular forces, to electrode-product swaps and reactivity-rule inversions in the electrolysis material. Key points hold the economy rule throughout (one sentence, at most twenty-five words), the depth layers hold the template balance rule (low and medium layers within the length tolerance on every lesson), and the plain-words register passed clean on every scanned field: the word electrolysis is glossed wherever it rides in a scanned field, and no unglossed technical-form word of nine or more characters survived to export anywhere in the wave.</w:t>
      </w:r>
    </w:p>
    <w:p>
      <w:pPr>
        <w:spacing w:after="120" w:line="312"/>
        <w:jc w:val="both"/>
      </w:pPr>
      <w:r>
        <w:rPr>
          <w:rFonts w:ascii="Times New Roman" w:eastAsia="SimSun" w:hAnsi="Times New Roman"/>
          <w:color w:val="000000"/>
          <w:sz w:val="24"/>
          <w:szCs w:val="24"/>
        </w:rPr>
        <w:t xml:space="preserve">The ported worked examples carry their own quality story. The Formulae for Ionic Compounds example ports the source's iron(III) chloride case with both its methods intact, and the Electrolysis Experiments example ports the source's two-compound prediction case with the charge-steering reasoning verbatim; both final answers trace their every number to the stated steps. Arithmetic-bearing worked examples were not available in this wave's register, so the arithmetic-truth scanner verified no numerical chains this wave; the scanner's documented treatments (stepwise formulation, single-equals form, label-colon avoidance of the crash mode) all remain in force for the calculation waves ahead.</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 of Record</w:t>
      </w:r>
      <w:bookmarkEnd w:id="6"/>
    </w:p>
    <w:p>
      <w:pPr>
        <w:spacing w:after="120" w:line="312"/>
        <w:jc w:val="both"/>
      </w:pPr>
      <w:r>
        <w:rPr>
          <w:rFonts w:ascii="Times New Roman" w:eastAsia="SimSun" w:hAnsi="Times New Roman"/>
          <w:color w:val="000000"/>
          <w:sz w:val="24"/>
          <w:szCs w:val="24"/>
        </w:rPr>
        <w:t xml:space="preserve">Wave-4 is the cleanest telemetry wave of the programme. The focused total is zero seconds across all eleven receipts, the wall-clock total is zero seconds, no pause was logged, no export was blocked, and no re-export occurred; there is no repair interval to attribute and no blocked path to narrate. The eleven event logs are structurally identical: nineteen events each, P0 opened by the start command and closed unflagged by the first phase P1 command, P1 through P7 closed with the assist flag, P8 opened by the last flagged command and closed mechanically by the export, with 193 to 208 milliseconds spanning each note's flag closures. The corrected invocation pattern minted in wave-3 therefore holds its first complete wave: it was applied natively from the first chain of the wave, and no correction of any kind was needed at any point.</w:t>
      </w:r>
    </w:p>
    <w:p>
      <w:pPr>
        <w:spacing w:after="120" w:line="312"/>
        <w:jc w:val="both"/>
      </w:pPr>
      <w:r>
        <w:rPr>
          <w:rFonts w:ascii="Times New Roman" w:eastAsia="SimSun" w:hAnsi="Times New Roman"/>
          <w:color w:val="000000"/>
          <w:sz w:val="24"/>
          <w:szCs w:val="24"/>
        </w:rPr>
        <w:t xml:space="preserve">The wave-3 repair's permanent guard had its first full-wave exercise and passed throughout: every one of the eleven event logs asserts a P0 phase-end with assist exactly false, every log carries exactly one P8 phase-end, and the export count per log is exactly one with zero reExport events. The save() patch of record (the wave-1 success-path persistence omission) therefore extends its live proof to its ninth through eleventh consecutive production rounds, and the idempotence property it guarantees was never even stressed this wave, since no re-export was required. The round verifier minted for this wave carries the full close-out guard set from the outset: per-note pin checks, chain-discipline checks, event-log ground truth, tally reconciliation against the aggregate receipt, and the snapshot pin check.</w:t>
      </w:r>
    </w:p>
    <w:p>
      <w:pPr>
        <w:spacing w:after="120" w:line="312"/>
        <w:jc w:val="both"/>
      </w:pPr>
      <w:r>
        <w:rPr>
          <w:rFonts w:ascii="Times New Roman" w:eastAsia="SimSun" w:hAnsi="Times New Roman"/>
          <w:color w:val="000000"/>
          <w:sz w:val="24"/>
          <w:szCs w:val="24"/>
        </w:rPr>
        <w:t xml:space="preserve">The pre-flight discipline deserves its line of record: all eleven layers were authored and linted against the standalone schema gate before any chain fired, and the fixes that stage surfaced (four source-fidelity runs across three notes, one register word, and one JSON syntax slip) were all corrected before the first export attempt. The result is the uniform telemetry above: the export gate never had occasion to block, because nothing reached it dirty. The recurring environment pattern (ajv and docx vanishing on sandbox recycle) was handled at entry by the documented no-save reinstalls at the harness prefix, with the docx resolution path disclosed in the integrity record of the aggregate receipt.</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w:t>
      </w:r>
      <w:bookmarkEnd w:id="7"/>
    </w:p>
    <w:p>
      <w:pPr>
        <w:spacing w:after="120" w:line="312"/>
        <w:jc w:val="both"/>
      </w:pPr>
      <w:r>
        <w:rPr>
          <w:rFonts w:ascii="Times New Roman" w:eastAsia="SimSun" w:hAnsi="Times New Roman"/>
          <w:color w:val="000000"/>
          <w:sz w:val="24"/>
          <w:szCs w:val="24"/>
        </w:rPr>
        <w:t xml:space="preserve">The pacing file's recalibration clause discharges again at this close-out, and the recompute is the all-zero form: mean 0 seconds per note, 0 seconds per character, and nominal phase shares undefined at the zero divisor, each disclosed as null rather than rounded or reconstructed. The event-log ground truth confirms the mechanical picture: sub-second flag closures on every note, no P8 window anywhere, and no wall span to apportion. Wave-4's receipts therefore carry the same classification wave-2 and wave-3 established for batch-placement receipts: export-gate telemetry, informative about schema verdicts, lint state, chain-order discipline and idempotence, and silent about authoring effort.</w:t>
      </w:r>
    </w:p>
    <w:p>
      <w:pPr>
        <w:spacing w:after="120" w:line="312"/>
        <w:jc w:val="both"/>
      </w:pPr>
      <w:r>
        <w:rPr>
          <w:rFonts w:ascii="Times New Roman" w:eastAsia="SimSun" w:hAnsi="Times New Roman"/>
          <w:color w:val="000000"/>
          <w:sz w:val="24"/>
          <w:szCs w:val="24"/>
        </w:rPr>
        <w:t xml:space="preserve">The decision of record reaffirms the wave-2 checkpoint unchanged on all four items, as wave-3 did before it. First, the planning estimator of record remains the wave-1 instrumented basis (283 seconds per note, 0.0697 seconds per character, wave-1 phase shares); the wave-2, wave-3 and wave-4 receipts are alike classified as export-gate telemetry and are not used to restate the pacing estimators. Second, re-timing a paced round remains declined: under the batch authoring posture the instrument measures the chain window, and instrumented measurement comparable to wave-1 reopens only if authoring returns inside the P0-P8 chain. Third, receipts continue on every future wave regardless, each carrying its own event-log ground-truth block, and focused tallies are never compared across waves with different authoring placement. Fourth, the corpus-wide exposure arithmetic is unchanged: the 28, 56 and 93 author-day bands stand, the 0.2 hour-per-topic floor remains never quotable as a human rate, and the wave means remain pipeline rates under declared assistance. The comparability note sharpens by one line: waves two, three and four now share a single comparability class (all pre-write batch flow), and none of the three is comparable to wave-1.</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 of Record</w:t>
      </w:r>
      <w:bookmarkEnd w:id="8"/>
    </w:p>
    <w:p>
      <w:pPr>
        <w:spacing w:after="120" w:line="312"/>
        <w:jc w:val="both"/>
      </w:pPr>
      <w:r>
        <w:rPr>
          <w:rFonts w:ascii="Times New Roman" w:eastAsia="SimSun" w:hAnsi="Times New Roman"/>
          <w:color w:val="000000"/>
          <w:sz w:val="24"/>
          <w:szCs w:val="24"/>
        </w:rPr>
        <w:t xml:space="preserve">The structural fact of the wave is the completion of Topic 1. All forty notes of Principles of Chemistry are now authored: States of Matter five of five, Elements, Compounds and Mixtures five of five, Atomic Structure two of two, The Periodic Table four of four, Chemical Formulae, Equations, Calculations ten of ten, Ionic Bonding five of five, Covalent Bonding four of four, Metallic Bonding one of one, and Electrolysis four of four. Nine subtopics closed outright across the four waves, and Topic 1 is the first of the corpus's four topics to reach completeness. The programme position after wave-4 is 45 of 112 notes (40.2 percent), with the remaining register residing entirely in Topics 2, 3 and 4.</w:t>
      </w:r>
    </w:p>
    <w:p>
      <w:pPr>
        <w:spacing w:after="120" w:line="312"/>
        <w:jc w:val="both"/>
      </w:pPr>
      <w:r>
        <w:rPr>
          <w:rFonts w:ascii="Times New Roman" w:eastAsia="SimSun" w:hAnsi="Times New Roman"/>
          <w:color w:val="000000"/>
          <w:sz w:val="24"/>
          <w:szCs w:val="24"/>
        </w:rPr>
        <w:t xml:space="preserve">The cumulative output ledger of record now reads: 94 lessons, 470 explained checks, 487 key points and 290 glossary entries across 45 authored notes, with 1,390 named-misconception distractors banked for the learner experience. The wave-by-wave cadence has been regular (ten, twelve, twelve, eleven notes), the per-note format has been uniform since wave-3 (two lessons, five checks per lesson), and the designed-warning ledger has grown in step with the source material's own character: nineteen workedExample-null declarations and two non-numeric ported examples across the four waves, every one a faithful reflection of its source note rather than a quality lapse.</w:t>
      </w:r>
    </w:p>
    <w:p>
      <w:pPr>
        <w:spacing w:after="120" w:line="312"/>
        <w:jc w:val="both"/>
      </w:pPr>
      <w:r>
        <w:rPr>
          <w:rFonts w:ascii="Times New Roman" w:eastAsia="SimSun" w:hAnsi="Times New Roman"/>
          <w:color w:val="000000"/>
          <w:sz w:val="24"/>
          <w:szCs w:val="24"/>
        </w:rPr>
        <w:t xml:space="preserve">The pedagogical arc of the completed topic is worth stating, because it is the corpus's own design rather than an authoring artefact: the learner walks from particle models and separation techniques, through atomic structure and the periodic table's explanatory machinery, into the three bonding models (ionic, covalent, metallic) with their respective structure-property chains, and finishes at electrolysis, where the ionic model's conductivity story is put to experimental work. The wave-4 register sits entirely inside that final arc, and its four subtopic closures complete it. Every lesson's primer still cites its prerequisite subtopic by title, so the completed topic reads as a connected course rather than forty isolated notes.</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 of Record</w:t>
      </w:r>
      <w:bookmarkEnd w:id="9"/>
    </w:p>
    <w:p>
      <w:pPr>
        <w:spacing w:after="120" w:line="312"/>
        <w:jc w:val="both"/>
      </w:pPr>
      <w:r>
        <w:rPr>
          <w:rFonts w:ascii="Times New Roman" w:eastAsia="SimSun" w:hAnsi="Times New Roman"/>
          <w:color w:val="000000"/>
          <w:sz w:val="24"/>
          <w:szCs w:val="24"/>
        </w:rPr>
        <w:t xml:space="preserve">The wave's deliverables file in three places of record. Locally, download/wave-4 carries twenty-three files: eleven guided-lesson layers, eleven timing receipts, and the aggregate wave4-receipt.json; the eleven event logs persist under the wave-4 runs directory, and the eleven layer working copies persist in the wave-4 scratch space. In the resources repository, the SME-GuidedLessons folder receives this wave's append under the operator's standing convention: the wave-4 deliverable set, the event logs, the wave report, the new tooling scripts, a refreshed manifest with per-file checksums, and a README status update, all inside one additive commit on top of the wave-3 close-out landing. Table 3 lists the artifact set.</w:t>
      </w:r>
    </w:p>
    <w:p>
      <w:pPr>
        <w:keepNext/>
        <w:spacing w:after="80" w:before="200" w:line="312"/>
      </w:pPr>
      <w:r>
        <w:rPr>
          <w:rFonts w:ascii="Times New Roman" w:eastAsia="SimSun" w:hAnsi="Times New Roman"/>
          <w:b/>
          <w:bCs/>
          <w:color w:val="404040"/>
          <w:sz w:val="21"/>
          <w:szCs w:val="21"/>
        </w:rPr>
        <w:t xml:space="preserve">Table 3: Wave-4 artifacts of record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636"/>
        <w:gridCol w:w="3955"/>
        <w:gridCol w:w="2197"/>
      </w:tblGrid>
      <w:tr>
        <w:trPr>
          <w:cantSplit/>
          <w:tblHeader/>
        </w:trPr>
        <w:tc>
          <w:tcPr>
            <w:tcW w:type="pct" w:w="1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Artifact</w:t>
            </w:r>
          </w:p>
        </w:tc>
        <w:tc>
          <w:tcPr>
            <w:tcW w:type="pct" w:w="2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1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Count / note</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Guided-lesson layers (guided-lesson/0.1)</w:t>
            </w:r>
          </w:p>
        </w:tc>
        <w:tc>
          <w:tcPr>
            <w:tcW w:type="pct" w:w="2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download/wave-4 (local); SME-GuidedLessons/wave-4 (repository)</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w:t>
            </w:r>
          </w:p>
        </w:tc>
      </w:tr>
      <w:tr>
        <w:trPr>
          <w:cantSplit/>
        </w:trPr>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Timing receipts (wave1-timing-receipt/0.1 format)</w:t>
            </w:r>
          </w:p>
        </w:tc>
        <w:tc>
          <w:tcPr>
            <w:tcW w:type="pct" w:w="2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download/wave-4 (local); SME-GuidedLessons/wave-4 (repository)</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Aggregate wave receipt (wave4-receipt/0.1)</w:t>
            </w:r>
          </w:p>
        </w:tc>
        <w:tc>
          <w:tcPr>
            <w:tcW w:type="pct" w:w="2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download/wave-4/wave4-receipt.json; SME-GuidedLessons/wave-4 (repository)</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r>
      <w:tr>
        <w:trPr>
          <w:cantSplit/>
        </w:trPr>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Event logs (P0-P8 chains)</w:t>
            </w:r>
          </w:p>
        </w:tc>
        <w:tc>
          <w:tcPr>
            <w:tcW w:type="pct" w:w="2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wave-4 runs directory (local); SME-GuidedLessons/event-logs/wave-4 (repository)</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 report (this document)</w:t>
            </w:r>
          </w:p>
        </w:tc>
        <w:tc>
          <w:tcPr>
            <w:tcW w:type="pct" w:w="2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 (local); SME-GuidedLessons/reports (repository)</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r>
      <w:tr>
        <w:trPr>
          <w:cantSplit/>
        </w:trPr>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Wave-4 tooling (round verifier, receipt builder, report builder)</w:t>
            </w:r>
          </w:p>
        </w:tc>
        <w:tc>
          <w:tcPr>
            <w:tcW w:type="pct" w:w="2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 (local); SME-GuidedLessons/tooling (repository)</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Repository manifest refresh</w:t>
            </w:r>
          </w:p>
        </w:tc>
        <w:tc>
          <w:tcPr>
            <w:tcW w:type="pct" w:w="2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SME-GuidedLessons/MANIFEST.json (v3, per-file sha256)</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r>
      <w:tr>
        <w:trPr>
          <w:cantSplit/>
        </w:trPr>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Repository README status update</w:t>
            </w:r>
          </w:p>
        </w:tc>
        <w:tc>
          <w:tcPr>
            <w:tcW w:type="pct" w:w="2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SME-GuidedLessons/README.md (waves 1-4 closed, T1 complete)</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r>
    </w:tbl>
    <w:p>
      <w:pPr>
        <w:spacing w:after="120" w:line="312"/>
        <w:jc w:val="both"/>
      </w:pPr>
      <w:r>
        <w:rPr>
          <w:rFonts w:ascii="Times New Roman" w:eastAsia="SimSun" w:hAnsi="Times New Roman"/>
          <w:color w:val="000000"/>
          <w:sz w:val="24"/>
          <w:szCs w:val="24"/>
        </w:rPr>
        <w:t xml:space="preserve">The receipt of record embeds the full integrity apparatus: the recomputed snapshot file pin, the per-note pin fields for all eleven registers, the event-log ground truth, the warning inventory with its reconciliation narrative, and the recalibration block with its four reaffirmed decisions. The repository manifest after the append carries per-file SHA-256 checksums for every content file in the folder, and the commit audit confirms every changed path sits inside the SME-GuidedLessons prefix, extending the two-commit programme history with its third additive landing.</w:t>
      </w:r>
    </w:p>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 of Record</w:t>
      </w:r>
      <w:bookmarkEnd w:id="10"/>
    </w:p>
    <w:p>
      <w:pPr>
        <w:spacing w:after="120" w:line="312"/>
        <w:jc w:val="both"/>
      </w:pPr>
      <w:r>
        <w:rPr>
          <w:rFonts w:ascii="Times New Roman" w:eastAsia="SimSun" w:hAnsi="Times New Roman"/>
          <w:color w:val="000000"/>
          <w:sz w:val="24"/>
          <w:szCs w:val="24"/>
        </w:rPr>
        <w:t xml:space="preserve">The wave-5 register is staged in the pacing file and opens Topic 2, Inorganic Chemistry: twelve notes, 30,208 characters, 18 spec points, beginning with the Group 1 and Group 7 reactivity notes that ride the electronic-configuration machinery wave-3 built, then the gases-in-the-atmosphere stretch, and carrying the subtopic's practical where present. The entry conditions are the standing ones: snapshot pin re-verified before any authoring, the harness save() patch in effect, the roster taken in topic order from the pacing file with the format-minimums check at the first phase of each note, ajv present at the harness path, and the single-author, declared-assistance, pinned-snapshot protocol of section 7 throughout.</w:t>
      </w:r>
    </w:p>
    <w:p>
      <w:pPr>
        <w:spacing w:after="120" w:line="312"/>
        <w:jc w:val="both"/>
      </w:pPr>
      <w:r>
        <w:rPr>
          <w:rFonts w:ascii="Times New Roman" w:eastAsia="SimSun" w:hAnsi="Times New Roman"/>
          <w:color w:val="000000"/>
          <w:sz w:val="24"/>
          <w:szCs w:val="24"/>
        </w:rPr>
        <w:t xml:space="preserve">The exit convention is likewise standing and now includes the repository append as a first-class step: wave receipt (per-wave aggregate of the per-note timing receipts), wave report, and the recalibration checkpoint applied before the next wave opens, with the wave's artefacts appending to SME-GuidedLessons and the manifest refreshing in the same landing. Each further wave ignition remains operator-gated per the programme's cadence; the lane holds at wave-4 closed, Topic 1 complete, with the wave-5 register ready to open on the operator's word.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Wave-4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Wave-4 Authoring Wave Report</dc:title>
  <dc:creator>SyllabAI product engineering (lane w0a)</dc:creator>
  <cp:lastModifiedBy>Un-named</cp:lastModifiedBy>
  <cp:revision>1</cp:revision>
  <dcterms:created xsi:type="dcterms:W3CDTF">2026-10-24T21:56:05.013Z</dcterms:created>
  <dcterms:modified xsi:type="dcterms:W3CDTF">2026-10-24T21:56:05.014Z</dcterms:modified>
</cp:coreProperties>
</file>

<file path=docProps/custom.xml><?xml version="1.0" encoding="utf-8"?>
<Properties xmlns="http://schemas.openxmlformats.org/officeDocument/2006/custom-properties" xmlns:vt="http://schemas.openxmlformats.org/officeDocument/2006/docPropsVTypes"/>
</file>