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left"/>
      </w:pPr>
      <w:r>
        <w:rPr>
          <w:rFonts w:ascii="Georgia" w:hAnsi="Georgia"/>
          <w:b/>
          <w:i w:val="0"/>
          <w:color w:val="D97706"/>
          <w:sz w:val="48"/>
        </w:rPr>
        <w:t>SyloPay BNPL Smart Contract Documentation</w:t>
      </w:r>
    </w:p>
    <w:p>
      <w:pPr>
        <w:spacing w:after="480"/>
      </w:pPr>
      <w:r>
        <w:rPr>
          <w:rFonts w:ascii="Calibri" w:hAnsi="Calibri"/>
          <w:b w:val="0"/>
          <w:i/>
          <w:color w:val="71717A"/>
          <w:sz w:val="26"/>
        </w:rPr>
        <w:t>Stellar Soroban Smart Contract Architecture &amp; API Specification</w:t>
      </w:r>
    </w:p>
    <w:p>
      <w:pPr>
        <w:keepNext/>
        <w:spacing w:before="240" w:after="120"/>
      </w:pPr>
      <w:r>
        <w:rPr>
          <w:rFonts w:ascii="Georgia" w:hAnsi="Georgia"/>
          <w:b/>
          <w:i w:val="0"/>
          <w:color w:val="D97706"/>
          <w:sz w:val="32"/>
        </w:rPr>
        <w:t>1. Overview &amp; Architecture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7272A"/>
          <w:sz w:val="22"/>
        </w:rPr>
        <w:t>The SyloPay BNPL contract enables decentralized Buy Now, Pay Later credit terms directly on-chain using the Stellar Soroban network and USDC. It empowers merchants to offer structured installment payment plans to customers, securing agreements and enforcing transparent states directly via Soroban ledger storage.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D97706"/>
          <w:sz w:val="26"/>
        </w:rPr>
        <w:t>Modular Architecture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7272A"/>
          <w:sz w:val="22"/>
        </w:rPr>
        <w:t>The contract is structured according to the industry's best-practice modular hierarchy to maximize readability, maintainability, and clean separation between test and production code: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lib.rs — </w:t>
      </w:r>
      <w:r>
        <w:rPr>
          <w:rFonts w:ascii="Calibri" w:hAnsi="Calibri"/>
          <w:b w:val="0"/>
          <w:i w:val="0"/>
          <w:color w:val="27272A"/>
          <w:sz w:val="22"/>
        </w:rPr>
        <w:t>lib.rs: Main contract entrypoint and implementation of the external #[contractimpl] functions.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types.rs — </w:t>
      </w:r>
      <w:r>
        <w:rPr>
          <w:rFonts w:ascii="Calibri" w:hAnsi="Calibri"/>
          <w:b w:val="0"/>
          <w:i w:val="0"/>
          <w:color w:val="27272A"/>
          <w:sz w:val="22"/>
        </w:rPr>
        <w:t>types.rs: Storage models, structures, and status Enums decorated with #[contracttype].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utils.rs — </w:t>
      </w:r>
      <w:r>
        <w:rPr>
          <w:rFonts w:ascii="Calibri" w:hAnsi="Calibri"/>
          <w:b w:val="0"/>
          <w:i w:val="0"/>
          <w:color w:val="27272A"/>
          <w:sz w:val="22"/>
        </w:rPr>
        <w:t>utils.rs: Universal shared utilities and formatting helpers.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test.rs — </w:t>
      </w:r>
      <w:r>
        <w:rPr>
          <w:rFonts w:ascii="Calibri" w:hAnsi="Calibri"/>
          <w:b w:val="0"/>
          <w:i w:val="0"/>
          <w:color w:val="27272A"/>
          <w:sz w:val="22"/>
        </w:rPr>
        <w:t>test.rs: Isolated unit test suite compiled conditionally with #[cfg(test)].</w:t>
      </w:r>
    </w:p>
    <w:p>
      <w:pPr>
        <w:keepNext/>
        <w:spacing w:before="240" w:after="120"/>
      </w:pPr>
      <w:r>
        <w:rPr>
          <w:rFonts w:ascii="Georgia" w:hAnsi="Georgia"/>
          <w:b/>
          <w:i w:val="0"/>
          <w:color w:val="D97706"/>
          <w:sz w:val="32"/>
        </w:rPr>
        <w:t>2. Storage Strategy &amp; Gas Optimization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7272A"/>
          <w:sz w:val="22"/>
        </w:rPr>
        <w:t>Soroban uses state storage pricing based on three distinct storage classes. The SyloPay contract implements a hybrid model designed to minimize transaction gas fees: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Instance Storage — </w:t>
      </w:r>
      <w:r>
        <w:rPr>
          <w:rFonts w:ascii="Calibri" w:hAnsi="Calibri"/>
          <w:b w:val="0"/>
          <w:i w:val="0"/>
          <w:color w:val="27272A"/>
          <w:sz w:val="22"/>
        </w:rPr>
        <w:t>Instance Storage: Holds global configurations like the Admin address and the global contract counter. This data is automatically loaded when invoking the contract, reducing reading overhead.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Persistent Storage — </w:t>
      </w:r>
      <w:r>
        <w:rPr>
          <w:rFonts w:ascii="Calibri" w:hAnsi="Calibri"/>
          <w:b w:val="0"/>
          <w:i w:val="0"/>
          <w:color w:val="27272A"/>
          <w:sz w:val="22"/>
        </w:rPr>
        <w:t>Persistent Storage: Holds heavy records like individual ContratoBNPL structures and customer contract list registries. This storage class survives lease cycles, guaranteeing user data is never garbage collected.</w:t>
      </w:r>
    </w:p>
    <w:p>
      <w:pPr>
        <w:keepNext/>
        <w:spacing w:before="240" w:after="120"/>
      </w:pPr>
      <w:r>
        <w:rPr>
          <w:rFonts w:ascii="Georgia" w:hAnsi="Georgia"/>
          <w:b/>
          <w:i w:val="0"/>
          <w:color w:val="D97706"/>
          <w:sz w:val="32"/>
        </w:rPr>
        <w:t>3. Data Structures &amp; Data Models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D97706"/>
          <w:sz w:val="26"/>
        </w:rPr>
        <w:t>3.1 Status Enums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7272A"/>
          <w:sz w:val="22"/>
        </w:rPr>
        <w:t>Enums represent the exact state machine of contracts and individual installments: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StatusParcela — </w:t>
      </w:r>
      <w:r>
        <w:rPr>
          <w:rFonts w:ascii="Calibri" w:hAnsi="Calibri"/>
          <w:b w:val="0"/>
          <w:i w:val="0"/>
          <w:color w:val="27272A"/>
          <w:sz w:val="22"/>
        </w:rPr>
        <w:t>Pendente, Paga, Vencida.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StatusContrato — </w:t>
      </w:r>
      <w:r>
        <w:rPr>
          <w:rFonts w:ascii="Calibri" w:hAnsi="Calibri"/>
          <w:b w:val="0"/>
          <w:i w:val="0"/>
          <w:color w:val="27272A"/>
          <w:sz w:val="22"/>
        </w:rPr>
        <w:t>Ativo, Concluido, Inadimplente.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D97706"/>
          <w:sz w:val="26"/>
        </w:rPr>
        <w:t>3.2 Structs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7272A"/>
          <w:sz w:val="22"/>
        </w:rPr>
        <w:t>Production data types representing records inside storage: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• </w:t>
      </w:r>
      <w:r>
        <w:rPr>
          <w:rFonts w:ascii="Calibri" w:hAnsi="Calibri"/>
          <w:b w:val="0"/>
          <w:i w:val="0"/>
          <w:color w:val="27272A"/>
          <w:sz w:val="22"/>
        </w:rPr>
        <w:t>Parcela Record:</w:t>
      </w:r>
    </w:p>
    <w:p>
      <w:pPr>
        <w:spacing w:before="120" w:after="120" w:line="240" w:lineRule="auto"/>
        <w:ind w:left="576" w:right="576"/>
        <w:shd w:fill="F4F4F5"/>
      </w:pPr>
      <w:r>
        <w:rPr>
          <w:rFonts w:ascii="Consolas" w:hAnsi="Consolas"/>
          <w:b w:val="0"/>
          <w:i w:val="0"/>
          <w:color w:val="18181B"/>
          <w:sz w:val="19"/>
        </w:rPr>
        <w:t>pub struct Parcela {</w:t>
        <w:br/>
        <w:t xml:space="preserve">    pub numero: u32,</w:t>
        <w:br/>
        <w:t xml:space="preserve">    pub valor_usdc: i128,</w:t>
        <w:br/>
        <w:t xml:space="preserve">    pub vencimento: u64,</w:t>
        <w:br/>
        <w:t xml:space="preserve">    pub status: StatusParcela,</w:t>
        <w:br/>
        <w:t xml:space="preserve">    pub tx_hash: String,</w:t>
        <w:br/>
        <w:t xml:space="preserve">    pub pago_em: u64,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• </w:t>
      </w:r>
      <w:r>
        <w:rPr>
          <w:rFonts w:ascii="Calibri" w:hAnsi="Calibri"/>
          <w:b w:val="0"/>
          <w:i w:val="0"/>
          <w:color w:val="27272A"/>
          <w:sz w:val="22"/>
        </w:rPr>
        <w:t>ContratoBNPL Record:</w:t>
      </w:r>
    </w:p>
    <w:p>
      <w:pPr>
        <w:spacing w:before="120" w:after="120" w:line="240" w:lineRule="auto"/>
        <w:ind w:left="576" w:right="576"/>
        <w:shd w:fill="F4F4F5"/>
      </w:pPr>
      <w:r>
        <w:rPr>
          <w:rFonts w:ascii="Consolas" w:hAnsi="Consolas"/>
          <w:b w:val="0"/>
          <w:i w:val="0"/>
          <w:color w:val="18181B"/>
          <w:sz w:val="19"/>
        </w:rPr>
        <w:t>pub struct ContratoBNPL {</w:t>
        <w:br/>
        <w:t xml:space="preserve">    pub id: String,</w:t>
        <w:br/>
        <w:t xml:space="preserve">    pub merchant: Address,</w:t>
        <w:br/>
        <w:t xml:space="preserve">    pub cliente: Address,</w:t>
        <w:br/>
        <w:t xml:space="preserve">    pub valor_total: i128,</w:t>
        <w:br/>
        <w:t xml:space="preserve">    pub num_parcelas: u32,</w:t>
        <w:br/>
        <w:t xml:space="preserve">    pub parcelas: Vec&lt;Parcela&gt;,</w:t>
        <w:br/>
        <w:t xml:space="preserve">    pub status: StatusContrato,</w:t>
        <w:br/>
        <w:t xml:space="preserve">    pub criado_em: u64,</w:t>
        <w:br/>
        <w:t>}</w:t>
      </w:r>
    </w:p>
    <w:p>
      <w:pPr>
        <w:keepNext/>
        <w:spacing w:before="240" w:after="120"/>
      </w:pPr>
      <w:r>
        <w:rPr>
          <w:rFonts w:ascii="Georgia" w:hAnsi="Georgia"/>
          <w:b/>
          <w:i w:val="0"/>
          <w:color w:val="D97706"/>
          <w:sz w:val="32"/>
        </w:rPr>
        <w:t>4. Smart Contract Core API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D97706"/>
          <w:sz w:val="26"/>
        </w:rPr>
        <w:t>4.1 State Modifying Functions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• initialize(env: Env, admin: Address): </w:t>
      </w:r>
      <w:r>
        <w:rPr>
          <w:rFonts w:ascii="Calibri" w:hAnsi="Calibri"/>
          <w:b w:val="0"/>
          <w:i w:val="0"/>
          <w:color w:val="27272A"/>
          <w:sz w:val="22"/>
        </w:rPr>
        <w:t>Initializes the contract instance settings. Can only be executed once. Sets the Admin address and starts the global contract counter at 0.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• criar_contrato(env: Env, merchant: Address, cliente: Address, valor_total: i128, num_parcelas: u32) -&gt; String: </w:t>
      </w:r>
      <w:r>
        <w:rPr>
          <w:rFonts w:ascii="Calibri" w:hAnsi="Calibri"/>
          <w:b w:val="0"/>
          <w:i w:val="0"/>
          <w:color w:val="27272A"/>
          <w:sz w:val="22"/>
        </w:rPr>
        <w:t>Registers a new BNPL contract on-chain. Fails if the client signature authorization is missing. Generates a unique ID (e.g., BNPL-0001), calculates equal installment allocations and 30-day staggered deadlines, and publishes a BNPL_NEW event.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• pagar_parcela(env: Env, contrato_id: String, numero_parcela: u32, tx_hash: String): </w:t>
      </w:r>
      <w:r>
        <w:rPr>
          <w:rFonts w:ascii="Calibri" w:hAnsi="Calibri"/>
          <w:b w:val="0"/>
          <w:i w:val="0"/>
          <w:color w:val="27272A"/>
          <w:sz w:val="22"/>
        </w:rPr>
        <w:t>Processes payment validation for a specific installment. Fails if the client signature authorization is missing. Updates status to Paga, saves the transaction hash and payment timestamp, and completes the contract if all installments are settled.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• marcar_inadimplente(env: Env, contrato_id: String): </w:t>
      </w:r>
      <w:r>
        <w:rPr>
          <w:rFonts w:ascii="Calibri" w:hAnsi="Calibri"/>
          <w:b w:val="0"/>
          <w:i w:val="0"/>
          <w:color w:val="27272A"/>
          <w:sz w:val="22"/>
        </w:rPr>
        <w:t>Flags a contract as delinquent due to overdue payments. Fails if the contract Admin signature authorization is missing. Sets missed installments to Vencida, sets contract status to Inadimplente, and publishes a BNPL_DEF event.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D97706"/>
          <w:sz w:val="26"/>
        </w:rPr>
        <w:t>4.2 Read-Only Query Functions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• status_contrato(env: Env, contrato_id: String) -&gt; ContratoBNPL: </w:t>
      </w:r>
      <w:r>
        <w:rPr>
          <w:rFonts w:ascii="Calibri" w:hAnsi="Calibri"/>
          <w:b w:val="0"/>
          <w:i w:val="0"/>
          <w:color w:val="27272A"/>
          <w:sz w:val="22"/>
        </w:rPr>
        <w:t>Returns the complete data struct for a specific contract.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• listar_contratos_cliente(env: Env, cliente: Address) -&gt; Vec&lt;String&gt;: </w:t>
      </w:r>
      <w:r>
        <w:rPr>
          <w:rFonts w:ascii="Calibri" w:hAnsi="Calibri"/>
          <w:b w:val="0"/>
          <w:i w:val="0"/>
          <w:color w:val="27272A"/>
          <w:sz w:val="22"/>
        </w:rPr>
        <w:t>Returns a list of all contract IDs associated with a specific customer account.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• obter_admin(env: Env) -&gt; Address: </w:t>
      </w:r>
      <w:r>
        <w:rPr>
          <w:rFonts w:ascii="Calibri" w:hAnsi="Calibri"/>
          <w:b w:val="0"/>
          <w:i w:val="0"/>
          <w:color w:val="27272A"/>
          <w:sz w:val="22"/>
        </w:rPr>
        <w:t>Returns the initialized contract administrator's address.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7272A"/>
          <w:sz w:val="22"/>
        </w:rPr>
        <w:t xml:space="preserve">• total_contratos(env: Env) -&gt; u32: </w:t>
      </w:r>
      <w:r>
        <w:rPr>
          <w:rFonts w:ascii="Calibri" w:hAnsi="Calibri"/>
          <w:b w:val="0"/>
          <w:i w:val="0"/>
          <w:color w:val="27272A"/>
          <w:sz w:val="22"/>
        </w:rPr>
        <w:t>Returns the total number of BNPL contracts registered on the platform.</w:t>
      </w:r>
    </w:p>
    <w:p>
      <w:pPr>
        <w:keepNext/>
        <w:spacing w:before="240" w:after="120"/>
      </w:pPr>
      <w:r>
        <w:rPr>
          <w:rFonts w:ascii="Georgia" w:hAnsi="Georgia"/>
          <w:b/>
          <w:i w:val="0"/>
          <w:color w:val="D97706"/>
          <w:sz w:val="32"/>
        </w:rPr>
        <w:t>5. Security &amp; Authorization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Function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Required Auth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Enforcement Mechanism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initialize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None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One-time check of admin existence in instance storage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criar_contrato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cliente signature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Explicit cliente.require_auth() verification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pagar_parcela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cliente signature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Explicit contrato.cliente.require_auth() verification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marcar_inadimplente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admin signature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Explicit admin.require_auth() verification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status_contrato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Public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Read-only access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listar_contratos_cliente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Public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7272A"/>
                <w:sz w:val="22"/>
              </w:rPr>
              <w:t>Read-only access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