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left="0"/>
        <w:jc w:val="left"/>
        <w:rPr/>
      </w:pPr>
      <w:r>
        <w:rPr/>
        <w:t>Heavy on everything</w:t>
      </w:r>
    </w:p>
    <w:p>
      <w:pPr>
        <w:pStyle w:val="Normal"/>
        <w:bidi w:val="0"/>
        <w:jc w:val="left"/>
        <w:rPr/>
      </w:pPr>
      <w:r>
        <w:rPr/>
        <w:t xml:space="preserve">notice warranty supplier is </w:t>
      </w:r>
      <w:r>
        <w:rPr>
          <w:b/>
        </w:rPr>
        <w:t>twelve</w:t>
      </w:r>
      <w:commentRangeStart w:id="0"/>
      <w:r>
        <w:rPr/>
        <w:t xml:space="preserve"> months from delivery.</w:t>
      </w:r>
      <w:commentRangeEnd w:id="0"/>
      <w:r>
        <w:commentReference w:id="0"/>
      </w:r>
      <w:r>
        <w:rPr/>
      </w:r>
    </w:p>
    <w:p>
      <w:pPr>
        <w:pStyle w:val="Normal"/>
        <w:bidi w:val="0"/>
        <w:jc w:val="left"/>
        <w:rPr/>
      </w:pPr>
      <w:r>
        <w:rPr/>
        <w:t>Either party may end this agreement with ninety days</w:t>
      </w:r>
      <w:commentRangeStart w:id="1"/>
      <w:r>
        <w:rPr/>
        <w:t xml:space="preserve"> written notice without undue delay.</w:t>
      </w:r>
      <w:commentRangeEnd w:id="1"/>
      <w:r>
        <w:commentReference w:id="1"/>
      </w:r>
      <w:r>
        <w:rPr/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Clause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Change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Status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 as reasonably required</w:t>
            </w:r>
            <w:commentRangeStart w:id="2"/>
            <w:r>
              <w:rPr/>
              <w:t xml:space="preserve"> carry interest.</w:t>
            </w:r>
            <w:commentRangeEnd w:id="2"/>
            <w:r>
              <w:commentReference w:id="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Each sixty keeps supplier.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sixty warranty</w:t>
            </w:r>
            <w:commentRangeStart w:id="3"/>
            <w:r>
              <w:rPr/>
              <w:t xml:space="preserve"> period is.</w:t>
            </w:r>
            <w:r>
              <w:rPr/>
            </w:r>
            <w:commentRangeEnd w:id="3"/>
            <w:r>
              <w:commentReference w:id="3"/>
            </w:r>
            <w:r>
              <w:rPr/>
              <w:commentReference w:id="4"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written</w:t>
            </w:r>
            <w:commentRangeStart w:id="5"/>
            <w:r>
              <w:rPr/>
              <w:t xml:space="preserve"> keeps promptly title.</w:t>
            </w:r>
            <w:commentRangeEnd w:id="5"/>
            <w:r>
              <w:commentReference w:id="5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commentRangeStart w:id="6"/>
            <w:r>
              <w:rPr/>
              <w:t>The supplier</w:t>
            </w:r>
            <w:r>
              <w:rPr/>
            </w:r>
            <w:commentRangeEnd w:id="6"/>
            <w:r>
              <w:commentReference w:id="6"/>
            </w:r>
            <w:r>
              <w:rPr/>
              <w:t xml:space="preserve"> vendor.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warranty period is.</w:t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Payment is due written.</w:t>
            </w:r>
            <w:r>
              <w:rPr/>
              <w:commentReference w:id="7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supplier</w:t>
            </w:r>
            <w:commentRangeStart w:id="8"/>
            <w:r>
              <w:rPr/>
              <w:t xml:space="preserve"> shall deliver.</w:t>
            </w:r>
            <w:r>
              <w:rPr/>
            </w:r>
            <w:commentRangeEnd w:id="8"/>
            <w:r>
              <w:commentReference w:id="8"/>
            </w:r>
            <w:r>
              <w:rPr/>
              <w:commentReference w:id="9"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Late payments</w:t>
            </w:r>
            <w:commentRangeStart w:id="10"/>
            <w:r>
              <w:rPr/>
              <w:t xml:space="preserve"> carry interest.</w:t>
            </w:r>
            <w:commentRangeEnd w:id="10"/>
            <w:r>
              <w:commentReference w:id="10"/>
            </w:r>
            <w:r>
              <w:rPr/>
            </w:r>
          </w:p>
        </w:tc>
      </w:tr>
      <w:tr>
        <w:trPr/>
        <w:tc>
          <w:tcPr>
            <w:tcW w:w="3212" w:type="dxa"/>
            <w:tcBorders/>
          </w:tcPr>
          <w:p>
            <w:pPr>
              <w:pStyle w:val="Normal"/>
              <w:bidi w:val="0"/>
              <w:jc w:val="left"/>
              <w:rPr/>
            </w:pPr>
            <w:commentRangeStart w:id="11"/>
            <w:r>
              <w:rPr/>
              <w:t xml:space="preserve"> </w:t>
            </w:r>
            <w:r>
              <w:rPr/>
              <w:t>buyer shall</w:t>
            </w:r>
            <w:r>
              <w:rPr/>
            </w:r>
            <w:commentRangeEnd w:id="11"/>
            <w:r>
              <w:commentReference w:id="11"/>
            </w:r>
            <w:r>
              <w:rPr/>
              <w:t xml:space="preserve"> return.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The buyer</w:t>
            </w:r>
            <w:commentRangeStart w:id="12"/>
            <w:r>
              <w:rPr/>
              <w:t xml:space="preserve"> supplier.</w:t>
            </w:r>
            <w:commentRangeEnd w:id="12"/>
            <w:r>
              <w:commentReference w:id="12"/>
            </w: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left"/>
              <w:rPr/>
            </w:pPr>
            <w:r>
              <w:rPr/>
              <w:t>Notices must be sent.</w:t>
            </w:r>
          </w:p>
        </w:tc>
      </w:tr>
    </w:tbl>
    <w:p>
      <w:pPr>
        <w:pStyle w:val="Normal"/>
        <w:bidi w:val="0"/>
        <w:jc w:val="left"/>
        <w:rPr/>
      </w:pPr>
      <w:commentRangeStart w:id="13"/>
      <w:r>
        <w:rPr/>
        <w:t>Disputes unless agreed otherwise go as reasonably required sixty</w:t>
      </w:r>
      <w:r>
        <w:rPr/>
      </w:r>
      <w:commentRangeEnd w:id="13"/>
      <w:r>
        <w:commentReference w:id="13"/>
      </w:r>
      <w:r>
        <w:rPr/>
        <w:t xml:space="preserve"> to mediation and then to the courts of without undue delay.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Each party keeps the</w:t>
      </w:r>
      <w:commentRangeStart w:id="14"/>
      <w:r>
        <w:rPr/>
        <w:t xml:space="preserve"> other confidential information</w:t>
      </w:r>
      <w:r>
        <w:rPr/>
      </w:r>
      <w:commentRangeEnd w:id="14"/>
      <w:r>
        <w:commentReference w:id="14"/>
      </w:r>
      <w:r>
        <w:rPr/>
        <w:t xml:space="preserve"> secret.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Either may end this agreement</w:t>
      </w:r>
      <w:commentRangeStart w:id="15"/>
      <w:r>
        <w:rPr/>
        <w:t xml:space="preserve"> ninety as reasonably required</w:t>
      </w:r>
      <w:r>
        <w:rPr/>
      </w:r>
      <w:commentRangeEnd w:id="15"/>
      <w:r>
        <w:commentReference w:id="15"/>
      </w:r>
      <w:r>
        <w:rPr/>
        <w:t xml:space="preserve"> days written notice.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Any</w:t>
      </w:r>
      <w:commentRangeStart w:id="16"/>
      <w:r>
        <w:rPr/>
        <w:t xml:space="preserve"> change to this agreement</w:t>
      </w:r>
      <w:r>
        <w:rPr/>
      </w:r>
      <w:commentRangeEnd w:id="16"/>
      <w:r>
        <w:commentReference w:id="16"/>
      </w:r>
      <w:r>
        <w:rPr/>
        <w:t xml:space="preserve"> must be writing and signed by both parties.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0" w:leader="none"/>
        </w:tabs>
        <w:bidi w:val="0"/>
        <w:ind w:hanging="0" w:left="0"/>
        <w:jc w:val="left"/>
        <w:rPr/>
      </w:pPr>
      <w:r>
        <w:rPr/>
        <w:t>The price in full includes packaging but excludes shipping and taxes.</w:t>
      </w:r>
      <w:r>
        <w:rPr/>
        <w:commentReference w:id="17"/>
      </w:r>
    </w:p>
    <w:p>
      <w:pPr>
        <w:pStyle w:val="Normal"/>
        <w:bidi w:val="0"/>
        <w:jc w:val="left"/>
        <w:rPr/>
      </w:pPr>
      <w:r>
        <w:rPr/>
        <w:t>The warranty on a business day period is twelve months from delivery.</w:t>
      </w:r>
    </w:p>
    <w:p>
      <w:pPr>
        <w:pStyle w:val="Normal"/>
        <w:bidi w:val="0"/>
        <w:jc w:val="left"/>
        <w:rPr/>
      </w:pPr>
      <w:r>
        <w:rPr/>
        <w:t xml:space="preserve">Either party may this agreement with ninety days </w:t>
      </w:r>
    </w:p>
    <w:p>
      <w:pPr>
        <w:pStyle w:val="Normal"/>
        <w:bidi w:val="0"/>
        <w:jc w:val="left"/>
        <w:rPr/>
      </w:pPr>
      <w:r>
        <w:rPr/>
        <w:t>written notice. The supplier may as reasonably required</w:t>
      </w:r>
      <w:commentRangeStart w:id="18"/>
      <w:r>
        <w:rPr/>
        <w:t xml:space="preserve"> subcontract only with</w:t>
      </w:r>
      <w:r>
        <w:rPr/>
      </w:r>
      <w:commentRangeEnd w:id="18"/>
      <w:r>
        <w:commentReference w:id="18"/>
      </w:r>
      <w:r>
        <w:rPr/>
        <w:t xml:space="preserve"> the buyer's prior.</w:t>
      </w:r>
    </w:p>
    <w:p>
      <w:pPr>
        <w:pStyle w:val="Normal"/>
        <w:bidi w:val="0"/>
        <w:jc w:val="left"/>
        <w:rPr/>
      </w:pPr>
      <w:r>
        <w:rPr/>
        <w:t>The buyer may inspect the goods</w:t>
      </w:r>
      <w:commentRangeStart w:id="19"/>
      <w:r>
        <w:rPr/>
        <w:t xml:space="preserve"> </w:t>
      </w:r>
      <w:r>
        <w:rPr>
          <w:b/>
        </w:rPr>
        <w:t>before</w:t>
      </w:r>
      <w:r>
        <w:rPr/>
      </w:r>
      <w:commentRangeEnd w:id="19"/>
      <w:r>
        <w:commentReference w:id="19"/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>
          <w:i/>
        </w:rPr>
        <w:t>accepting</w:t>
      </w:r>
      <w:r>
        <w:rPr/>
        <w:t xml:space="preserve"> them.</w:t>
      </w:r>
    </w:p>
    <w:p>
      <w:pPr>
        <w:pStyle w:val="Normal"/>
        <w:bidi w:val="0"/>
        <w:jc w:val="left"/>
        <w:rPr/>
      </w:pPr>
      <w:r>
        <w:rPr/>
        <w:t xml:space="preserve">The </w:t>
      </w:r>
      <w:r>
        <w:rPr>
          <w:b/>
        </w:rPr>
        <w:t>supplier</w:t>
      </w:r>
      <w:r>
        <w:rPr/>
        <w:t xml:space="preserve"> may subcontract only the unless agreed otherwise</w:t>
      </w:r>
      <w:r>
        <w:rPr/>
        <w:t xml:space="preserve"> prior consent.</w:t>
      </w:r>
      <w:r>
        <w:rPr/>
        <w:commentReference w:id="20"/>
      </w:r>
    </w:p>
    <w:p>
      <w:pPr>
        <w:pStyle w:val="Normal"/>
        <w:bidi w:val="0"/>
        <w:jc w:val="left"/>
        <w:rPr/>
      </w:pPr>
      <w:r>
        <w:rPr/>
        <w:t>The price</w:t>
      </w:r>
      <w:commentRangeStart w:id="21"/>
      <w:r>
        <w:rPr/>
        <w:t xml:space="preserve"> includes packaging but unless agreed otherwise excludes</w:t>
      </w:r>
      <w:r>
        <w:rPr/>
      </w:r>
      <w:commentRangeEnd w:id="21"/>
      <w:r>
        <w:commentReference w:id="21"/>
      </w:r>
      <w:r>
        <w:rPr/>
        <w:t xml:space="preserve"> shipping taxes.</w:t>
      </w:r>
    </w:p>
    <w:p>
      <w:pPr>
        <w:pStyle w:val="Normal"/>
        <w:bidi w:val="0"/>
        <w:jc w:val="left"/>
        <w:rPr/>
      </w:pPr>
      <w:r>
        <w:rPr>
          <w:i/>
        </w:rPr>
        <w:t>Notices</w:t>
      </w:r>
      <w:r>
        <w:rPr/>
        <w:t xml:space="preserve"> must be sent by email </w:t>
      </w:r>
    </w:p>
    <w:p>
      <w:pPr>
        <w:pStyle w:val="Normal"/>
        <w:bidi w:val="0"/>
        <w:jc w:val="left"/>
        <w:rPr/>
      </w:pPr>
      <w:r>
        <w:rPr/>
        <w:t>and by registered mail.</w:t>
      </w:r>
      <w:r>
        <w:rPr/>
        <w:commentReference w:id="22"/>
      </w:r>
    </w:p>
    <w:p>
      <w:pPr>
        <w:pStyle w:val="Normal"/>
        <w:bidi w:val="0"/>
        <w:jc w:val="left"/>
        <w:rPr/>
      </w:pPr>
      <w:r>
        <w:rPr/>
        <w:t>Late payments</w:t>
      </w:r>
      <w:commentRangeStart w:id="23"/>
      <w:r>
        <w:rPr/>
        <w:t xml:space="preserve"> interest</w:t>
      </w:r>
      <w:r>
        <w:rPr/>
      </w:r>
      <w:commentRangeEnd w:id="23"/>
      <w:r>
        <w:commentReference w:id="23"/>
      </w:r>
      <w:r>
        <w:rPr/>
        <w:t xml:space="preserve"> at promptly statutory rate.</w:t>
      </w:r>
    </w:p>
    <w:p>
      <w:pPr>
        <w:pStyle w:val="Normal"/>
        <w:bidi w:val="0"/>
        <w:jc w:val="left"/>
        <w:rPr/>
      </w:pPr>
      <w:r>
        <w:rPr/>
        <w:t xml:space="preserve">Any change </w:t>
      </w:r>
      <w:r>
        <w:rPr>
          <w:b/>
        </w:rPr>
        <w:t>to</w:t>
      </w:r>
      <w:r>
        <w:rPr/>
        <w:t xml:space="preserve"> this agreement </w:t>
      </w:r>
    </w:p>
    <w:p>
      <w:pPr>
        <w:pStyle w:val="Normal"/>
        <w:bidi w:val="0"/>
        <w:jc w:val="left"/>
        <w:rPr/>
      </w:pPr>
      <w:r>
        <w:rPr/>
        <w:t xml:space="preserve">must be in writing </w:t>
      </w:r>
      <w:r>
        <w:rPr>
          <w:i/>
        </w:rPr>
        <w:t>and</w:t>
      </w:r>
      <w:r>
        <w:rPr/>
        <w:t xml:space="preserve"> by both.</w:t>
      </w:r>
    </w:p>
    <w:p>
      <w:pPr>
        <w:pStyle w:val="Normal"/>
        <w:bidi w:val="0"/>
        <w:jc w:val="left"/>
        <w:rPr/>
      </w:pPr>
      <w:r>
        <w:rPr/>
        <w:t>This agreement</w:t>
      </w:r>
      <w:commentRangeStart w:id="24"/>
      <w:r>
        <w:rPr/>
        <w:t xml:space="preserve"> is governed by</w:t>
      </w:r>
      <w:r>
        <w:rPr/>
      </w:r>
      <w:commentRangeEnd w:id="24"/>
      <w:r>
        <w:commentReference w:id="24"/>
      </w:r>
      <w:r>
        <w:rPr/>
        <w:t xml:space="preserve"> </w:t>
      </w:r>
      <w:r>
        <w:rPr>
          <w:i/>
        </w:rPr>
        <w:t>the</w:t>
      </w:r>
      <w:r>
        <w:rPr/>
        <w:t xml:space="preserve"> laws of the State of New York at its own cost.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Ana Lima" w:date="2026-09-01T00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1" w:author="Carla Duarte" w:date="2026-09-01T00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" w:author="Ana Lima" w:date="2026-09-01T01:0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3" w:author="Dev Patel" w:date="2026-09-01T01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4" w:author="Dev Patel" w:date="2026-09-01T01:5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5" w:author="Dev Patel" w:date="2026-09-01T02:2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6" w:author="Bo Chen" w:date="2026-09-01T02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Legal to review.</w:t>
      </w:r>
    </w:p>
  </w:comment>
  <w:comment w:id="7" w:author="Carla Duarte" w:date="2026-09-01T03:16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  <w:comment w:id="8" w:author="Bo Chen" w:date="2026-09-01T03:23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9" w:author="Ana Lima" w:date="2026-09-01T03:3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10" w:author="Ana Lima" w:date="2026-09-01T03:3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1" w:author="Carla Duarte" w:date="2026-09-01T03:51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2" w:author="Ana Lima" w:date="2026-09-01T04:1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3" w:author="Dev Patel" w:date="2026-09-01T05:0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14" w:author="Ana Lima" w:date="2026-09-01T05:2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5" w:author="Carla Duarte" w:date="2026-09-01T05:5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6" w:author="Bo Chen" w:date="2026-09-01T06:04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Too broad, narrow it down.</w:t>
      </w:r>
    </w:p>
  </w:comment>
  <w:comment w:id="17" w:author="Dev Patel" w:date="2026-09-01T06:1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8" w:author="Ana Lima" w:date="2026-09-01T07:3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19" w:author="Bo Chen" w:date="2026-09-01T07:49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Agreed.</w:t>
      </w:r>
    </w:p>
  </w:comment>
  <w:comment w:id="20" w:author="Dev Patel" w:date="2026-09-01T08:17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1" w:author="Ana Lima" w:date="2026-09-01T08:38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Client asked for this.</w:t>
      </w:r>
    </w:p>
  </w:comment>
  <w:comment w:id="22" w:author="Dev Patel" w:date="2026-09-01T08:52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Why thirty and not sixty?</w:t>
      </w:r>
    </w:p>
  </w:comment>
  <w:comment w:id="23" w:author="Bo Chen" w:date="2026-09-01T09:20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Is this consistent with the master agreement?</w:t>
      </w:r>
    </w:p>
  </w:comment>
  <w:comment w:id="24" w:author="Carla Duarte" w:date="2026-09-01T09:55:00Z" w:initials="">
    <w:p>
      <w:pPr>
        <w:overflowPunct w:val="false"/>
        <w:bidi w:val="0"/>
        <w:rPr/>
      </w:pPr>
      <w:r>
        <w:rPr>
          <w:rFonts w:eastAsia="DejaVu Sans" w:cs="DejaVu Sans"/>
          <w:kern w:val="0"/>
          <w:lang w:val="en-US" w:eastAsia="en-US" w:bidi="en-US"/>
        </w:rPr>
        <w:t>Check the defined term.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2026-09-30T13:44:19Z</dcterms:modified>
  <cp:revision>1</cp:revision>
  <dc:subject/>
  <dc:title/>
</cp:coreProperties>
</file>