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D38B" w14:textId="77777777" w:rsidR="003A77BA" w:rsidRDefault="00D9336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Information Security Process - System, Service, and Software Procurement</w:t>
      </w:r>
    </w:p>
    <w:p w14:paraId="7A601B90" w14:textId="77777777" w:rsidR="003A77BA" w:rsidRDefault="003A77BA"/>
    <w:p w14:paraId="540E59A0" w14:textId="77777777" w:rsidR="003A77BA" w:rsidRDefault="00D9336C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8"/>
          <w:szCs w:val="28"/>
        </w:rPr>
      </w:pPr>
      <w:r>
        <w:rPr>
          <w:rFonts w:ascii="Calibri" w:eastAsia="Calibri" w:hAnsi="Calibri" w:cs="Calibri"/>
          <w:b w:val="0"/>
          <w:color w:val="2F5496"/>
          <w:sz w:val="28"/>
          <w:szCs w:val="28"/>
        </w:rPr>
        <w:t>Policy Statement</w:t>
      </w:r>
    </w:p>
    <w:p w14:paraId="459121C5" w14:textId="14600564" w:rsidR="003A77BA" w:rsidRDefault="00D9336C">
      <w:pPr>
        <w:rPr>
          <w:rFonts w:ascii="Times New Roman" w:eastAsia="Times New Roman" w:hAnsi="Times New Roman" w:cs="Times New Roman"/>
        </w:rPr>
      </w:pPr>
      <w:r>
        <w:t>This Process supports the {Company}</w:t>
      </w:r>
      <w:r>
        <w:t xml:space="preserve"> Information Security &amp; Privacy Program, and outlines the actions required for procurement of information systems, services, and software for use within {Company}</w:t>
      </w:r>
      <w:r>
        <w:t>.  The parent Controls for this process are defined</w:t>
      </w:r>
      <w:r>
        <w:t xml:space="preserve"> in the</w:t>
      </w:r>
      <w:r>
        <w:rPr>
          <w:color w:val="0000FF"/>
          <w:u w:val="single"/>
        </w:rPr>
        <w:t xml:space="preserve"> Standard - System &amp; Service Acquisition.</w:t>
      </w:r>
    </w:p>
    <w:p w14:paraId="6BC969D1" w14:textId="77777777" w:rsidR="003A77BA" w:rsidRDefault="003A77BA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14:paraId="28ED5C4E" w14:textId="77777777" w:rsidR="003A77BA" w:rsidRDefault="00D9336C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8"/>
          <w:szCs w:val="28"/>
        </w:rPr>
      </w:pPr>
      <w:r>
        <w:rPr>
          <w:rFonts w:ascii="Calibri" w:eastAsia="Calibri" w:hAnsi="Calibri" w:cs="Calibri"/>
          <w:b w:val="0"/>
          <w:color w:val="2F5496"/>
          <w:sz w:val="28"/>
          <w:szCs w:val="28"/>
        </w:rPr>
        <w:t>Applicability</w:t>
      </w:r>
    </w:p>
    <w:p w14:paraId="34FAED09" w14:textId="60584E52" w:rsidR="003A77BA" w:rsidRDefault="00D9336C">
      <w:pPr>
        <w:rPr>
          <w:rFonts w:ascii="Times New Roman" w:eastAsia="Times New Roman" w:hAnsi="Times New Roman" w:cs="Times New Roman"/>
        </w:rPr>
      </w:pPr>
      <w:r>
        <w:t>Compliance with the procedures outlined in this document is mandatory for all {Company}</w:t>
      </w:r>
      <w:r>
        <w:t xml:space="preserve"> employees, contract</w:t>
      </w:r>
      <w:r>
        <w:t xml:space="preserve">ors, vendors, and guests. </w:t>
      </w:r>
    </w:p>
    <w:p w14:paraId="19643DCD" w14:textId="77777777" w:rsidR="003A77BA" w:rsidRDefault="003A77BA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14:paraId="35A3988C" w14:textId="77777777" w:rsidR="003A77BA" w:rsidRDefault="00D9336C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8"/>
          <w:szCs w:val="28"/>
        </w:rPr>
      </w:pPr>
      <w:r>
        <w:rPr>
          <w:rFonts w:ascii="Calibri" w:eastAsia="Calibri" w:hAnsi="Calibri" w:cs="Calibri"/>
          <w:b w:val="0"/>
          <w:color w:val="2F5496"/>
          <w:sz w:val="28"/>
          <w:szCs w:val="28"/>
        </w:rPr>
        <w:t>Process</w:t>
      </w:r>
    </w:p>
    <w:p w14:paraId="601FF9BD" w14:textId="450CFA07" w:rsidR="003A77BA" w:rsidRDefault="00D9336C">
      <w:r>
        <w:t xml:space="preserve">Employee fills out the PO Request Form (available from finance@) AND the Security Review Request Form </w:t>
      </w:r>
      <w:r>
        <w:t>available at: {Insert link here}.</w:t>
      </w:r>
    </w:p>
    <w:p w14:paraId="45BCC16B" w14:textId="77777777" w:rsidR="003A77BA" w:rsidRDefault="00D9336C">
      <w:r>
        <w:t>       </w:t>
      </w:r>
      <w:r>
        <w:tab/>
      </w:r>
    </w:p>
    <w:p w14:paraId="75550613" w14:textId="77777777" w:rsidR="003A77BA" w:rsidRDefault="00D9336C">
      <w:r>
        <w:t>Includes:     </w:t>
      </w:r>
      <w:r>
        <w:tab/>
      </w:r>
    </w:p>
    <w:p w14:paraId="59D70FCC" w14:textId="77777777" w:rsidR="003A77BA" w:rsidRDefault="00D9336C">
      <w:pPr>
        <w:numPr>
          <w:ilvl w:val="0"/>
          <w:numId w:val="1"/>
        </w:numPr>
        <w:contextualSpacing/>
      </w:pPr>
      <w:r>
        <w:t>Software/System/Service Provider</w:t>
      </w:r>
    </w:p>
    <w:p w14:paraId="2A85D98E" w14:textId="77777777" w:rsidR="003A77BA" w:rsidRDefault="00D9336C">
      <w:pPr>
        <w:numPr>
          <w:ilvl w:val="0"/>
          <w:numId w:val="1"/>
        </w:numPr>
        <w:contextualSpacing/>
      </w:pPr>
      <w:r>
        <w:t>Cost (per license or total, if enterprise or singular product)</w:t>
      </w:r>
    </w:p>
    <w:p w14:paraId="6BF7EB42" w14:textId="77777777" w:rsidR="003A77BA" w:rsidRDefault="00D9336C">
      <w:pPr>
        <w:numPr>
          <w:ilvl w:val="0"/>
          <w:numId w:val="1"/>
        </w:numPr>
        <w:contextualSpacing/>
      </w:pPr>
      <w:r>
        <w:t>Number of licenses/units needed (as applicable)</w:t>
      </w:r>
    </w:p>
    <w:p w14:paraId="2109388B" w14:textId="395250EB" w:rsidR="003A77BA" w:rsidRDefault="00D9336C">
      <w:pPr>
        <w:numPr>
          <w:ilvl w:val="0"/>
          <w:numId w:val="1"/>
        </w:numPr>
        <w:contextualSpacing/>
      </w:pPr>
      <w:r>
        <w:t>{Company}</w:t>
      </w:r>
      <w:r>
        <w:t xml:space="preserve"> Owner (primary contact that will be responsible for set-up, etc.)</w:t>
      </w:r>
    </w:p>
    <w:p w14:paraId="79CADFD2" w14:textId="11F346A0" w:rsidR="003A77BA" w:rsidRDefault="00D9336C">
      <w:pPr>
        <w:numPr>
          <w:ilvl w:val="0"/>
          <w:numId w:val="1"/>
        </w:numPr>
        <w:contextualSpacing/>
      </w:pPr>
      <w:r>
        <w:t>{Company}</w:t>
      </w:r>
      <w:r>
        <w:t xml:space="preserve"> Team (primary user group)</w:t>
      </w:r>
    </w:p>
    <w:p w14:paraId="76F96562" w14:textId="54EEBEF6" w:rsidR="003A77BA" w:rsidRDefault="00D9336C">
      <w:pPr>
        <w:numPr>
          <w:ilvl w:val="0"/>
          <w:numId w:val="1"/>
        </w:numPr>
        <w:contextualSpacing/>
      </w:pPr>
      <w:r>
        <w:t>Is this/will this service be used by other {Company}</w:t>
      </w:r>
      <w:r>
        <w:t xml:space="preserve"> teams?</w:t>
      </w:r>
    </w:p>
    <w:p w14:paraId="58B36898" w14:textId="77777777" w:rsidR="003A77BA" w:rsidRDefault="00D9336C">
      <w:pPr>
        <w:numPr>
          <w:ilvl w:val="0"/>
          <w:numId w:val="1"/>
        </w:numPr>
        <w:contextualSpacing/>
      </w:pPr>
      <w:r>
        <w:t>Purchase Approver (Direc</w:t>
      </w:r>
      <w:r>
        <w:t xml:space="preserve">tor or higher) - forward written approval to </w:t>
      </w:r>
      <w:r>
        <w:rPr>
          <w:color w:val="FF0000"/>
        </w:rPr>
        <w:t>helpdesk@</w:t>
      </w:r>
    </w:p>
    <w:p w14:paraId="75C08321" w14:textId="77777777" w:rsidR="003A77BA" w:rsidRDefault="00D9336C">
      <w:pPr>
        <w:numPr>
          <w:ilvl w:val="0"/>
          <w:numId w:val="1"/>
        </w:numPr>
        <w:contextualSpacing/>
      </w:pPr>
      <w:r>
        <w:t>Business Use Case</w:t>
      </w:r>
    </w:p>
    <w:p w14:paraId="7573891D" w14:textId="77777777" w:rsidR="003A77BA" w:rsidRDefault="00D9336C">
      <w:pPr>
        <w:numPr>
          <w:ilvl w:val="0"/>
          <w:numId w:val="1"/>
        </w:numPr>
        <w:contextualSpacing/>
      </w:pPr>
      <w:r>
        <w:t>What types of information will be stored with the service/system/software?</w:t>
      </w:r>
    </w:p>
    <w:p w14:paraId="6C600EC0" w14:textId="77777777" w:rsidR="003A77BA" w:rsidRDefault="00D9336C">
      <w:pPr>
        <w:numPr>
          <w:ilvl w:val="0"/>
          <w:numId w:val="1"/>
        </w:numPr>
        <w:contextualSpacing/>
      </w:pPr>
      <w:r>
        <w:t>Where does that data come from?</w:t>
      </w:r>
    </w:p>
    <w:p w14:paraId="3C22C746" w14:textId="77777777" w:rsidR="003A77BA" w:rsidRDefault="00D9336C">
      <w:pPr>
        <w:numPr>
          <w:ilvl w:val="0"/>
          <w:numId w:val="1"/>
        </w:numPr>
        <w:contextualSpacing/>
      </w:pPr>
      <w:r>
        <w:t>Is this software/system integrated into our software offerings?</w:t>
      </w:r>
    </w:p>
    <w:p w14:paraId="1D439515" w14:textId="77777777" w:rsidR="003A77BA" w:rsidRDefault="003A77BA">
      <w:pPr>
        <w:ind w:left="720"/>
      </w:pPr>
    </w:p>
    <w:p w14:paraId="44BB1980" w14:textId="77777777" w:rsidR="003A77BA" w:rsidRDefault="00D9336C">
      <w:r>
        <w:t>The complet</w:t>
      </w:r>
      <w:r>
        <w:t xml:space="preserve">ed Security Review Request Form will be sent to </w:t>
      </w:r>
      <w:proofErr w:type="spellStart"/>
      <w:r>
        <w:t>infosec</w:t>
      </w:r>
      <w:proofErr w:type="spellEnd"/>
      <w:r>
        <w:t>@ for review and approval, as appropriate. The Security Team will coordinate with the IT Team for review of Technical Need/Approval.</w:t>
      </w:r>
    </w:p>
    <w:p w14:paraId="58CE194B" w14:textId="77777777" w:rsidR="003A77BA" w:rsidRDefault="003A77BA"/>
    <w:p w14:paraId="75AD2B42" w14:textId="77777777" w:rsidR="003A77BA" w:rsidRDefault="00D9336C">
      <w:pPr>
        <w:rPr>
          <w:b/>
          <w:i/>
        </w:rPr>
      </w:pPr>
      <w:r>
        <w:rPr>
          <w:b/>
          <w:i/>
        </w:rPr>
        <w:t>** For license requests of existing services/software:</w:t>
      </w:r>
    </w:p>
    <w:p w14:paraId="0F617B17" w14:textId="77777777" w:rsidR="003A77BA" w:rsidRDefault="003A77BA">
      <w:pPr>
        <w:rPr>
          <w:i/>
        </w:rPr>
      </w:pPr>
    </w:p>
    <w:p w14:paraId="29BBDB6D" w14:textId="77777777" w:rsidR="003A77BA" w:rsidRDefault="00D9336C">
      <w:r>
        <w:t>IT Performs a Review of Technical Need/Approval: (within 2 business days)</w:t>
      </w:r>
    </w:p>
    <w:p w14:paraId="26DDB5AC" w14:textId="77777777" w:rsidR="003A77BA" w:rsidRDefault="00D9336C">
      <w:r>
        <w:t>       </w:t>
      </w:r>
      <w:r>
        <w:tab/>
        <w:t>Includes:     </w:t>
      </w:r>
      <w:r>
        <w:tab/>
      </w:r>
    </w:p>
    <w:p w14:paraId="228F4F7E" w14:textId="77777777" w:rsidR="003A77BA" w:rsidRDefault="00D9336C">
      <w:pPr>
        <w:numPr>
          <w:ilvl w:val="0"/>
          <w:numId w:val="1"/>
        </w:numPr>
        <w:contextualSpacing/>
      </w:pPr>
      <w:r>
        <w:t>Role-based appropriateness/need is addressed</w:t>
      </w:r>
    </w:p>
    <w:p w14:paraId="6EE95D9A" w14:textId="77777777" w:rsidR="003A77BA" w:rsidRDefault="00D9336C">
      <w:pPr>
        <w:numPr>
          <w:ilvl w:val="0"/>
          <w:numId w:val="1"/>
        </w:numPr>
        <w:contextualSpacing/>
      </w:pPr>
      <w:r>
        <w:t>Business usage need is addressed</w:t>
      </w:r>
    </w:p>
    <w:p w14:paraId="09B8CC11" w14:textId="77777777" w:rsidR="003A77BA" w:rsidRDefault="00D9336C">
      <w:pPr>
        <w:numPr>
          <w:ilvl w:val="0"/>
          <w:numId w:val="1"/>
        </w:numPr>
        <w:contextualSpacing/>
      </w:pPr>
      <w:r>
        <w:t>Written approval for lic</w:t>
      </w:r>
      <w:r>
        <w:t>ense expense received (Director level or higher)</w:t>
      </w:r>
    </w:p>
    <w:p w14:paraId="11796A0A" w14:textId="77777777" w:rsidR="003A77BA" w:rsidRDefault="003A77BA">
      <w:pPr>
        <w:ind w:left="720"/>
      </w:pPr>
    </w:p>
    <w:p w14:paraId="79E5CE82" w14:textId="77777777" w:rsidR="003A77BA" w:rsidRDefault="00D9336C">
      <w:r>
        <w:t>IT approves or denies the request.</w:t>
      </w:r>
    </w:p>
    <w:p w14:paraId="00303902" w14:textId="77777777" w:rsidR="003A77BA" w:rsidRDefault="003A77BA"/>
    <w:p w14:paraId="5507A4DE" w14:textId="77777777" w:rsidR="003A77BA" w:rsidRDefault="00D9336C">
      <w:pPr>
        <w:numPr>
          <w:ilvl w:val="0"/>
          <w:numId w:val="1"/>
        </w:numPr>
        <w:contextualSpacing/>
      </w:pPr>
      <w:r>
        <w:t>If denied, the employee is notified of decision and reason.</w:t>
      </w:r>
    </w:p>
    <w:p w14:paraId="214CB9C2" w14:textId="77777777" w:rsidR="003A77BA" w:rsidRDefault="00D9336C">
      <w:pPr>
        <w:numPr>
          <w:ilvl w:val="0"/>
          <w:numId w:val="1"/>
        </w:numPr>
        <w:contextualSpacing/>
      </w:pPr>
      <w:r>
        <w:t>If approved, IT assists employee in set-up.</w:t>
      </w:r>
    </w:p>
    <w:p w14:paraId="177F18ED" w14:textId="77777777" w:rsidR="003A77BA" w:rsidRDefault="003A77BA"/>
    <w:p w14:paraId="01EC0096" w14:textId="77777777" w:rsidR="003A77BA" w:rsidRDefault="00D9336C">
      <w:pPr>
        <w:rPr>
          <w:b/>
          <w:i/>
        </w:rPr>
      </w:pPr>
      <w:r>
        <w:rPr>
          <w:b/>
          <w:i/>
        </w:rPr>
        <w:t>** For requests of New services/systems/software, OR Contract/Con</w:t>
      </w:r>
      <w:r>
        <w:rPr>
          <w:b/>
          <w:i/>
        </w:rPr>
        <w:t>figuration Extensions of existing services/systems/software:</w:t>
      </w:r>
    </w:p>
    <w:p w14:paraId="55DF2EB7" w14:textId="77777777" w:rsidR="003A77BA" w:rsidRDefault="003A77BA">
      <w:pPr>
        <w:rPr>
          <w:i/>
        </w:rPr>
      </w:pPr>
    </w:p>
    <w:p w14:paraId="6E101379" w14:textId="77777777" w:rsidR="003A77BA" w:rsidRDefault="00D9336C">
      <w:r>
        <w:t>IT Performs a Review of Technical Compatibility: (within 3 business days)</w:t>
      </w:r>
    </w:p>
    <w:p w14:paraId="79C7F680" w14:textId="77777777" w:rsidR="003A77BA" w:rsidRDefault="00D9336C">
      <w:r>
        <w:t>       </w:t>
      </w:r>
      <w:r>
        <w:tab/>
        <w:t>Includes:     </w:t>
      </w:r>
      <w:r>
        <w:tab/>
      </w:r>
    </w:p>
    <w:p w14:paraId="07487BEC" w14:textId="77777777" w:rsidR="003A77BA" w:rsidRDefault="00D9336C">
      <w:pPr>
        <w:numPr>
          <w:ilvl w:val="0"/>
          <w:numId w:val="1"/>
        </w:numPr>
        <w:contextualSpacing/>
      </w:pPr>
      <w:r>
        <w:t>Current system LDAP/SSO connection capability</w:t>
      </w:r>
    </w:p>
    <w:p w14:paraId="02C6C41C" w14:textId="77777777" w:rsidR="003A77BA" w:rsidRDefault="00D9336C">
      <w:pPr>
        <w:numPr>
          <w:ilvl w:val="0"/>
          <w:numId w:val="1"/>
        </w:numPr>
        <w:contextualSpacing/>
      </w:pPr>
      <w:r>
        <w:t>Unique/Specific need is addressed</w:t>
      </w:r>
    </w:p>
    <w:p w14:paraId="1E5E2291" w14:textId="77777777" w:rsidR="003A77BA" w:rsidRDefault="00D9336C">
      <w:pPr>
        <w:numPr>
          <w:ilvl w:val="0"/>
          <w:numId w:val="1"/>
        </w:numPr>
        <w:contextualSpacing/>
      </w:pPr>
      <w:r>
        <w:t>Company-wide usa</w:t>
      </w:r>
      <w:r>
        <w:t>ge opportunity</w:t>
      </w:r>
    </w:p>
    <w:p w14:paraId="1C60D797" w14:textId="77777777" w:rsidR="003A77BA" w:rsidRDefault="003A77BA"/>
    <w:p w14:paraId="4A3B8E34" w14:textId="77777777" w:rsidR="003A77BA" w:rsidRDefault="00D9336C">
      <w:r>
        <w:t>IT approves or denies the request.</w:t>
      </w:r>
    </w:p>
    <w:p w14:paraId="69CB2C44" w14:textId="77777777" w:rsidR="003A77BA" w:rsidRDefault="003A77BA"/>
    <w:p w14:paraId="326E2291" w14:textId="77777777" w:rsidR="003A77BA" w:rsidRDefault="00D9336C">
      <w:pPr>
        <w:numPr>
          <w:ilvl w:val="0"/>
          <w:numId w:val="2"/>
        </w:numPr>
        <w:contextualSpacing/>
      </w:pPr>
      <w:r>
        <w:t>If denied, the employee is notified of decision and reason.</w:t>
      </w:r>
    </w:p>
    <w:p w14:paraId="4630E3CD" w14:textId="77777777" w:rsidR="003A77BA" w:rsidRDefault="00D9336C">
      <w:pPr>
        <w:numPr>
          <w:ilvl w:val="0"/>
          <w:numId w:val="2"/>
        </w:numPr>
        <w:contextualSpacing/>
      </w:pPr>
      <w:r>
        <w:t xml:space="preserve">If approved, IT forwards request and review details to the Security Team. </w:t>
      </w:r>
    </w:p>
    <w:p w14:paraId="5CA0021E" w14:textId="77777777" w:rsidR="003A77BA" w:rsidRDefault="003A77BA"/>
    <w:p w14:paraId="017E2027" w14:textId="77777777" w:rsidR="003A77BA" w:rsidRDefault="00D9336C">
      <w:r>
        <w:t>Security performs a Review of Security/Privacy Controls in place, an</w:t>
      </w:r>
      <w:r>
        <w:t>d compatibility with federal customer guidelines: (contacts vendor within 2 business days of receipt, reviews responses within 3 business days of receipt from vendor)</w:t>
      </w:r>
    </w:p>
    <w:p w14:paraId="5EA4372E" w14:textId="77777777" w:rsidR="003A77BA" w:rsidRDefault="003A77BA"/>
    <w:p w14:paraId="5CE5D6B2" w14:textId="77777777" w:rsidR="003A77BA" w:rsidRDefault="00D9336C">
      <w:pPr>
        <w:ind w:firstLine="720"/>
      </w:pPr>
      <w:r>
        <w:t>Includes:     </w:t>
      </w:r>
      <w:r>
        <w:tab/>
      </w:r>
    </w:p>
    <w:p w14:paraId="786A610C" w14:textId="77777777" w:rsidR="003A77BA" w:rsidRDefault="00D9336C">
      <w:pPr>
        <w:numPr>
          <w:ilvl w:val="0"/>
          <w:numId w:val="2"/>
        </w:numPr>
        <w:contextualSpacing/>
      </w:pPr>
      <w:r>
        <w:t>Data types</w:t>
      </w:r>
    </w:p>
    <w:p w14:paraId="241A0944" w14:textId="77777777" w:rsidR="003A77BA" w:rsidRDefault="00D9336C">
      <w:pPr>
        <w:numPr>
          <w:ilvl w:val="0"/>
          <w:numId w:val="2"/>
        </w:numPr>
        <w:contextualSpacing/>
      </w:pPr>
      <w:r>
        <w:t>Data storage location</w:t>
      </w:r>
    </w:p>
    <w:p w14:paraId="15E22B94" w14:textId="77777777" w:rsidR="003A77BA" w:rsidRDefault="00D9336C">
      <w:pPr>
        <w:numPr>
          <w:ilvl w:val="0"/>
          <w:numId w:val="2"/>
        </w:numPr>
        <w:contextualSpacing/>
      </w:pPr>
      <w:r>
        <w:t>Current certifications/accreditations</w:t>
      </w:r>
    </w:p>
    <w:p w14:paraId="20AE973F" w14:textId="77777777" w:rsidR="003A77BA" w:rsidRDefault="00D9336C">
      <w:pPr>
        <w:numPr>
          <w:ilvl w:val="0"/>
          <w:numId w:val="2"/>
        </w:numPr>
        <w:contextualSpacing/>
      </w:pPr>
      <w:r>
        <w:t>Privacy, terms of service, and usage policies</w:t>
      </w:r>
    </w:p>
    <w:p w14:paraId="64ED147E" w14:textId="77777777" w:rsidR="003A77BA" w:rsidRDefault="00D9336C">
      <w:pPr>
        <w:numPr>
          <w:ilvl w:val="0"/>
          <w:numId w:val="2"/>
        </w:numPr>
        <w:contextualSpacing/>
      </w:pPr>
      <w:r>
        <w:t>Transfer and storage encryption and security controls</w:t>
      </w:r>
    </w:p>
    <w:p w14:paraId="7637FFFC" w14:textId="77777777" w:rsidR="003A77BA" w:rsidRDefault="00D9336C">
      <w:pPr>
        <w:numPr>
          <w:ilvl w:val="0"/>
          <w:numId w:val="2"/>
        </w:numPr>
        <w:contextualSpacing/>
      </w:pPr>
      <w:r>
        <w:t>Patch and maintenance obligations and schedules</w:t>
      </w:r>
    </w:p>
    <w:p w14:paraId="5D645B0F" w14:textId="77777777" w:rsidR="003A77BA" w:rsidRDefault="00D9336C">
      <w:pPr>
        <w:numPr>
          <w:ilvl w:val="0"/>
          <w:numId w:val="2"/>
        </w:numPr>
        <w:contextualSpacing/>
      </w:pPr>
      <w:r>
        <w:t>Backup schedules</w:t>
      </w:r>
    </w:p>
    <w:p w14:paraId="6E0639AB" w14:textId="77777777" w:rsidR="003A77BA" w:rsidRDefault="00D9336C">
      <w:pPr>
        <w:numPr>
          <w:ilvl w:val="0"/>
          <w:numId w:val="2"/>
        </w:numPr>
        <w:contextualSpacing/>
      </w:pPr>
      <w:r>
        <w:t>Data retention policies/schedules</w:t>
      </w:r>
    </w:p>
    <w:p w14:paraId="7FDF528C" w14:textId="77777777" w:rsidR="003A77BA" w:rsidRDefault="00D9336C">
      <w:pPr>
        <w:numPr>
          <w:ilvl w:val="0"/>
          <w:numId w:val="2"/>
        </w:numPr>
        <w:contextualSpacing/>
      </w:pPr>
      <w:r>
        <w:t>Data loss/leakage p</w:t>
      </w:r>
      <w:r>
        <w:t>olicies and responsibilities</w:t>
      </w:r>
    </w:p>
    <w:p w14:paraId="356EC7C3" w14:textId="77777777" w:rsidR="003A77BA" w:rsidRDefault="00D9336C">
      <w:pPr>
        <w:numPr>
          <w:ilvl w:val="0"/>
          <w:numId w:val="2"/>
        </w:numPr>
        <w:contextualSpacing/>
      </w:pPr>
      <w:r>
        <w:t>Security functions</w:t>
      </w:r>
    </w:p>
    <w:p w14:paraId="75F243E7" w14:textId="77777777" w:rsidR="003A77BA" w:rsidRDefault="00D9336C">
      <w:pPr>
        <w:numPr>
          <w:ilvl w:val="0"/>
          <w:numId w:val="2"/>
        </w:numPr>
        <w:contextualSpacing/>
      </w:pPr>
      <w:r>
        <w:t>Security strength</w:t>
      </w:r>
    </w:p>
    <w:p w14:paraId="6A23DA5E" w14:textId="77777777" w:rsidR="003A77BA" w:rsidRDefault="00D9336C">
      <w:pPr>
        <w:numPr>
          <w:ilvl w:val="0"/>
          <w:numId w:val="2"/>
        </w:numPr>
        <w:contextualSpacing/>
      </w:pPr>
      <w:r>
        <w:t>Security assurance</w:t>
      </w:r>
    </w:p>
    <w:p w14:paraId="7C7D4640" w14:textId="77777777" w:rsidR="003A77BA" w:rsidRDefault="00D9336C">
      <w:pPr>
        <w:numPr>
          <w:ilvl w:val="0"/>
          <w:numId w:val="2"/>
        </w:numPr>
        <w:contextualSpacing/>
      </w:pPr>
      <w:r>
        <w:t>Security documentation</w:t>
      </w:r>
    </w:p>
    <w:p w14:paraId="6CFCF9FC" w14:textId="77777777" w:rsidR="003A77BA" w:rsidRDefault="003A77BA"/>
    <w:p w14:paraId="400F38C0" w14:textId="77777777" w:rsidR="003A77BA" w:rsidRDefault="00D9336C">
      <w:r>
        <w:t>Security approves or denies the request.</w:t>
      </w:r>
    </w:p>
    <w:p w14:paraId="2300EF80" w14:textId="77777777" w:rsidR="003A77BA" w:rsidRDefault="003A77BA"/>
    <w:p w14:paraId="75F0BB7E" w14:textId="77777777" w:rsidR="003A77BA" w:rsidRDefault="00D9336C">
      <w:pPr>
        <w:numPr>
          <w:ilvl w:val="0"/>
          <w:numId w:val="3"/>
        </w:numPr>
        <w:contextualSpacing/>
      </w:pPr>
      <w:r>
        <w:t>If denied, the employee is notified of decision and reason.</w:t>
      </w:r>
    </w:p>
    <w:p w14:paraId="2F55C13E" w14:textId="77777777" w:rsidR="003A77BA" w:rsidRDefault="00D9336C">
      <w:pPr>
        <w:numPr>
          <w:ilvl w:val="0"/>
          <w:numId w:val="3"/>
        </w:numPr>
        <w:contextualSpacing/>
      </w:pPr>
      <w:r>
        <w:t>If approved, Security forwards request and re</w:t>
      </w:r>
      <w:r>
        <w:t xml:space="preserve">view summaries to finance@. </w:t>
      </w:r>
    </w:p>
    <w:p w14:paraId="07E333BB" w14:textId="77777777" w:rsidR="003A77BA" w:rsidRDefault="003A77BA"/>
    <w:p w14:paraId="324435FF" w14:textId="77777777" w:rsidR="003A77BA" w:rsidRDefault="00D9336C">
      <w:r>
        <w:lastRenderedPageBreak/>
        <w:t>Contracts Administration &amp; Finance review Contract and Pricing: (within 3 business days of receipt)</w:t>
      </w:r>
    </w:p>
    <w:p w14:paraId="7DD83FCA" w14:textId="77777777" w:rsidR="003A77BA" w:rsidRDefault="00D9336C">
      <w:pPr>
        <w:ind w:firstLine="720"/>
      </w:pPr>
      <w:r>
        <w:t>Includes:     </w:t>
      </w:r>
      <w:r>
        <w:tab/>
      </w:r>
    </w:p>
    <w:p w14:paraId="6C142583" w14:textId="77777777" w:rsidR="003A77BA" w:rsidRDefault="00D9336C">
      <w:pPr>
        <w:numPr>
          <w:ilvl w:val="0"/>
          <w:numId w:val="4"/>
        </w:numPr>
        <w:contextualSpacing/>
      </w:pPr>
      <w:r>
        <w:t>Pricing structure &amp; payment terms</w:t>
      </w:r>
    </w:p>
    <w:p w14:paraId="5BEFF99D" w14:textId="77777777" w:rsidR="003A77BA" w:rsidRDefault="00D9336C">
      <w:pPr>
        <w:numPr>
          <w:ilvl w:val="0"/>
          <w:numId w:val="4"/>
        </w:numPr>
        <w:contextualSpacing/>
      </w:pPr>
      <w:r>
        <w:t>General Terms and Conditions</w:t>
      </w:r>
    </w:p>
    <w:p w14:paraId="2047F2F3" w14:textId="77777777" w:rsidR="003A77BA" w:rsidRDefault="00D9336C">
      <w:pPr>
        <w:numPr>
          <w:ilvl w:val="0"/>
          <w:numId w:val="4"/>
        </w:numPr>
        <w:contextualSpacing/>
      </w:pPr>
      <w:r>
        <w:t>Legal obligations of both parties     </w:t>
      </w:r>
      <w:r>
        <w:tab/>
      </w:r>
    </w:p>
    <w:p w14:paraId="034011DF" w14:textId="77777777" w:rsidR="003A77BA" w:rsidRDefault="00D9336C">
      <w:pPr>
        <w:numPr>
          <w:ilvl w:val="0"/>
          <w:numId w:val="4"/>
        </w:numPr>
        <w:contextualSpacing/>
      </w:pPr>
      <w:r>
        <w:t>Contract length, extension, and termination procedures</w:t>
      </w:r>
    </w:p>
    <w:p w14:paraId="4BFA5753" w14:textId="77777777" w:rsidR="003A77BA" w:rsidRDefault="00D9336C">
      <w:pPr>
        <w:numPr>
          <w:ilvl w:val="0"/>
          <w:numId w:val="4"/>
        </w:numPr>
        <w:contextualSpacing/>
      </w:pPr>
      <w:r>
        <w:t>Support obligations</w:t>
      </w:r>
    </w:p>
    <w:p w14:paraId="5DF4F7A6" w14:textId="77777777" w:rsidR="003A77BA" w:rsidRDefault="00D9336C">
      <w:pPr>
        <w:numPr>
          <w:ilvl w:val="0"/>
          <w:numId w:val="4"/>
        </w:numPr>
        <w:contextualSpacing/>
      </w:pPr>
      <w:r>
        <w:t>Availability obligations</w:t>
      </w:r>
    </w:p>
    <w:p w14:paraId="19CD8CC0" w14:textId="77777777" w:rsidR="003A77BA" w:rsidRDefault="00D9336C">
      <w:pPr>
        <w:numPr>
          <w:ilvl w:val="0"/>
          <w:numId w:val="4"/>
        </w:numPr>
        <w:contextualSpacing/>
      </w:pPr>
      <w:r>
        <w:t>Data/Intellectual property rights</w:t>
      </w:r>
    </w:p>
    <w:p w14:paraId="7D9D555F" w14:textId="77777777" w:rsidR="003A77BA" w:rsidRDefault="003A77BA">
      <w:pPr>
        <w:ind w:left="720"/>
      </w:pPr>
    </w:p>
    <w:p w14:paraId="17E1237C" w14:textId="77777777" w:rsidR="003A77BA" w:rsidRDefault="00D9336C">
      <w:r>
        <w:t>Finance and Contracts Administration approve or deny the request.</w:t>
      </w:r>
    </w:p>
    <w:p w14:paraId="331B1D32" w14:textId="77777777" w:rsidR="003A77BA" w:rsidRDefault="003A77BA"/>
    <w:p w14:paraId="323BD624" w14:textId="77777777" w:rsidR="003A77BA" w:rsidRDefault="00D9336C">
      <w:pPr>
        <w:numPr>
          <w:ilvl w:val="0"/>
          <w:numId w:val="5"/>
        </w:numPr>
        <w:contextualSpacing/>
      </w:pPr>
      <w:r>
        <w:t>If denied, the employee is notified of decision and re</w:t>
      </w:r>
      <w:r>
        <w:t>ason.</w:t>
      </w:r>
    </w:p>
    <w:p w14:paraId="3C92E7CA" w14:textId="77777777" w:rsidR="003A77BA" w:rsidRDefault="00D9336C">
      <w:pPr>
        <w:numPr>
          <w:ilvl w:val="0"/>
          <w:numId w:val="5"/>
        </w:numPr>
        <w:contextualSpacing/>
      </w:pPr>
      <w:r>
        <w:t>If approved, Employee and IT are notified to begin Integration and setup for the service.</w:t>
      </w:r>
    </w:p>
    <w:p w14:paraId="6AD2F983" w14:textId="77777777" w:rsidR="003A77BA" w:rsidRDefault="00D9336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ABAFB38" w14:textId="77777777" w:rsidR="003A77BA" w:rsidRDefault="00D9336C">
      <w:pPr>
        <w:pStyle w:val="Heading2"/>
        <w:keepNext/>
        <w:keepLines/>
        <w:spacing w:before="40" w:after="0"/>
        <w:rPr>
          <w:rFonts w:ascii="Calibri" w:eastAsia="Calibri" w:hAnsi="Calibri" w:cs="Calibri"/>
          <w:b w:val="0"/>
          <w:color w:val="2F5496"/>
          <w:sz w:val="28"/>
          <w:szCs w:val="28"/>
        </w:rPr>
      </w:pPr>
      <w:r>
        <w:rPr>
          <w:rFonts w:ascii="Calibri" w:eastAsia="Calibri" w:hAnsi="Calibri" w:cs="Calibri"/>
          <w:b w:val="0"/>
          <w:color w:val="2F5496"/>
          <w:sz w:val="28"/>
          <w:szCs w:val="28"/>
        </w:rPr>
        <w:t>Appendices</w:t>
      </w:r>
    </w:p>
    <w:p w14:paraId="32446B16" w14:textId="77777777" w:rsidR="003A77BA" w:rsidRDefault="00D9336C">
      <w:pPr>
        <w:pStyle w:val="Heading3"/>
        <w:keepNext/>
        <w:keepLines/>
        <w:spacing w:before="40" w:after="0"/>
        <w:rPr>
          <w:rFonts w:ascii="Calibri" w:eastAsia="Calibri" w:hAnsi="Calibri" w:cs="Calibri"/>
          <w:b w:val="0"/>
          <w:color w:val="1F3863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 w:val="0"/>
          <w:color w:val="1F3863"/>
          <w:sz w:val="24"/>
          <w:szCs w:val="24"/>
        </w:rPr>
        <w:t>Document Management</w:t>
      </w:r>
    </w:p>
    <w:p w14:paraId="05CCF95F" w14:textId="77777777" w:rsidR="003A77BA" w:rsidRDefault="003A77BA">
      <w:pPr>
        <w:pStyle w:val="Heading3"/>
        <w:keepNext/>
        <w:keepLines/>
        <w:spacing w:before="40" w:after="0"/>
        <w:rPr>
          <w:rFonts w:ascii="Calibri" w:eastAsia="Calibri" w:hAnsi="Calibri" w:cs="Calibri"/>
          <w:b w:val="0"/>
          <w:color w:val="1F3863"/>
          <w:sz w:val="24"/>
          <w:szCs w:val="24"/>
        </w:rPr>
      </w:pPr>
    </w:p>
    <w:tbl>
      <w:tblPr>
        <w:tblStyle w:val="a"/>
        <w:tblW w:w="9417" w:type="dxa"/>
        <w:tblLayout w:type="fixed"/>
        <w:tblLook w:val="0400" w:firstRow="0" w:lastRow="0" w:firstColumn="0" w:lastColumn="0" w:noHBand="0" w:noVBand="1"/>
      </w:tblPr>
      <w:tblGrid>
        <w:gridCol w:w="1880"/>
        <w:gridCol w:w="2250"/>
        <w:gridCol w:w="1980"/>
        <w:gridCol w:w="3307"/>
      </w:tblGrid>
      <w:tr w:rsidR="003A77BA" w14:paraId="645DDD82" w14:textId="77777777">
        <w:trPr>
          <w:trHeight w:val="2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64D7" w14:textId="77777777" w:rsidR="003A77BA" w:rsidRDefault="00D9336C">
            <w:r>
              <w:t>Author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4FD8" w14:textId="1E6364D2" w:rsidR="003A77BA" w:rsidRDefault="00D9336C">
            <w:r>
              <w:t>Syltor Consulting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CCBD" w14:textId="77777777" w:rsidR="003A77BA" w:rsidRDefault="00D9336C">
            <w:r>
              <w:t>Version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3C22" w14:textId="77777777" w:rsidR="003A77BA" w:rsidRDefault="00D9336C">
            <w:r>
              <w:t>1.0</w:t>
            </w:r>
          </w:p>
        </w:tc>
      </w:tr>
      <w:tr w:rsidR="003A77BA" w14:paraId="0F236BCD" w14:textId="77777777">
        <w:trPr>
          <w:trHeight w:val="2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B96B" w14:textId="77777777" w:rsidR="003A77BA" w:rsidRDefault="00D9336C">
            <w:r>
              <w:t>Date 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F4A5" w14:textId="6C60E7E6" w:rsidR="003A77BA" w:rsidRDefault="00D9336C">
            <w:r>
              <w:t>30 May 2019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2F50" w14:textId="77777777" w:rsidR="003A77BA" w:rsidRDefault="00D9336C">
            <w:r>
              <w:t>Approver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0195" w14:textId="5CAD46E2" w:rsidR="003A77BA" w:rsidRDefault="003A77BA"/>
        </w:tc>
      </w:tr>
      <w:tr w:rsidR="003A77BA" w14:paraId="41B50385" w14:textId="77777777" w:rsidTr="00D9336C">
        <w:trPr>
          <w:trHeight w:val="30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5390" w14:textId="77777777" w:rsidR="003A77BA" w:rsidRDefault="00D9336C">
            <w:r>
              <w:t>Last Reviewed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AF14" w14:textId="7E852E54" w:rsidR="003A77BA" w:rsidRDefault="003A77BA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5E18" w14:textId="77777777" w:rsidR="003A77BA" w:rsidRDefault="00D9336C">
            <w:r>
              <w:t>Reviewer(s)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91AB" w14:textId="564F51BD" w:rsidR="003A77BA" w:rsidRDefault="003A77BA"/>
        </w:tc>
      </w:tr>
      <w:tr w:rsidR="003A77BA" w14:paraId="66F01000" w14:textId="77777777">
        <w:trPr>
          <w:trHeight w:val="2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DA36" w14:textId="77777777" w:rsidR="003A77BA" w:rsidRDefault="00D9336C">
            <w:r>
              <w:t>Review Cycle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1BBD" w14:textId="77777777" w:rsidR="003A77BA" w:rsidRDefault="00D9336C">
            <w:r>
              <w:t>Annual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FE7F" w14:textId="77777777" w:rsidR="003A77BA" w:rsidRDefault="00D9336C">
            <w:r>
              <w:t>Next Review Date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29FF" w14:textId="3BFF9800" w:rsidR="003A77BA" w:rsidRDefault="003A77BA">
            <w:bookmarkStart w:id="1" w:name="_GoBack"/>
            <w:bookmarkEnd w:id="1"/>
          </w:p>
        </w:tc>
      </w:tr>
    </w:tbl>
    <w:p w14:paraId="22A2AD37" w14:textId="77777777" w:rsidR="003A77BA" w:rsidRDefault="003A77BA"/>
    <w:sectPr w:rsidR="003A77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3EF"/>
    <w:multiLevelType w:val="multilevel"/>
    <w:tmpl w:val="40B6E6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C05A39"/>
    <w:multiLevelType w:val="multilevel"/>
    <w:tmpl w:val="ED1009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4F4D3B"/>
    <w:multiLevelType w:val="multilevel"/>
    <w:tmpl w:val="444C77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9B625E"/>
    <w:multiLevelType w:val="multilevel"/>
    <w:tmpl w:val="DF020E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FC5088"/>
    <w:multiLevelType w:val="multilevel"/>
    <w:tmpl w:val="7DAA45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A"/>
    <w:rsid w:val="003A77BA"/>
    <w:rsid w:val="00D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3EC3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2019-05-31T01:17:00Z</dcterms:created>
  <dcterms:modified xsi:type="dcterms:W3CDTF">2019-05-31T01:17:00Z</dcterms:modified>
</cp:coreProperties>
</file>