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0449" w14:textId="77777777" w:rsidR="00444F4B" w:rsidRDefault="0058103C">
      <w:pPr>
        <w:pStyle w:val="Heading1"/>
      </w:pPr>
      <w:r>
        <w:t>Information Security Standard – System Integrity</w:t>
      </w:r>
    </w:p>
    <w:p w14:paraId="5AD50A22" w14:textId="77777777" w:rsidR="00444F4B" w:rsidRDefault="00444F4B"/>
    <w:p w14:paraId="39F29B3C" w14:textId="77777777" w:rsidR="00444F4B" w:rsidRDefault="0058103C">
      <w:pPr>
        <w:pStyle w:val="Heading2"/>
      </w:pPr>
      <w:r>
        <w:t>Policy Statement</w:t>
      </w:r>
    </w:p>
    <w:p w14:paraId="2B3A2CC8" w14:textId="0319C2D7" w:rsidR="00444F4B" w:rsidRDefault="0058103C">
      <w:bookmarkStart w:id="0" w:name="_gjdgxs" w:colFirst="0" w:colLast="0"/>
      <w:bookmarkEnd w:id="0"/>
      <w:r>
        <w:t>This Standard supports the {Company}</w:t>
      </w:r>
      <w:r>
        <w:t xml:space="preserve"> Information Security &amp; Privacy Policy and outlines the mandatory physical and environmental controls to be implemented across all of {Company}</w:t>
      </w:r>
      <w:r>
        <w:t>’s systems.</w:t>
      </w:r>
    </w:p>
    <w:p w14:paraId="71D4C247" w14:textId="77777777" w:rsidR="00444F4B" w:rsidRDefault="0058103C">
      <w:pPr>
        <w:pStyle w:val="Heading2"/>
      </w:pPr>
      <w:bookmarkStart w:id="1" w:name="_30j0zll" w:colFirst="0" w:colLast="0"/>
      <w:bookmarkEnd w:id="1"/>
      <w:r>
        <w:t>Applicability</w:t>
      </w:r>
    </w:p>
    <w:p w14:paraId="0A2E24E4" w14:textId="55EF60A1" w:rsidR="00444F4B" w:rsidRDefault="0058103C">
      <w:r>
        <w:t>Compliance with the controls outlined in th</w:t>
      </w:r>
      <w:r>
        <w:t>is document is mandatory for all {Company}</w:t>
      </w:r>
      <w:r>
        <w:t xml:space="preserve"> employees, contractors, vendors, and guests.  </w:t>
      </w:r>
    </w:p>
    <w:p w14:paraId="274A057D" w14:textId="77777777" w:rsidR="00444F4B" w:rsidRDefault="0058103C">
      <w:pPr>
        <w:pStyle w:val="Heading2"/>
      </w:pPr>
      <w:bookmarkStart w:id="2" w:name="_1fob9te" w:colFirst="0" w:colLast="0"/>
      <w:bookmarkEnd w:id="2"/>
      <w:r>
        <w:t>Non-compliance</w:t>
      </w:r>
    </w:p>
    <w:p w14:paraId="5DC14AE6" w14:textId="7D4752B9" w:rsidR="00444F4B" w:rsidRDefault="0058103C">
      <w:pPr>
        <w:rPr>
          <w:color w:val="0563C1"/>
          <w:u w:val="single"/>
        </w:rPr>
      </w:pPr>
      <w:r>
        <w:t xml:space="preserve">Any instances of non-compliance with the controls outlined in this document should be reported following the procedures outlined in the </w:t>
      </w:r>
      <w:r>
        <w:rPr>
          <w:color w:val="0563C1"/>
          <w:u w:val="single"/>
        </w:rPr>
        <w:t>Reporting Process.</w:t>
      </w:r>
    </w:p>
    <w:p w14:paraId="5B634620" w14:textId="414E8B6B" w:rsidR="00444F4B" w:rsidRDefault="0058103C">
      <w:pPr>
        <w:pStyle w:val="Heading2"/>
      </w:pPr>
      <w:bookmarkStart w:id="3" w:name="_3znysh7" w:colFirst="0" w:colLast="0"/>
      <w:bookmarkEnd w:id="3"/>
      <w:r>
        <w:t>Scope</w:t>
      </w:r>
    </w:p>
    <w:p w14:paraId="0A861B09" w14:textId="7285BD4E" w:rsidR="00444F4B" w:rsidRDefault="0058103C">
      <w:r>
        <w:t>The requirements of this standard to all systems that store, process, or transmit {Company}</w:t>
      </w:r>
      <w:r>
        <w:t xml:space="preserve"> information; or are used to connect to those systems that are used t</w:t>
      </w:r>
      <w:r>
        <w:t>o store, process, or transmit {Company}</w:t>
      </w:r>
      <w:r>
        <w:t>’s information.</w:t>
      </w:r>
    </w:p>
    <w:p w14:paraId="55C7E0D7" w14:textId="77777777" w:rsidR="00444F4B" w:rsidRDefault="0058103C">
      <w:pPr>
        <w:pStyle w:val="Heading2"/>
      </w:pPr>
      <w:bookmarkStart w:id="4" w:name="_2et92p0" w:colFirst="0" w:colLast="0"/>
      <w:bookmarkEnd w:id="4"/>
      <w:r>
        <w:t>Controls</w:t>
      </w:r>
    </w:p>
    <w:p w14:paraId="70097743" w14:textId="77777777" w:rsidR="00444F4B" w:rsidRDefault="0058103C">
      <w:pPr>
        <w:ind w:left="1440" w:hanging="720"/>
      </w:pPr>
      <w:r>
        <w:t>PSEC-1</w:t>
      </w:r>
      <w:r>
        <w:tab/>
        <w:t>All production datacenters shall conform to the requirements of NIST sp800-53r4 Moderate, PCI-DSS 3.2</w:t>
      </w:r>
      <w:bookmarkStart w:id="5" w:name="_GoBack"/>
      <w:bookmarkEnd w:id="5"/>
      <w:r>
        <w:t xml:space="preserve"> or SSAE16/ISAE3402 SOC2, Type II.</w:t>
      </w:r>
    </w:p>
    <w:p w14:paraId="36313968" w14:textId="625711B1" w:rsidR="00444F4B" w:rsidRDefault="0058103C">
      <w:pPr>
        <w:spacing w:line="276" w:lineRule="auto"/>
        <w:ind w:left="1440" w:hanging="720"/>
      </w:pPr>
      <w:r>
        <w:t>PSEC-2</w:t>
      </w:r>
      <w:r>
        <w:tab/>
        <w:t>Only those {Company}</w:t>
      </w:r>
      <w:r>
        <w:t xml:space="preserve"> employees wit</w:t>
      </w:r>
      <w:r>
        <w:t>h a specific business requirement as part of their assigned duties shall be allowed access to {Company}</w:t>
      </w:r>
      <w:r>
        <w:t>’s production datacenter facilities.  The list of those personnel who require such access shall be maintained by the manager of the Datacenter Ops te</w:t>
      </w:r>
      <w:r>
        <w:t xml:space="preserve">am and reviewed at least quarterly. </w:t>
      </w:r>
    </w:p>
    <w:p w14:paraId="19740C32" w14:textId="77777777" w:rsidR="00444F4B" w:rsidRDefault="0058103C">
      <w:pPr>
        <w:pStyle w:val="Heading2"/>
      </w:pPr>
      <w:r>
        <w:t>Appendices</w:t>
      </w:r>
    </w:p>
    <w:p w14:paraId="1404A399" w14:textId="77777777" w:rsidR="00444F4B" w:rsidRDefault="0058103C">
      <w:pPr>
        <w:pStyle w:val="Heading3"/>
      </w:pPr>
      <w:r>
        <w:t>Document Management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444F4B" w14:paraId="041A3080" w14:textId="77777777">
        <w:tc>
          <w:tcPr>
            <w:tcW w:w="2337" w:type="dxa"/>
          </w:tcPr>
          <w:p w14:paraId="1104D85C" w14:textId="77777777" w:rsidR="00444F4B" w:rsidRDefault="0058103C">
            <w:r>
              <w:t>Author</w:t>
            </w:r>
          </w:p>
        </w:tc>
        <w:tc>
          <w:tcPr>
            <w:tcW w:w="2337" w:type="dxa"/>
          </w:tcPr>
          <w:p w14:paraId="01ED089C" w14:textId="2B118BB6" w:rsidR="00444F4B" w:rsidRDefault="0058103C">
            <w:r>
              <w:t>Syltor Consulting</w:t>
            </w:r>
          </w:p>
        </w:tc>
        <w:tc>
          <w:tcPr>
            <w:tcW w:w="2338" w:type="dxa"/>
          </w:tcPr>
          <w:p w14:paraId="7D6FEB36" w14:textId="77777777" w:rsidR="00444F4B" w:rsidRDefault="0058103C">
            <w:r>
              <w:t>Version</w:t>
            </w:r>
          </w:p>
        </w:tc>
        <w:tc>
          <w:tcPr>
            <w:tcW w:w="2338" w:type="dxa"/>
          </w:tcPr>
          <w:p w14:paraId="499F6CB5" w14:textId="5B2991C4" w:rsidR="00444F4B" w:rsidRDefault="00444F4B"/>
        </w:tc>
      </w:tr>
      <w:tr w:rsidR="00444F4B" w14:paraId="2167D6FA" w14:textId="77777777">
        <w:tc>
          <w:tcPr>
            <w:tcW w:w="2337" w:type="dxa"/>
          </w:tcPr>
          <w:p w14:paraId="7BC362AE" w14:textId="77777777" w:rsidR="00444F4B" w:rsidRDefault="0058103C">
            <w:r>
              <w:t>Date Modified</w:t>
            </w:r>
          </w:p>
        </w:tc>
        <w:tc>
          <w:tcPr>
            <w:tcW w:w="2337" w:type="dxa"/>
          </w:tcPr>
          <w:p w14:paraId="11ADB8A8" w14:textId="52572072" w:rsidR="00444F4B" w:rsidRDefault="0058103C">
            <w:r>
              <w:t>30 May 2019</w:t>
            </w:r>
          </w:p>
        </w:tc>
        <w:tc>
          <w:tcPr>
            <w:tcW w:w="2338" w:type="dxa"/>
          </w:tcPr>
          <w:p w14:paraId="5091B9DB" w14:textId="77777777" w:rsidR="00444F4B" w:rsidRDefault="0058103C">
            <w:r>
              <w:t>Approver</w:t>
            </w:r>
          </w:p>
        </w:tc>
        <w:tc>
          <w:tcPr>
            <w:tcW w:w="2338" w:type="dxa"/>
          </w:tcPr>
          <w:p w14:paraId="0193E293" w14:textId="353F6F7B" w:rsidR="00444F4B" w:rsidRDefault="00444F4B"/>
        </w:tc>
      </w:tr>
      <w:tr w:rsidR="00444F4B" w14:paraId="0230B951" w14:textId="77777777">
        <w:tc>
          <w:tcPr>
            <w:tcW w:w="2337" w:type="dxa"/>
          </w:tcPr>
          <w:p w14:paraId="27AF09CB" w14:textId="77777777" w:rsidR="00444F4B" w:rsidRDefault="0058103C">
            <w:r>
              <w:t>Last Reviewed</w:t>
            </w:r>
          </w:p>
        </w:tc>
        <w:tc>
          <w:tcPr>
            <w:tcW w:w="2337" w:type="dxa"/>
          </w:tcPr>
          <w:p w14:paraId="01176EFA" w14:textId="5DA49AB2" w:rsidR="00444F4B" w:rsidRDefault="00444F4B"/>
        </w:tc>
        <w:tc>
          <w:tcPr>
            <w:tcW w:w="2338" w:type="dxa"/>
          </w:tcPr>
          <w:p w14:paraId="7B092DD1" w14:textId="77777777" w:rsidR="00444F4B" w:rsidRDefault="0058103C">
            <w:r>
              <w:t>Reviewer(s)</w:t>
            </w:r>
          </w:p>
        </w:tc>
        <w:tc>
          <w:tcPr>
            <w:tcW w:w="2338" w:type="dxa"/>
          </w:tcPr>
          <w:p w14:paraId="2A2FADF1" w14:textId="0ECF96C7" w:rsidR="00444F4B" w:rsidRDefault="00444F4B"/>
        </w:tc>
      </w:tr>
      <w:tr w:rsidR="00444F4B" w14:paraId="68F6CEFB" w14:textId="77777777">
        <w:tc>
          <w:tcPr>
            <w:tcW w:w="2337" w:type="dxa"/>
          </w:tcPr>
          <w:p w14:paraId="224205D6" w14:textId="77777777" w:rsidR="00444F4B" w:rsidRDefault="0058103C">
            <w:r>
              <w:t>Review Cycle</w:t>
            </w:r>
          </w:p>
        </w:tc>
        <w:tc>
          <w:tcPr>
            <w:tcW w:w="2337" w:type="dxa"/>
          </w:tcPr>
          <w:p w14:paraId="59E69911" w14:textId="77777777" w:rsidR="00444F4B" w:rsidRDefault="0058103C">
            <w:r>
              <w:t>Annual</w:t>
            </w:r>
          </w:p>
        </w:tc>
        <w:tc>
          <w:tcPr>
            <w:tcW w:w="2338" w:type="dxa"/>
          </w:tcPr>
          <w:p w14:paraId="7E8B061A" w14:textId="77777777" w:rsidR="00444F4B" w:rsidRDefault="0058103C">
            <w:r>
              <w:t>Next Review Date</w:t>
            </w:r>
          </w:p>
        </w:tc>
        <w:tc>
          <w:tcPr>
            <w:tcW w:w="2338" w:type="dxa"/>
          </w:tcPr>
          <w:p w14:paraId="367606FC" w14:textId="4CD80A49" w:rsidR="00444F4B" w:rsidRDefault="00444F4B"/>
        </w:tc>
      </w:tr>
    </w:tbl>
    <w:p w14:paraId="5F6F606D" w14:textId="77777777" w:rsidR="00444F4B" w:rsidRDefault="00444F4B"/>
    <w:sectPr w:rsidR="00444F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4B"/>
    <w:rsid w:val="00444F4B"/>
    <w:rsid w:val="005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C9645"/>
  <w15:docId w15:val="{369013B9-35DC-E74B-88EF-ACA0FD0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Lamphere</cp:lastModifiedBy>
  <cp:revision>2</cp:revision>
  <dcterms:created xsi:type="dcterms:W3CDTF">2019-05-31T01:06:00Z</dcterms:created>
  <dcterms:modified xsi:type="dcterms:W3CDTF">2019-05-31T01:06:00Z</dcterms:modified>
</cp:coreProperties>
</file>