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8C7B" w14:textId="77777777" w:rsidR="0091611D" w:rsidRDefault="004C4B53">
      <w:pPr>
        <w:pStyle w:val="Heading1"/>
      </w:pPr>
      <w:r>
        <w:t>Information Security Standard – Security Assessment</w:t>
      </w:r>
    </w:p>
    <w:p w14:paraId="0CC4353C" w14:textId="77777777" w:rsidR="0091611D" w:rsidRDefault="0091611D"/>
    <w:p w14:paraId="5E3AFDA9" w14:textId="77777777" w:rsidR="0091611D" w:rsidRDefault="004C4B53">
      <w:pPr>
        <w:pStyle w:val="Heading2"/>
      </w:pPr>
      <w:r>
        <w:t>Policy Statement</w:t>
      </w:r>
    </w:p>
    <w:p w14:paraId="18222572" w14:textId="21691623" w:rsidR="0091611D" w:rsidRDefault="004C4B53">
      <w:r>
        <w:t>This Standard supports the {Company}</w:t>
      </w:r>
      <w:r>
        <w:t xml:space="preserve"> Information Security &amp; Privacy Policy and outlines the mandatory requirements for performing security assessments of {Company}</w:t>
      </w:r>
      <w:r>
        <w:t>’s systems.</w:t>
      </w:r>
    </w:p>
    <w:p w14:paraId="71035337" w14:textId="77777777" w:rsidR="0091611D" w:rsidRDefault="004C4B53">
      <w:pPr>
        <w:pStyle w:val="Heading2"/>
      </w:pPr>
      <w:bookmarkStart w:id="0" w:name="_gjdgxs" w:colFirst="0" w:colLast="0"/>
      <w:bookmarkEnd w:id="0"/>
      <w:r>
        <w:t>Applicability</w:t>
      </w:r>
    </w:p>
    <w:p w14:paraId="279C45CA" w14:textId="55C0F3E9" w:rsidR="0091611D" w:rsidRDefault="004C4B53">
      <w:r>
        <w:t>Compliance with the controls outlined in this document is m</w:t>
      </w:r>
      <w:r>
        <w:t>andatory for all {Company}</w:t>
      </w:r>
      <w:r>
        <w:t xml:space="preserve"> employees, contractors, vendors, and guests.  </w:t>
      </w:r>
    </w:p>
    <w:p w14:paraId="312E23EF" w14:textId="77777777" w:rsidR="0091611D" w:rsidRDefault="004C4B53">
      <w:pPr>
        <w:pStyle w:val="Heading2"/>
      </w:pPr>
      <w:bookmarkStart w:id="1" w:name="_30j0zll" w:colFirst="0" w:colLast="0"/>
      <w:bookmarkEnd w:id="1"/>
      <w:r>
        <w:t>Non-compliance</w:t>
      </w:r>
    </w:p>
    <w:p w14:paraId="52256196" w14:textId="4CEA2A9A" w:rsidR="0091611D" w:rsidRDefault="004C4B53">
      <w:pPr>
        <w:rPr>
          <w:color w:val="0563C1"/>
          <w:u w:val="single"/>
        </w:rPr>
      </w:pPr>
      <w:r>
        <w:t xml:space="preserve">Any instances of non-compliance with the controls outlined in this document should be reported following the procedures outlined in the </w:t>
      </w:r>
      <w:r>
        <w:rPr>
          <w:color w:val="0563C1"/>
          <w:u w:val="single"/>
        </w:rPr>
        <w:t>Reporting Process.</w:t>
      </w:r>
    </w:p>
    <w:p w14:paraId="7F1DA88E" w14:textId="0891655C" w:rsidR="0091611D" w:rsidRDefault="004C4B53">
      <w:pPr>
        <w:pStyle w:val="Heading2"/>
      </w:pPr>
      <w:bookmarkStart w:id="2" w:name="_1fob9te" w:colFirst="0" w:colLast="0"/>
      <w:bookmarkEnd w:id="2"/>
      <w:r>
        <w:t>Scope</w:t>
      </w:r>
    </w:p>
    <w:p w14:paraId="2FD85376" w14:textId="65738B58" w:rsidR="0091611D" w:rsidRDefault="004C4B53">
      <w:r>
        <w:t>The requirements of this standard to all systems that store, process, or transmit {Company}</w:t>
      </w:r>
      <w:r>
        <w:t xml:space="preserve"> information; or are used to connect to those systems that are used to store, process</w:t>
      </w:r>
      <w:r>
        <w:t>, or transmit {Company}</w:t>
      </w:r>
      <w:r>
        <w:t>’s information.</w:t>
      </w:r>
    </w:p>
    <w:p w14:paraId="1906A3B8" w14:textId="77777777" w:rsidR="0091611D" w:rsidRDefault="004C4B53">
      <w:pPr>
        <w:pStyle w:val="Heading2"/>
      </w:pPr>
      <w:bookmarkStart w:id="3" w:name="_3znysh7" w:colFirst="0" w:colLast="0"/>
      <w:bookmarkEnd w:id="3"/>
      <w:r>
        <w:t>Controls</w:t>
      </w:r>
    </w:p>
    <w:p w14:paraId="2EC3991F" w14:textId="320A47A8" w:rsidR="0091611D" w:rsidRDefault="004C4B53">
      <w:pPr>
        <w:numPr>
          <w:ilvl w:val="0"/>
          <w:numId w:val="1"/>
        </w:numPr>
        <w:spacing w:line="276" w:lineRule="auto"/>
        <w:ind w:hanging="360"/>
        <w:contextualSpacing/>
      </w:pPr>
      <w:r>
        <w:t>{Company}</w:t>
      </w:r>
      <w:r>
        <w:t xml:space="preserve"> will perform annual risk assessments that conform to an accepted international standard, such as PCI-DSS, ISO/IEC 27005, NIST SP 800-30 or CMU-OCTAVE/OCTAVE ALLEGRO.  These assessments shall</w:t>
      </w:r>
      <w:r>
        <w:t xml:space="preserve"> be performed annually at a </w:t>
      </w:r>
      <w:bookmarkStart w:id="4" w:name="_GoBack"/>
      <w:bookmarkEnd w:id="4"/>
      <w:r>
        <w:t>minimum and</w:t>
      </w:r>
      <w:r>
        <w:t xml:space="preserve"> updated to reflect substantive changes to the environment throughout the year.  The Head of Security is responsible for leading these assessments.</w:t>
      </w:r>
    </w:p>
    <w:p w14:paraId="20D5F47C" w14:textId="5CFB382D" w:rsidR="0091611D" w:rsidRDefault="004C4B53">
      <w:pPr>
        <w:numPr>
          <w:ilvl w:val="0"/>
          <w:numId w:val="1"/>
        </w:numPr>
        <w:spacing w:line="276" w:lineRule="auto"/>
        <w:ind w:hanging="360"/>
        <w:contextualSpacing/>
      </w:pPr>
      <w:r>
        <w:t>Annually, {Company}</w:t>
      </w:r>
      <w:r>
        <w:t xml:space="preserve"> will contract with a reputable professional </w:t>
      </w:r>
      <w:r>
        <w:t>services firm to perform a ‘white-box’ penetration test of the {Company}</w:t>
      </w:r>
      <w:r>
        <w:t xml:space="preserve"> platform.  These tests shall attempt to gain access to the {Company}</w:t>
      </w:r>
      <w:r>
        <w:t xml:space="preserve"> system by enumerating and attempting to exploit vulnerabilities in the platform, with the goal of obtainin</w:t>
      </w:r>
      <w:r>
        <w:t>g Administrative credentials on the portal or shell access on a host.</w:t>
      </w:r>
    </w:p>
    <w:p w14:paraId="4B10F1B1" w14:textId="1D309DE7" w:rsidR="0091611D" w:rsidRDefault="004C4B53">
      <w:pPr>
        <w:numPr>
          <w:ilvl w:val="0"/>
          <w:numId w:val="1"/>
        </w:numPr>
        <w:spacing w:line="276" w:lineRule="auto"/>
        <w:ind w:hanging="360"/>
        <w:contextualSpacing/>
      </w:pPr>
      <w:r>
        <w:t>{Company}</w:t>
      </w:r>
      <w:r>
        <w:t xml:space="preserve"> will maintain a public bug bounty program that encourages researchers to test the platform and report their findings under responsible disclosure principles.  </w:t>
      </w:r>
    </w:p>
    <w:p w14:paraId="6414F96D" w14:textId="66153145" w:rsidR="0091611D" w:rsidRDefault="004C4B53">
      <w:pPr>
        <w:numPr>
          <w:ilvl w:val="0"/>
          <w:numId w:val="1"/>
        </w:numPr>
        <w:spacing w:line="276" w:lineRule="auto"/>
        <w:ind w:hanging="360"/>
        <w:contextualSpacing/>
      </w:pPr>
      <w:r>
        <w:t>{Company}</w:t>
      </w:r>
      <w:r>
        <w:t xml:space="preserve"> will retain an independent and accredited third-party assessor to perform compliance audits for PCI-DSS, SOC-2, and any other compliance regimes that {Company}</w:t>
      </w:r>
      <w:r>
        <w:t xml:space="preserve"> conforms to.  All testing will be performed in accordance with the rules outlined in the complia</w:t>
      </w:r>
      <w:r>
        <w:t>nce regime.</w:t>
      </w:r>
    </w:p>
    <w:p w14:paraId="13B1BA8B" w14:textId="5411E29F" w:rsidR="0091611D" w:rsidRDefault="004C4B53">
      <w:pPr>
        <w:numPr>
          <w:ilvl w:val="0"/>
          <w:numId w:val="1"/>
        </w:numPr>
        <w:spacing w:line="276" w:lineRule="auto"/>
        <w:ind w:hanging="360"/>
        <w:contextualSpacing/>
      </w:pPr>
      <w:r>
        <w:t>All findings from any assessment, audit, or test will be validated by the {Company}</w:t>
      </w:r>
      <w:r>
        <w:t xml:space="preserve"> Security, Operations, and Engineering teams before acceptance.  All valid findings will be triaged and tracked according to {Company}</w:t>
      </w:r>
      <w:r>
        <w:t>’s standard enginee</w:t>
      </w:r>
      <w:r>
        <w:t>ring and operations on-call processes.</w:t>
      </w:r>
    </w:p>
    <w:p w14:paraId="244E2836" w14:textId="5620B2E6" w:rsidR="0091611D" w:rsidRDefault="004C4B53">
      <w:pPr>
        <w:numPr>
          <w:ilvl w:val="0"/>
          <w:numId w:val="1"/>
        </w:numPr>
        <w:spacing w:line="276" w:lineRule="auto"/>
        <w:ind w:hanging="360"/>
        <w:contextualSpacing/>
      </w:pPr>
      <w:r>
        <w:lastRenderedPageBreak/>
        <w:t>All third-party products and services leveraged by {Company}</w:t>
      </w:r>
      <w:r>
        <w:t xml:space="preserve"> must be evaluated for conformance to {Company}</w:t>
      </w:r>
      <w:r>
        <w:t xml:space="preserve">’s Security Policy and supporting Standards by the Security team before being placed into production. </w:t>
      </w:r>
      <w:r>
        <w:t xml:space="preserve"> The results of these assessments shall be incorporated into {Company}</w:t>
      </w:r>
      <w:r>
        <w:t>’s annual risk assessment.</w:t>
      </w:r>
    </w:p>
    <w:p w14:paraId="65695E8E" w14:textId="22F76BB8" w:rsidR="0091611D" w:rsidRDefault="004C4B53">
      <w:pPr>
        <w:numPr>
          <w:ilvl w:val="0"/>
          <w:numId w:val="1"/>
        </w:numPr>
        <w:spacing w:line="276" w:lineRule="auto"/>
        <w:ind w:hanging="360"/>
        <w:contextualSpacing/>
      </w:pPr>
      <w:r>
        <w:t>At least once per quarter, the {Company}</w:t>
      </w:r>
      <w:r>
        <w:t xml:space="preserve"> security team will validate control efficacy over the preceding 90 days.  A report shall be prepared by the se</w:t>
      </w:r>
      <w:r>
        <w:t xml:space="preserve">curity team and presented to senior management outlining the company’s alignment to the defined security controls.  At a minimum these reports should include conformance to the defined Change </w:t>
      </w:r>
      <w:r>
        <w:t xml:space="preserve">Control and </w:t>
      </w:r>
      <w:r>
        <w:t>Release (CCR)</w:t>
      </w:r>
      <w:r>
        <w:t xml:space="preserve"> process, firewall and other security tool validation, validation of</w:t>
      </w:r>
      <w:r>
        <w:t xml:space="preserve"> </w:t>
      </w:r>
      <w:r>
        <w:t>daily security review activities, any incident response activities that occurred, and validation of system conformance to defined standards.  This review shall be accomplished by performing the following:</w:t>
      </w:r>
    </w:p>
    <w:p w14:paraId="165D5D9B" w14:textId="77777777" w:rsidR="0091611D" w:rsidRDefault="004C4B53">
      <w:pPr>
        <w:numPr>
          <w:ilvl w:val="0"/>
          <w:numId w:val="2"/>
        </w:numPr>
        <w:spacing w:line="276" w:lineRule="auto"/>
        <w:contextualSpacing/>
      </w:pPr>
      <w:r>
        <w:t>Reviewing all Firewall changes that have occurred</w:t>
      </w:r>
      <w:r>
        <w:t xml:space="preserve"> to ensure there is a corresponding and approved CCR ticket.</w:t>
      </w:r>
    </w:p>
    <w:p w14:paraId="16DCCBFE" w14:textId="77777777" w:rsidR="0091611D" w:rsidRDefault="004C4B53">
      <w:pPr>
        <w:numPr>
          <w:ilvl w:val="0"/>
          <w:numId w:val="2"/>
        </w:numPr>
        <w:spacing w:line="276" w:lineRule="auto"/>
        <w:contextualSpacing/>
      </w:pPr>
      <w:r>
        <w:t xml:space="preserve">Validating evidence of daily log reviews by security and operations staff to ensure that reviews have </w:t>
      </w:r>
      <w:proofErr w:type="spellStart"/>
      <w:r>
        <w:t>occured</w:t>
      </w:r>
      <w:proofErr w:type="spellEnd"/>
      <w:r>
        <w:t>.</w:t>
      </w:r>
    </w:p>
    <w:p w14:paraId="2F8A8A18" w14:textId="77777777" w:rsidR="0091611D" w:rsidRDefault="004C4B53">
      <w:pPr>
        <w:numPr>
          <w:ilvl w:val="0"/>
          <w:numId w:val="2"/>
        </w:numPr>
        <w:spacing w:line="276" w:lineRule="auto"/>
        <w:contextualSpacing/>
      </w:pPr>
      <w:r>
        <w:t>Reviewing all security incident tickets and validating that lessons learned have bee</w:t>
      </w:r>
      <w:r>
        <w:t>n compiled, remediation tasks identified, triaged, and placed into JIRA.</w:t>
      </w:r>
    </w:p>
    <w:p w14:paraId="70E084BF" w14:textId="77777777" w:rsidR="0091611D" w:rsidRDefault="004C4B53">
      <w:pPr>
        <w:numPr>
          <w:ilvl w:val="0"/>
          <w:numId w:val="2"/>
        </w:numPr>
        <w:spacing w:line="276" w:lineRule="auto"/>
        <w:contextualSpacing/>
      </w:pPr>
      <w:r>
        <w:t>Reviewing a sample of CCR ticket and validating that they were properly categorized, approved, and implemented</w:t>
      </w:r>
    </w:p>
    <w:p w14:paraId="70517EE8" w14:textId="6D3C0866" w:rsidR="0091611D" w:rsidRDefault="004C4B53">
      <w:pPr>
        <w:numPr>
          <w:ilvl w:val="0"/>
          <w:numId w:val="2"/>
        </w:numPr>
        <w:spacing w:line="276" w:lineRule="auto"/>
        <w:contextualSpacing/>
      </w:pPr>
      <w:r>
        <w:t>Reviewing {Insert CI/CD Tools}</w:t>
      </w:r>
      <w:r>
        <w:t xml:space="preserve"> logs and configuration against inv</w:t>
      </w:r>
      <w:r>
        <w:t>entory scans to validate that all production systems have been deployed and maintained using CI/CD tools.</w:t>
      </w:r>
    </w:p>
    <w:p w14:paraId="017E7D4D" w14:textId="77777777" w:rsidR="0091611D" w:rsidRDefault="004C4B53">
      <w:pPr>
        <w:spacing w:line="276" w:lineRule="auto"/>
        <w:ind w:left="720"/>
      </w:pPr>
      <w:r>
        <w:t>If the above activities are performed as part of an annual PCI-DSS or SOC-2 audit, the findings from that report may be provided in lieu of a separate</w:t>
      </w:r>
      <w:r>
        <w:t xml:space="preserve"> report for SA-7.</w:t>
      </w:r>
    </w:p>
    <w:p w14:paraId="6C999F8D" w14:textId="77777777" w:rsidR="0091611D" w:rsidRDefault="004C4B53">
      <w:pPr>
        <w:spacing w:line="276" w:lineRule="auto"/>
        <w:ind w:left="720"/>
      </w:pPr>
      <w:r>
        <w:t xml:space="preserve"> </w:t>
      </w:r>
    </w:p>
    <w:p w14:paraId="5C8AE759" w14:textId="77777777" w:rsidR="0091611D" w:rsidRDefault="004C4B53">
      <w:pPr>
        <w:pStyle w:val="Heading2"/>
      </w:pPr>
      <w:r>
        <w:t>Appendices</w:t>
      </w:r>
    </w:p>
    <w:p w14:paraId="57DA21C3" w14:textId="77777777" w:rsidR="0091611D" w:rsidRDefault="004C4B53">
      <w:pPr>
        <w:pStyle w:val="Heading3"/>
      </w:pPr>
      <w:r>
        <w:t>Document Management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1611D" w14:paraId="654A6C81" w14:textId="77777777">
        <w:tc>
          <w:tcPr>
            <w:tcW w:w="2337" w:type="dxa"/>
          </w:tcPr>
          <w:p w14:paraId="664E2D46" w14:textId="77777777" w:rsidR="0091611D" w:rsidRDefault="004C4B53">
            <w:r>
              <w:t>Author</w:t>
            </w:r>
          </w:p>
        </w:tc>
        <w:tc>
          <w:tcPr>
            <w:tcW w:w="2337" w:type="dxa"/>
          </w:tcPr>
          <w:p w14:paraId="602BC4CC" w14:textId="35B44000" w:rsidR="0091611D" w:rsidRDefault="004C4B53">
            <w:r>
              <w:t>Syltor Consulting</w:t>
            </w:r>
          </w:p>
        </w:tc>
        <w:tc>
          <w:tcPr>
            <w:tcW w:w="2338" w:type="dxa"/>
          </w:tcPr>
          <w:p w14:paraId="0A29B54E" w14:textId="77777777" w:rsidR="0091611D" w:rsidRDefault="004C4B53">
            <w:r>
              <w:t>Version</w:t>
            </w:r>
          </w:p>
        </w:tc>
        <w:tc>
          <w:tcPr>
            <w:tcW w:w="2338" w:type="dxa"/>
          </w:tcPr>
          <w:p w14:paraId="7D1D3A17" w14:textId="77777777" w:rsidR="0091611D" w:rsidRDefault="004C4B53">
            <w:r>
              <w:t>1.0</w:t>
            </w:r>
          </w:p>
        </w:tc>
      </w:tr>
      <w:tr w:rsidR="0091611D" w14:paraId="66784EF1" w14:textId="77777777">
        <w:tc>
          <w:tcPr>
            <w:tcW w:w="2337" w:type="dxa"/>
          </w:tcPr>
          <w:p w14:paraId="73317D48" w14:textId="77777777" w:rsidR="0091611D" w:rsidRDefault="004C4B53">
            <w:r>
              <w:t>Date Modified</w:t>
            </w:r>
          </w:p>
        </w:tc>
        <w:tc>
          <w:tcPr>
            <w:tcW w:w="2337" w:type="dxa"/>
          </w:tcPr>
          <w:p w14:paraId="4CA02CFD" w14:textId="29ADA70F" w:rsidR="0091611D" w:rsidRDefault="004C4B53">
            <w:bookmarkStart w:id="5" w:name="_2et92p0" w:colFirst="0" w:colLast="0"/>
            <w:bookmarkEnd w:id="5"/>
            <w:r>
              <w:t>29 May 2019</w:t>
            </w:r>
          </w:p>
        </w:tc>
        <w:tc>
          <w:tcPr>
            <w:tcW w:w="2338" w:type="dxa"/>
          </w:tcPr>
          <w:p w14:paraId="37EACD3D" w14:textId="77777777" w:rsidR="0091611D" w:rsidRDefault="004C4B53">
            <w:r>
              <w:t>Approver</w:t>
            </w:r>
          </w:p>
        </w:tc>
        <w:tc>
          <w:tcPr>
            <w:tcW w:w="2338" w:type="dxa"/>
          </w:tcPr>
          <w:p w14:paraId="45D06325" w14:textId="05EEBDDA" w:rsidR="0091611D" w:rsidRDefault="0091611D"/>
        </w:tc>
      </w:tr>
      <w:tr w:rsidR="0091611D" w14:paraId="4863BE51" w14:textId="77777777">
        <w:tc>
          <w:tcPr>
            <w:tcW w:w="2337" w:type="dxa"/>
          </w:tcPr>
          <w:p w14:paraId="30795ED9" w14:textId="77777777" w:rsidR="0091611D" w:rsidRDefault="004C4B53">
            <w:r>
              <w:t>Last Reviewed</w:t>
            </w:r>
          </w:p>
        </w:tc>
        <w:tc>
          <w:tcPr>
            <w:tcW w:w="2337" w:type="dxa"/>
          </w:tcPr>
          <w:p w14:paraId="3B3888DE" w14:textId="32F5F551" w:rsidR="0091611D" w:rsidRDefault="0091611D"/>
        </w:tc>
        <w:tc>
          <w:tcPr>
            <w:tcW w:w="2338" w:type="dxa"/>
          </w:tcPr>
          <w:p w14:paraId="02E784EB" w14:textId="77777777" w:rsidR="0091611D" w:rsidRDefault="004C4B53">
            <w:r>
              <w:t>Reviewer(s)</w:t>
            </w:r>
          </w:p>
        </w:tc>
        <w:tc>
          <w:tcPr>
            <w:tcW w:w="2338" w:type="dxa"/>
          </w:tcPr>
          <w:p w14:paraId="06E2DDCD" w14:textId="20D0E2D8" w:rsidR="0091611D" w:rsidRDefault="0091611D"/>
        </w:tc>
      </w:tr>
      <w:tr w:rsidR="0091611D" w14:paraId="457726A2" w14:textId="77777777">
        <w:tc>
          <w:tcPr>
            <w:tcW w:w="2337" w:type="dxa"/>
          </w:tcPr>
          <w:p w14:paraId="358906C7" w14:textId="77777777" w:rsidR="0091611D" w:rsidRDefault="004C4B53">
            <w:r>
              <w:t>Review Cycle</w:t>
            </w:r>
          </w:p>
        </w:tc>
        <w:tc>
          <w:tcPr>
            <w:tcW w:w="2337" w:type="dxa"/>
          </w:tcPr>
          <w:p w14:paraId="64D5D748" w14:textId="77777777" w:rsidR="0091611D" w:rsidRDefault="004C4B53">
            <w:r>
              <w:t>Annual</w:t>
            </w:r>
          </w:p>
        </w:tc>
        <w:tc>
          <w:tcPr>
            <w:tcW w:w="2338" w:type="dxa"/>
          </w:tcPr>
          <w:p w14:paraId="7AB0E0EF" w14:textId="77777777" w:rsidR="0091611D" w:rsidRDefault="004C4B53">
            <w:r>
              <w:t>Next Review Date</w:t>
            </w:r>
          </w:p>
        </w:tc>
        <w:tc>
          <w:tcPr>
            <w:tcW w:w="2338" w:type="dxa"/>
          </w:tcPr>
          <w:p w14:paraId="6EB233B9" w14:textId="089B37B6" w:rsidR="0091611D" w:rsidRDefault="0091611D"/>
        </w:tc>
      </w:tr>
    </w:tbl>
    <w:p w14:paraId="0711FA62" w14:textId="77777777" w:rsidR="0091611D" w:rsidRDefault="0091611D"/>
    <w:sectPr w:rsidR="009161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7304"/>
    <w:multiLevelType w:val="multilevel"/>
    <w:tmpl w:val="78888D72"/>
    <w:lvl w:ilvl="0">
      <w:start w:val="1"/>
      <w:numFmt w:val="decimal"/>
      <w:lvlText w:val="SA-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SA-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SA-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SA-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SA-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SA-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SA-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SA-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SA-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AC7770C"/>
    <w:multiLevelType w:val="multilevel"/>
    <w:tmpl w:val="95CACA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1D"/>
    <w:rsid w:val="004C4B53"/>
    <w:rsid w:val="0091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929CA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2019-05-31T00:55:00Z</dcterms:created>
  <dcterms:modified xsi:type="dcterms:W3CDTF">2019-05-31T00:55:00Z</dcterms:modified>
</cp:coreProperties>
</file>