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BD0F" w14:textId="77777777" w:rsidR="00A13D4F" w:rsidRDefault="00583126">
      <w:pPr>
        <w:pStyle w:val="Heading1"/>
      </w:pPr>
      <w:r>
        <w:t>Information Security Standard – System Integrity</w:t>
      </w:r>
    </w:p>
    <w:p w14:paraId="69CBC030" w14:textId="77777777" w:rsidR="00A13D4F" w:rsidRDefault="00A13D4F"/>
    <w:p w14:paraId="4898E62D" w14:textId="77777777" w:rsidR="00A13D4F" w:rsidRDefault="00583126">
      <w:pPr>
        <w:pStyle w:val="Heading2"/>
      </w:pPr>
      <w:r>
        <w:t>Policy Statement</w:t>
      </w:r>
    </w:p>
    <w:p w14:paraId="2CC3260A" w14:textId="4A9A0DF3" w:rsidR="00A13D4F" w:rsidRDefault="00583126">
      <w:r>
        <w:t>This Standard supports the {Company}</w:t>
      </w:r>
      <w:r>
        <w:t xml:space="preserve"> Information Security &amp; Privacy Policy and outlines the system integrity controls to be implemented across all of {Company}</w:t>
      </w:r>
      <w:r>
        <w:t>’s systems.</w:t>
      </w:r>
    </w:p>
    <w:p w14:paraId="5597115E" w14:textId="77777777" w:rsidR="00A13D4F" w:rsidRDefault="00583126">
      <w:pPr>
        <w:pStyle w:val="Heading2"/>
      </w:pPr>
      <w:bookmarkStart w:id="0" w:name="_gjdgxs" w:colFirst="0" w:colLast="0"/>
      <w:bookmarkEnd w:id="0"/>
      <w:r>
        <w:t>Applicability</w:t>
      </w:r>
    </w:p>
    <w:p w14:paraId="1F8224C8" w14:textId="4CECE175" w:rsidR="00A13D4F" w:rsidRDefault="00583126">
      <w:r>
        <w:t>Compliance with the controls outlined in this document is manda</w:t>
      </w:r>
      <w:r>
        <w:t>tory for all {Company}</w:t>
      </w:r>
      <w:r>
        <w:t xml:space="preserve"> employees, contractors, vendors, and guests.  </w:t>
      </w:r>
    </w:p>
    <w:p w14:paraId="5EC9DA21" w14:textId="77777777" w:rsidR="00A13D4F" w:rsidRDefault="00583126">
      <w:pPr>
        <w:pStyle w:val="Heading2"/>
      </w:pPr>
      <w:bookmarkStart w:id="1" w:name="_30j0zll" w:colFirst="0" w:colLast="0"/>
      <w:bookmarkEnd w:id="1"/>
      <w:r>
        <w:t>Non-compliance</w:t>
      </w:r>
    </w:p>
    <w:p w14:paraId="00C21D27" w14:textId="4A2EC1AE" w:rsidR="00A13D4F" w:rsidRDefault="00583126">
      <w:pPr>
        <w:rPr>
          <w:color w:val="0563C1"/>
          <w:u w:val="single"/>
        </w:rPr>
      </w:pPr>
      <w:r>
        <w:t xml:space="preserve">Any instances of non-compliance with the controls outlined in this document should be reported following the procedures outlined in the </w:t>
      </w:r>
      <w:r>
        <w:rPr>
          <w:color w:val="0563C1"/>
          <w:u w:val="single"/>
        </w:rPr>
        <w:t>Reporting Process.</w:t>
      </w:r>
    </w:p>
    <w:p w14:paraId="31E509A1" w14:textId="240AB782" w:rsidR="00A13D4F" w:rsidRDefault="00583126">
      <w:pPr>
        <w:pStyle w:val="Heading2"/>
      </w:pPr>
      <w:bookmarkStart w:id="2" w:name="_1fob9te" w:colFirst="0" w:colLast="0"/>
      <w:bookmarkEnd w:id="2"/>
      <w:r>
        <w:t>Scope</w:t>
      </w:r>
    </w:p>
    <w:p w14:paraId="3AAF42A0" w14:textId="30445C9A" w:rsidR="00A13D4F" w:rsidRDefault="00583126">
      <w:r>
        <w:t>The requirements of this standard to all systems that store, process, or transmit {Company}</w:t>
      </w:r>
      <w:r>
        <w:t xml:space="preserve"> information; or are used to connect to those systems that are used to store, process, or</w:t>
      </w:r>
      <w:r>
        <w:t xml:space="preserve"> transmit {Company}</w:t>
      </w:r>
      <w:r>
        <w:t>’s information.</w:t>
      </w:r>
    </w:p>
    <w:p w14:paraId="709BD0FF" w14:textId="77777777" w:rsidR="00A13D4F" w:rsidRDefault="00583126">
      <w:pPr>
        <w:pStyle w:val="Heading2"/>
      </w:pPr>
      <w:bookmarkStart w:id="3" w:name="_3znysh7" w:colFirst="0" w:colLast="0"/>
      <w:bookmarkEnd w:id="3"/>
      <w:r>
        <w:t>Controls</w:t>
      </w:r>
    </w:p>
    <w:p w14:paraId="24ADB921" w14:textId="77777777" w:rsidR="00A13D4F" w:rsidRDefault="00583126">
      <w:pPr>
        <w:numPr>
          <w:ilvl w:val="0"/>
          <w:numId w:val="1"/>
        </w:numPr>
        <w:spacing w:line="276" w:lineRule="auto"/>
        <w:ind w:hanging="360"/>
        <w:contextualSpacing/>
      </w:pPr>
      <w:r>
        <w:t>All changes to the production system, including third-party patches, must first be tested in a non-production environment before being deployed.  These tests must validate the efficacy of the proposed change,</w:t>
      </w:r>
      <w:r>
        <w:t xml:space="preserve"> as well as validate that any side-effects of the changes are known and acceptable.</w:t>
      </w:r>
    </w:p>
    <w:p w14:paraId="37A3EF72" w14:textId="36ED8807" w:rsidR="00A13D4F" w:rsidRDefault="00583126">
      <w:pPr>
        <w:numPr>
          <w:ilvl w:val="0"/>
          <w:numId w:val="1"/>
        </w:numPr>
        <w:spacing w:line="276" w:lineRule="auto"/>
        <w:ind w:hanging="360"/>
        <w:contextualSpacing/>
      </w:pPr>
      <w:r>
        <w:t>All known issues in the {Company}</w:t>
      </w:r>
      <w:r>
        <w:t xml:space="preserve"> platform must be tracked and assigned a ticket in {Company}</w:t>
      </w:r>
      <w:r>
        <w:t xml:space="preserve">’s JIRA instance. </w:t>
      </w:r>
    </w:p>
    <w:p w14:paraId="2725B4B1" w14:textId="77777777" w:rsidR="00A13D4F" w:rsidRDefault="00583126">
      <w:pPr>
        <w:numPr>
          <w:ilvl w:val="0"/>
          <w:numId w:val="1"/>
        </w:numPr>
        <w:spacing w:line="276" w:lineRule="auto"/>
        <w:ind w:hanging="360"/>
        <w:contextualSpacing/>
      </w:pPr>
      <w:r>
        <w:t>Any patches or fixes for security vulnerabilities mu</w:t>
      </w:r>
      <w:r>
        <w:t>st be deployed to production according to the following schedule:</w:t>
      </w:r>
    </w:p>
    <w:tbl>
      <w:tblPr>
        <w:tblStyle w:val="a"/>
        <w:tblW w:w="8635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5754"/>
      </w:tblGrid>
      <w:tr w:rsidR="00A13D4F" w:rsidRPr="00583126" w14:paraId="6C4B1A2B" w14:textId="77777777">
        <w:tc>
          <w:tcPr>
            <w:tcW w:w="2881" w:type="dxa"/>
          </w:tcPr>
          <w:p w14:paraId="6C91C0B1" w14:textId="77777777" w:rsidR="00A13D4F" w:rsidRPr="00583126" w:rsidRDefault="00583126">
            <w:pPr>
              <w:spacing w:line="276" w:lineRule="auto"/>
              <w:rPr>
                <w:b/>
              </w:rPr>
            </w:pPr>
            <w:r w:rsidRPr="00583126">
              <w:rPr>
                <w:b/>
              </w:rPr>
              <w:t xml:space="preserve">Risk Rating </w:t>
            </w:r>
          </w:p>
        </w:tc>
        <w:tc>
          <w:tcPr>
            <w:tcW w:w="5754" w:type="dxa"/>
          </w:tcPr>
          <w:p w14:paraId="2E9A30B3" w14:textId="77777777" w:rsidR="00A13D4F" w:rsidRPr="00583126" w:rsidRDefault="00583126">
            <w:pPr>
              <w:spacing w:line="276" w:lineRule="auto"/>
              <w:rPr>
                <w:b/>
              </w:rPr>
            </w:pPr>
            <w:bookmarkStart w:id="4" w:name="_2et92p0" w:colFirst="0" w:colLast="0"/>
            <w:bookmarkEnd w:id="4"/>
            <w:r w:rsidRPr="00583126">
              <w:rPr>
                <w:b/>
              </w:rPr>
              <w:t>Timeframe after release by engineering or third-party.</w:t>
            </w:r>
          </w:p>
        </w:tc>
      </w:tr>
      <w:tr w:rsidR="00A13D4F" w14:paraId="5E76B460" w14:textId="77777777">
        <w:tc>
          <w:tcPr>
            <w:tcW w:w="2881" w:type="dxa"/>
          </w:tcPr>
          <w:p w14:paraId="1837C6FB" w14:textId="77777777" w:rsidR="00A13D4F" w:rsidRDefault="00583126">
            <w:pPr>
              <w:spacing w:line="276" w:lineRule="auto"/>
            </w:pPr>
            <w:r>
              <w:t>Critical</w:t>
            </w:r>
          </w:p>
        </w:tc>
        <w:tc>
          <w:tcPr>
            <w:tcW w:w="5754" w:type="dxa"/>
          </w:tcPr>
          <w:p w14:paraId="2ED93944" w14:textId="77777777" w:rsidR="00A13D4F" w:rsidRDefault="00583126">
            <w:pPr>
              <w:spacing w:line="276" w:lineRule="auto"/>
            </w:pPr>
            <w:r>
              <w:t>Within 7 days whenever possible, but no longer than 30 days</w:t>
            </w:r>
          </w:p>
        </w:tc>
      </w:tr>
      <w:tr w:rsidR="00A13D4F" w14:paraId="6C49E31A" w14:textId="77777777">
        <w:tc>
          <w:tcPr>
            <w:tcW w:w="2881" w:type="dxa"/>
          </w:tcPr>
          <w:p w14:paraId="0AF2BC71" w14:textId="77777777" w:rsidR="00A13D4F" w:rsidRDefault="00583126">
            <w:pPr>
              <w:spacing w:line="276" w:lineRule="auto"/>
            </w:pPr>
            <w:r>
              <w:t>High</w:t>
            </w:r>
          </w:p>
        </w:tc>
        <w:tc>
          <w:tcPr>
            <w:tcW w:w="5754" w:type="dxa"/>
          </w:tcPr>
          <w:p w14:paraId="1D33EE4E" w14:textId="77777777" w:rsidR="00A13D4F" w:rsidRDefault="00583126">
            <w:pPr>
              <w:spacing w:line="276" w:lineRule="auto"/>
            </w:pPr>
            <w:r>
              <w:t>30 Days</w:t>
            </w:r>
          </w:p>
        </w:tc>
      </w:tr>
      <w:tr w:rsidR="00A13D4F" w14:paraId="0535958D" w14:textId="77777777">
        <w:tc>
          <w:tcPr>
            <w:tcW w:w="2881" w:type="dxa"/>
          </w:tcPr>
          <w:p w14:paraId="699A4232" w14:textId="77777777" w:rsidR="00A13D4F" w:rsidRDefault="00583126">
            <w:pPr>
              <w:spacing w:line="276" w:lineRule="auto"/>
            </w:pPr>
            <w:r>
              <w:t>Moderate or Medium</w:t>
            </w:r>
          </w:p>
        </w:tc>
        <w:tc>
          <w:tcPr>
            <w:tcW w:w="5754" w:type="dxa"/>
          </w:tcPr>
          <w:p w14:paraId="5DEA6BC7" w14:textId="77777777" w:rsidR="00A13D4F" w:rsidRDefault="00583126">
            <w:pPr>
              <w:spacing w:line="276" w:lineRule="auto"/>
            </w:pPr>
            <w:r>
              <w:t>60 Days</w:t>
            </w:r>
          </w:p>
        </w:tc>
      </w:tr>
      <w:tr w:rsidR="00A13D4F" w14:paraId="54610F73" w14:textId="77777777">
        <w:tc>
          <w:tcPr>
            <w:tcW w:w="2881" w:type="dxa"/>
          </w:tcPr>
          <w:p w14:paraId="73B6F70B" w14:textId="77777777" w:rsidR="00A13D4F" w:rsidRDefault="00583126">
            <w:pPr>
              <w:spacing w:line="276" w:lineRule="auto"/>
            </w:pPr>
            <w:r>
              <w:t>Low</w:t>
            </w:r>
          </w:p>
        </w:tc>
        <w:tc>
          <w:tcPr>
            <w:tcW w:w="5754" w:type="dxa"/>
          </w:tcPr>
          <w:p w14:paraId="4D30635F" w14:textId="77777777" w:rsidR="00A13D4F" w:rsidRDefault="00583126">
            <w:pPr>
              <w:spacing w:line="276" w:lineRule="auto"/>
            </w:pPr>
            <w:r>
              <w:t>90 Days</w:t>
            </w:r>
          </w:p>
        </w:tc>
      </w:tr>
    </w:tbl>
    <w:p w14:paraId="2A9A83BF" w14:textId="77777777" w:rsidR="00A13D4F" w:rsidRDefault="00A13D4F">
      <w:pPr>
        <w:spacing w:line="276" w:lineRule="auto"/>
      </w:pPr>
    </w:p>
    <w:p w14:paraId="04BD0F7B" w14:textId="77777777" w:rsidR="00A13D4F" w:rsidRDefault="00583126">
      <w:pPr>
        <w:pStyle w:val="Heading2"/>
      </w:pPr>
      <w:r>
        <w:t>Appendices</w:t>
      </w:r>
    </w:p>
    <w:p w14:paraId="64079409" w14:textId="77777777" w:rsidR="00A13D4F" w:rsidRDefault="00583126">
      <w:pPr>
        <w:pStyle w:val="Heading3"/>
      </w:pPr>
      <w:r>
        <w:t>Document Management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A13D4F" w14:paraId="16CB3C5E" w14:textId="77777777">
        <w:tc>
          <w:tcPr>
            <w:tcW w:w="2337" w:type="dxa"/>
          </w:tcPr>
          <w:p w14:paraId="11C6F982" w14:textId="77777777" w:rsidR="00A13D4F" w:rsidRDefault="00583126">
            <w:r>
              <w:t>Author</w:t>
            </w:r>
          </w:p>
        </w:tc>
        <w:tc>
          <w:tcPr>
            <w:tcW w:w="2337" w:type="dxa"/>
          </w:tcPr>
          <w:p w14:paraId="195EBAB5" w14:textId="2490DD47" w:rsidR="00A13D4F" w:rsidRDefault="00583126">
            <w:r>
              <w:t>Syltor Consulting</w:t>
            </w:r>
          </w:p>
        </w:tc>
        <w:tc>
          <w:tcPr>
            <w:tcW w:w="2338" w:type="dxa"/>
          </w:tcPr>
          <w:p w14:paraId="622D7A5C" w14:textId="77777777" w:rsidR="00A13D4F" w:rsidRDefault="00583126">
            <w:r>
              <w:t>Version</w:t>
            </w:r>
          </w:p>
        </w:tc>
        <w:tc>
          <w:tcPr>
            <w:tcW w:w="2338" w:type="dxa"/>
          </w:tcPr>
          <w:p w14:paraId="05BBF5A4" w14:textId="77777777" w:rsidR="00A13D4F" w:rsidRDefault="00583126">
            <w:r>
              <w:t>1.0</w:t>
            </w:r>
          </w:p>
        </w:tc>
      </w:tr>
      <w:tr w:rsidR="00A13D4F" w14:paraId="29AB2C90" w14:textId="77777777">
        <w:tc>
          <w:tcPr>
            <w:tcW w:w="2337" w:type="dxa"/>
          </w:tcPr>
          <w:p w14:paraId="0DD7A6F0" w14:textId="77777777" w:rsidR="00A13D4F" w:rsidRDefault="00583126">
            <w:r>
              <w:t>Date Modified</w:t>
            </w:r>
          </w:p>
        </w:tc>
        <w:tc>
          <w:tcPr>
            <w:tcW w:w="2337" w:type="dxa"/>
          </w:tcPr>
          <w:p w14:paraId="252BEEED" w14:textId="4F0E4D26" w:rsidR="00A13D4F" w:rsidRDefault="00583126">
            <w:r>
              <w:t>30 May 2019</w:t>
            </w:r>
          </w:p>
        </w:tc>
        <w:tc>
          <w:tcPr>
            <w:tcW w:w="2338" w:type="dxa"/>
          </w:tcPr>
          <w:p w14:paraId="2179B43F" w14:textId="77777777" w:rsidR="00A13D4F" w:rsidRDefault="00583126">
            <w:r>
              <w:t>Approver</w:t>
            </w:r>
          </w:p>
        </w:tc>
        <w:tc>
          <w:tcPr>
            <w:tcW w:w="2338" w:type="dxa"/>
          </w:tcPr>
          <w:p w14:paraId="55048690" w14:textId="72B296C6" w:rsidR="00A13D4F" w:rsidRDefault="00A13D4F"/>
        </w:tc>
      </w:tr>
      <w:tr w:rsidR="00A13D4F" w14:paraId="1271C57F" w14:textId="77777777">
        <w:tc>
          <w:tcPr>
            <w:tcW w:w="2337" w:type="dxa"/>
          </w:tcPr>
          <w:p w14:paraId="26D95985" w14:textId="77777777" w:rsidR="00A13D4F" w:rsidRDefault="00583126">
            <w:r>
              <w:t>Last Reviewed</w:t>
            </w:r>
          </w:p>
        </w:tc>
        <w:tc>
          <w:tcPr>
            <w:tcW w:w="2337" w:type="dxa"/>
          </w:tcPr>
          <w:p w14:paraId="7B4C088C" w14:textId="484F2051" w:rsidR="00A13D4F" w:rsidRDefault="00A13D4F"/>
        </w:tc>
        <w:tc>
          <w:tcPr>
            <w:tcW w:w="2338" w:type="dxa"/>
          </w:tcPr>
          <w:p w14:paraId="2EF0DCC5" w14:textId="77777777" w:rsidR="00A13D4F" w:rsidRDefault="00583126">
            <w:r>
              <w:t>Reviewer(s)</w:t>
            </w:r>
          </w:p>
        </w:tc>
        <w:tc>
          <w:tcPr>
            <w:tcW w:w="2338" w:type="dxa"/>
          </w:tcPr>
          <w:p w14:paraId="6952396C" w14:textId="1E979CF8" w:rsidR="00A13D4F" w:rsidRDefault="00A13D4F"/>
        </w:tc>
      </w:tr>
      <w:tr w:rsidR="00A13D4F" w14:paraId="7BB4C054" w14:textId="77777777">
        <w:tc>
          <w:tcPr>
            <w:tcW w:w="2337" w:type="dxa"/>
          </w:tcPr>
          <w:p w14:paraId="31B243C6" w14:textId="77777777" w:rsidR="00A13D4F" w:rsidRDefault="00583126">
            <w:r>
              <w:t>Review Cycle</w:t>
            </w:r>
          </w:p>
        </w:tc>
        <w:tc>
          <w:tcPr>
            <w:tcW w:w="2337" w:type="dxa"/>
          </w:tcPr>
          <w:p w14:paraId="1EDEC3F8" w14:textId="77777777" w:rsidR="00A13D4F" w:rsidRDefault="00583126">
            <w:r>
              <w:t>Annual</w:t>
            </w:r>
          </w:p>
        </w:tc>
        <w:tc>
          <w:tcPr>
            <w:tcW w:w="2338" w:type="dxa"/>
          </w:tcPr>
          <w:p w14:paraId="6310CE0B" w14:textId="77777777" w:rsidR="00A13D4F" w:rsidRDefault="00583126">
            <w:r>
              <w:t>Next Review Date</w:t>
            </w:r>
          </w:p>
        </w:tc>
        <w:tc>
          <w:tcPr>
            <w:tcW w:w="2338" w:type="dxa"/>
          </w:tcPr>
          <w:p w14:paraId="16BD6ABE" w14:textId="396D8BE5" w:rsidR="00A13D4F" w:rsidRDefault="00A13D4F">
            <w:bookmarkStart w:id="5" w:name="_GoBack"/>
            <w:bookmarkEnd w:id="5"/>
          </w:p>
        </w:tc>
      </w:tr>
    </w:tbl>
    <w:p w14:paraId="60435764" w14:textId="77777777" w:rsidR="00A13D4F" w:rsidRDefault="00A13D4F"/>
    <w:sectPr w:rsidR="00A13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45B87"/>
    <w:multiLevelType w:val="multilevel"/>
    <w:tmpl w:val="43F0B65A"/>
    <w:lvl w:ilvl="0">
      <w:start w:val="1"/>
      <w:numFmt w:val="decimal"/>
      <w:lvlText w:val="SI-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SI-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SI-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SI-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SI-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SI-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SI-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SI-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SI-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4F"/>
    <w:rsid w:val="00583126"/>
    <w:rsid w:val="00A1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B345C"/>
  <w15:docId w15:val="{369013B9-35DC-E74B-88EF-ACA0FD03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color w:val="1F38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Lamphere</cp:lastModifiedBy>
  <cp:revision>2</cp:revision>
  <dcterms:created xsi:type="dcterms:W3CDTF">2019-05-31T01:02:00Z</dcterms:created>
  <dcterms:modified xsi:type="dcterms:W3CDTF">2019-05-31T01:02:00Z</dcterms:modified>
</cp:coreProperties>
</file>