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80"/>
        <w:jc w:val="center"/>
      </w:pPr>
      <w:r>
        <w:rPr>
          <w:b/>
          <w:bCs/>
          <w:color w:val="0074C7"/>
          <w:sz w:val="28"/>
          <w:szCs w:val="28"/>
        </w:rPr>
        <w:t xml:space="preserve">Centre Européen de Formation</w:t>
      </w:r>
    </w:p>
    <w:p>
      <w:pPr>
        <w:spacing w:after="120"/>
        <w:jc w:val="center"/>
      </w:pPr>
      <w:r>
        <w:rPr>
          <w:color w:val="384050"/>
          <w:sz w:val="24"/>
          <w:szCs w:val="24"/>
        </w:rPr>
        <w:t xml:space="preserve">Formation Développeur Web</w:t>
      </w:r>
    </w:p>
    <w:p>
      <w:pPr>
        <w:spacing w:after="1200"/>
        <w:jc w:val="center"/>
      </w:pPr>
      <w:r>
        <w:rPr>
          <w:i/>
          <w:iCs/>
          <w:sz w:val="22"/>
          <w:szCs w:val="22"/>
        </w:rPr>
        <w:t xml:space="preserve">Devoir bilan — Module : Publier son application Web</w:t>
      </w:r>
    </w:p>
    <w:p>
      <w:pPr>
        <w:spacing w:after="240"/>
        <w:jc w:val="center"/>
      </w:pPr>
      <w:r>
        <w:rPr>
          <w:b/>
          <w:bCs/>
          <w:color w:val="384050"/>
          <w:sz w:val="64"/>
          <w:szCs w:val="64"/>
        </w:rPr>
        <w:t xml:space="preserve">Trouve ton artisan</w:t>
      </w:r>
    </w:p>
    <w:p>
      <w:pPr>
        <w:spacing w:after="1800"/>
        <w:jc w:val="center"/>
      </w:pPr>
      <w:r>
        <w:rPr>
          <w:color w:val="0074C7"/>
          <w:sz w:val="28"/>
          <w:szCs w:val="28"/>
        </w:rPr>
        <w:t xml:space="preserve">Plateforme web pour la région Auvergne-Rhône-Alpes</w:t>
      </w:r>
    </w:p>
    <w:p>
      <w:pPr>
        <w:spacing w:after="60"/>
        <w:jc w:val="center"/>
      </w:pPr>
      <w:r>
        <w:rPr>
          <w:b/>
          <w:bCs/>
        </w:rPr>
        <w:t xml:space="preserve">Auteur : </w:t>
      </w:r>
      <w:r>
        <w:t xml:space="preserve">Sylvain Labeye</w:t>
      </w:r>
    </w:p>
    <w:p>
      <w:pPr>
        <w:spacing w:after="60"/>
        <w:jc w:val="center"/>
      </w:pPr>
      <w:r>
        <w:rPr>
          <w:b/>
          <w:bCs/>
        </w:rPr>
        <w:t xml:space="preserve">Date de rendu : </w:t>
      </w:r>
      <w:r>
        <w:t xml:space="preserve">16/05/2026</w:t>
      </w:r>
    </w:p>
    <w:p>
      <w:pPr>
        <w:spacing w:after="60"/>
        <w:jc w:val="center"/>
      </w:pPr>
      <w:r>
        <w:rPr>
          <w:b/>
          <w:bCs/>
        </w:rPr>
        <w:t xml:space="preserve">Identifiant CEF : </w:t>
      </w:r>
      <w:r>
        <w:t xml:space="preserve">F516414B</w:t>
      </w:r>
    </w:p>
    <w:p>
      <w:r>
        <w:br w:type="page"/>
      </w:r>
    </w:p>
    <w:p>
      <w:pPr>
        <w:pStyle w:val="Heading1"/>
        <w:spacing w:before="360" w:after="180"/>
      </w:pPr>
      <w:r>
        <w:rPr>
          <w:b/>
          <w:bCs/>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b/>
          <w:bCs/>
        </w:rPr>
        <w:t xml:space="preserve">1. Contexte du projet</w:t>
      </w:r>
    </w:p>
    <w:p>
      <w:pPr>
        <w:pStyle w:val="Heading2"/>
        <w:spacing w:before="240" w:after="120"/>
      </w:pPr>
      <w:r>
        <w:rPr>
          <w:b/>
          <w:bCs/>
        </w:rPr>
        <w:t xml:space="preserve">1.1 Présentation de l'entreprise</w:t>
      </w:r>
    </w:p>
    <w:p>
      <w:pPr>
        <w:spacing w:after="120"/>
        <w:jc w:val="both"/>
      </w:pPr>
      <w:r>
        <w:t xml:space="preserve">La région Auvergne-Rhône-Alpes couvre 12 départements du quart sud-est de la France. Elle dispose de bureaux à Lyon et à Clermont-Ferrand. Près d’un tiers des entreprises de la région sont des entreprises artisanales : 221 000 entreprises en 2021, ce qui en fait l’une des régions les plus artisanales de France.</w:t>
      </w:r>
    </w:p>
    <w:p>
      <w:pPr>
        <w:spacing w:after="120"/>
        <w:jc w:val="both"/>
      </w:pPr>
      <w:r>
        <w:t xml:space="preserve">Pour entretenir cet engouement, la région souhaite créer une plateforme web mettant directement en relation les particuliers et les artisans locaux. L’interlocuteur du projet se trouve dans les bureaux de Lyon.</w:t>
      </w:r>
    </w:p>
    <w:p>
      <w:pPr>
        <w:pStyle w:val="Heading2"/>
        <w:spacing w:before="240" w:after="120"/>
      </w:pPr>
      <w:r>
        <w:rPr>
          <w:b/>
          <w:bCs/>
        </w:rPr>
        <w:t xml:space="preserve">1.2 Expression des besoins</w:t>
      </w:r>
    </w:p>
    <w:p>
      <w:pPr>
        <w:spacing w:after="120"/>
        <w:jc w:val="both"/>
      </w:pPr>
      <w:r>
        <w:t xml:space="preserve">La plateforme doit permettre :</w:t>
      </w:r>
    </w:p>
    <w:p>
      <w:pPr>
        <w:pStyle w:val="ListParagraph"/>
        <w:numPr>
          <w:ilvl w:val="0"/>
          <w:numId w:val="2"/>
        </w:numPr>
        <w:spacing w:after="80"/>
      </w:pPr>
      <w:r>
        <w:t xml:space="preserve">À un particulier de trouver un artisan par catégorie ou par nom.</w:t>
      </w:r>
    </w:p>
    <w:p>
      <w:pPr>
        <w:pStyle w:val="ListParagraph"/>
        <w:numPr>
          <w:ilvl w:val="0"/>
          <w:numId w:val="2"/>
        </w:numPr>
        <w:spacing w:after="80"/>
      </w:pPr>
      <w:r>
        <w:t xml:space="preserve">De consulter la fiche détaillée d’un artisan (note, spécialité, localisation, à propos, site web).</w:t>
      </w:r>
    </w:p>
    <w:p>
      <w:pPr>
        <w:pStyle w:val="ListParagraph"/>
        <w:numPr>
          <w:ilvl w:val="0"/>
          <w:numId w:val="2"/>
        </w:numPr>
        <w:spacing w:after="80"/>
      </w:pPr>
      <w:r>
        <w:t xml:space="preserve">De contacter directement un artisan via un formulaire de contact (réponse sous 48 h).</w:t>
      </w:r>
    </w:p>
    <w:p>
      <w:pPr>
        <w:pStyle w:val="ListParagraph"/>
        <w:numPr>
          <w:ilvl w:val="0"/>
          <w:numId w:val="2"/>
        </w:numPr>
        <w:spacing w:after="80"/>
      </w:pPr>
      <w:r>
        <w:t xml:space="preserve">De mettre en avant trois « artisans du mois » sur la page d’accueil.</w:t>
      </w:r>
    </w:p>
    <w:p>
      <w:pPr>
        <w:pStyle w:val="Heading2"/>
        <w:spacing w:before="240" w:after="120"/>
      </w:pPr>
      <w:r>
        <w:rPr>
          <w:b/>
          <w:bCs/>
        </w:rPr>
        <w:t xml:space="preserve">1.3 Contraintes</w:t>
      </w:r>
    </w:p>
    <w:p>
      <w:pPr>
        <w:pStyle w:val="ListParagraph"/>
        <w:numPr>
          <w:ilvl w:val="0"/>
          <w:numId w:val="2"/>
        </w:numPr>
        <w:spacing w:after="80"/>
      </w:pPr>
      <w:r>
        <w:t xml:space="preserve">Site accessible à tous (jeunes, personnes âgées, personnes en situation de handicap) : norme WCAG 2.1.</w:t>
      </w:r>
    </w:p>
    <w:p>
      <w:pPr>
        <w:pStyle w:val="ListParagraph"/>
        <w:numPr>
          <w:ilvl w:val="0"/>
          <w:numId w:val="2"/>
        </w:numPr>
        <w:spacing w:after="80"/>
      </w:pPr>
      <w:r>
        <w:t xml:space="preserve">Conception mobile-first, fonctionnement optimal sur mobile, tablette et ordinateur.</w:t>
      </w:r>
    </w:p>
    <w:p>
      <w:pPr>
        <w:pStyle w:val="ListParagraph"/>
        <w:numPr>
          <w:ilvl w:val="0"/>
          <w:numId w:val="2"/>
        </w:numPr>
        <w:spacing w:after="80"/>
      </w:pPr>
      <w:r>
        <w:t xml:space="preserve">Sécurité renforcée (collectivité publique).</w:t>
      </w:r>
    </w:p>
    <w:p>
      <w:pPr>
        <w:pStyle w:val="ListParagraph"/>
        <w:numPr>
          <w:ilvl w:val="0"/>
          <w:numId w:val="2"/>
        </w:numPr>
        <w:spacing w:after="80"/>
      </w:pPr>
      <w:r>
        <w:t xml:space="preserve">Cohérence visuelle avec le site de la région Auvergne-Rhône-Alpes.</w:t>
      </w:r>
    </w:p>
    <w:p>
      <w:pPr>
        <w:pStyle w:val="ListParagraph"/>
        <w:numPr>
          <w:ilvl w:val="0"/>
          <w:numId w:val="2"/>
        </w:numPr>
        <w:spacing w:after="80"/>
      </w:pPr>
      <w:r>
        <w:t xml:space="preserve">Stack imposée : React.js + Bootstrap + Sass (front), Node.js + Express + Sequelize + MySQL/MariaDB (back).</w:t>
      </w:r>
    </w:p>
    <w:p>
      <w:pPr>
        <w:pStyle w:val="ListParagraph"/>
        <w:numPr>
          <w:ilvl w:val="0"/>
          <w:numId w:val="2"/>
        </w:numPr>
        <w:spacing w:after="80"/>
      </w:pPr>
      <w:r>
        <w:t xml:space="preserve">Versioning sur GitHub, dépôt public.</w:t>
      </w:r>
    </w:p>
    <w:p>
      <w:pPr>
        <w:pStyle w:val="ListParagraph"/>
        <w:numPr>
          <w:ilvl w:val="0"/>
          <w:numId w:val="2"/>
        </w:numPr>
        <w:spacing w:after="80"/>
      </w:pPr>
      <w:r>
        <w:t xml:space="preserve">Accès à l’API restreint à l’application.</w:t>
      </w:r>
    </w:p>
    <w:p>
      <w:pPr>
        <w:pStyle w:val="Heading2"/>
        <w:spacing w:before="240" w:after="120"/>
      </w:pPr>
      <w:r>
        <w:rPr>
          <w:b/>
          <w:bCs/>
        </w:rPr>
        <w:t xml:space="preserve">1.4 Livrables attendus</w:t>
      </w:r>
    </w:p>
    <w:p>
      <w:pPr>
        <w:pStyle w:val="ListParagraph"/>
        <w:numPr>
          <w:ilvl w:val="0"/>
          <w:numId w:val="2"/>
        </w:numPr>
        <w:spacing w:after="80"/>
      </w:pPr>
      <w:r>
        <w:t xml:space="preserve">Dossier PDF (ce document) : contexte, maquettes, BDD, sécurité, veille, liens.</w:t>
      </w:r>
    </w:p>
    <w:p>
      <w:pPr>
        <w:pStyle w:val="ListParagraph"/>
        <w:numPr>
          <w:ilvl w:val="0"/>
          <w:numId w:val="2"/>
        </w:numPr>
        <w:spacing w:after="80"/>
      </w:pPr>
      <w:r>
        <w:t xml:space="preserve">Maquettes Figma pour mobile, tablette et ordinateur.</w:t>
      </w:r>
    </w:p>
    <w:p>
      <w:pPr>
        <w:pStyle w:val="ListParagraph"/>
        <w:numPr>
          <w:ilvl w:val="0"/>
          <w:numId w:val="2"/>
        </w:numPr>
        <w:spacing w:after="80"/>
      </w:pPr>
      <w:r>
        <w:t xml:space="preserve">Lien vers le dépôt GitHub public contenant code + scripts SQL.</w:t>
      </w:r>
    </w:p>
    <w:p>
      <w:pPr>
        <w:pStyle w:val="ListParagraph"/>
        <w:numPr>
          <w:ilvl w:val="0"/>
          <w:numId w:val="2"/>
        </w:numPr>
        <w:spacing w:after="80"/>
      </w:pPr>
      <w:r>
        <w:t xml:space="preserve">Lien vers le site déployé en ligne.</w:t>
      </w:r>
    </w:p>
    <w:p>
      <w:pPr>
        <w:pStyle w:val="ListParagraph"/>
        <w:numPr>
          <w:ilvl w:val="0"/>
          <w:numId w:val="2"/>
        </w:numPr>
        <w:spacing w:after="80"/>
      </w:pPr>
      <w:r>
        <w:t xml:space="preserve">Fichier README.md à la racine du dépôt.</w:t>
      </w:r>
    </w:p>
    <w:p>
      <w:r>
        <w:br w:type="page"/>
      </w:r>
    </w:p>
    <w:p>
      <w:pPr>
        <w:pStyle w:val="Heading1"/>
        <w:spacing w:before="360" w:after="180"/>
      </w:pPr>
      <w:r>
        <w:rPr>
          <w:b/>
          <w:bCs/>
        </w:rPr>
        <w:t xml:space="preserve">2. Maquettes Figma</w:t>
      </w:r>
    </w:p>
    <w:p>
      <w:pPr>
        <w:spacing w:after="120"/>
        <w:jc w:val="both"/>
      </w:pPr>
      <w:r>
        <w:t xml:space="preserve">Les maquettes ont été réalisées sous Figma, en mobile-first, pour les trois résolutions demandées : mobile (375 px), tablette (768 px) et ordinateur (1280 px). La palette de couleurs et la typographie respectent strictement la charte fournie dans le brief.</w:t>
      </w:r>
    </w:p>
    <w:p>
      <w:pPr>
        <w:pStyle w:val="Heading2"/>
        <w:spacing w:before="240" w:after="120"/>
      </w:pPr>
      <w:r>
        <w:rPr>
          <w:b/>
          <w:bCs/>
        </w:rPr>
        <w:t xml:space="preserve">2.1 Charte 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Rôle</w:t>
            </w:r>
          </w:p>
        </w:tc>
        <w:tc>
          <w:tcPr>
            <w:tcW w:type="dxa" w:w="220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Couleur</w:t>
            </w:r>
          </w:p>
        </w:tc>
        <w:tc>
          <w:tcPr>
            <w:tcW w:type="dxa" w:w="240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Hex</w:t>
            </w:r>
          </w:p>
        </w:tc>
        <w:tc>
          <w:tcPr>
            <w:tcW w:type="dxa" w:w="256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Usage principal</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Fond clair</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#f1f8fc</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#f1f8fc</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Sections secondaires, hovers</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Bleu primaire</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#0074c7</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#0074c7</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Boutons, liens, accents</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Bleu foncé</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#00497c</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#00497c</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Hovers et accents forts</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Gris bleuté</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#384050</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#384050</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Texte principal, footer</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Rouge</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#cd2c2e</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#cd2c2e</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Erreurs, alertes</w:t>
            </w:r>
          </w:p>
        </w:tc>
      </w:tr>
      <w:tr>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Vert</w:t>
            </w:r>
          </w:p>
        </w:tc>
        <w:tc>
          <w:tcPr>
            <w:tcW w:type="dxa" w:w="22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#82b864</w:t>
            </w:r>
          </w:p>
        </w:tc>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#82b864</w:t>
            </w:r>
          </w:p>
        </w:tc>
        <w:tc>
          <w:tcPr>
            <w:tcW w:type="dxa" w:w="25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Succès, validations</w:t>
            </w:r>
          </w:p>
        </w:tc>
      </w:tr>
    </w:tbl>
    <w:p>
      <w:pPr>
        <w:spacing w:after="120"/>
        <w:jc w:val="both"/>
      </w:pPr>
      <w:r>
        <w:rPr>
          <w:i/>
          <w:iCs/>
        </w:rPr>
        <w:t xml:space="preserve">Police : Graphik (fallback Helvetica Neue / Arial).</w:t>
      </w:r>
    </w:p>
    <w:p>
      <w:pPr>
        <w:spacing w:after="120"/>
        <w:jc w:val="both"/>
      </w:pPr>
      <w:r>
        <w:t xml:space="preserve">Graphik étant une police payante, Inter a été utilisée pour les maquettes Figma. Le CSS du site bascule automatiquement sur Graphik dès que les fichiers de police seront fournis.</w:t>
      </w:r>
    </w:p>
    <w:p>
      <w:pPr>
        <w:pStyle w:val="Heading2"/>
        <w:spacing w:before="240" w:after="120"/>
      </w:pPr>
      <w:r>
        <w:rPr>
          <w:b/>
          <w:bCs/>
        </w:rPr>
        <w:t xml:space="preserve">2.2 Lien Figma</w:t>
      </w:r>
    </w:p>
    <w:p>
      <w:pPr>
        <w:spacing w:after="120"/>
      </w:pPr>
      <w:r>
        <w:t xml:space="preserve">Maquettes complètes (consultation publique) : </w:t>
      </w:r>
      <w:hyperlink w:history="1" r:id="rIdxyv--7ytrmbn3xf9kkemi">
        <w:r>
          <w:rPr>
            <w:rStyle w:val="Hyperlink"/>
          </w:rPr>
          <w:t xml:space="preserve">Ouvrir le fichier Figma</w:t>
        </w:r>
      </w:hyperlink>
    </w:p>
    <w:p>
      <w:pPr>
        <w:pStyle w:val="Heading2"/>
        <w:spacing w:before="240" w:after="120"/>
      </w:pPr>
      <w:r>
        <w:rPr>
          <w:b/>
          <w:bCs/>
        </w:rPr>
        <w:t xml:space="preserve">2.3 Captures d’écran</w:t>
      </w:r>
    </w:p>
    <w:p>
      <w:pPr>
        <w:pStyle w:val="Heading3"/>
        <w:spacing w:before="200" w:after="100"/>
      </w:pPr>
      <w:r>
        <w:rPr>
          <w:b/>
          <w:bCs/>
        </w:rPr>
        <w:t xml:space="preserve">2.3.1 Charte graphique</w:t>
      </w:r>
    </w:p>
    <w:p>
      <w:pPr>
        <w:spacing w:before="100" w:after="60"/>
        <w:jc w:val="center"/>
      </w:pPr>
      <w:r>
        <w:drawing>
          <wp:inline distT="0" distB="0" distL="0" distR="0">
            <wp:extent cx="5143500" cy="3619500"/>
            <wp:effectExtent t="0" r="0" b="0" l="0"/>
            <wp:docPr id="1" name="charte-graphique.png" descr="Charte graphique — logo, favicon, palette, typographie" title="Charte graphique — logo, favicon, palette, typograph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619500"/>
                    </a:xfrm>
                    <a:prstGeom prst="rect">
                      <a:avLst/>
                    </a:prstGeom>
                  </pic:spPr>
                </pic:pic>
              </a:graphicData>
            </a:graphic>
          </wp:inline>
        </w:drawing>
      </w:r>
    </w:p>
    <w:p>
      <w:pPr>
        <w:spacing w:after="180"/>
        <w:jc w:val="center"/>
      </w:pPr>
      <w:r>
        <w:rPr>
          <w:i/>
          <w:iCs/>
          <w:color w:val="384050"/>
          <w:sz w:val="18"/>
          <w:szCs w:val="18"/>
        </w:rPr>
        <w:t xml:space="preserve">Charte graphique — logo, favicon, palette, typographie</w:t>
      </w:r>
    </w:p>
    <w:p>
      <w:pPr>
        <w:pStyle w:val="Heading3"/>
        <w:spacing w:before="200" w:after="100"/>
      </w:pPr>
      <w:r>
        <w:rPr>
          <w:b/>
          <w:bCs/>
        </w:rPr>
        <w:t xml:space="preserve">2.3.2 Accueil</w:t>
      </w:r>
    </w:p>
    <w:p>
      <w:pPr>
        <w:spacing w:before="100" w:after="60"/>
        <w:jc w:val="center"/>
      </w:pPr>
      <w:r>
        <w:drawing>
          <wp:inline distT="0" distB="0" distL="0" distR="0">
            <wp:extent cx="1095375" cy="5715000"/>
            <wp:effectExtent t="0" r="0" b="0" l="0"/>
            <wp:docPr id="1" name="accueil-mobile.png" descr="Accueil — Mobile (375 px)" title="Accueil — Mobile (375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5375" cy="5715000"/>
                    </a:xfrm>
                    <a:prstGeom prst="rect">
                      <a:avLst/>
                    </a:prstGeom>
                  </pic:spPr>
                </pic:pic>
              </a:graphicData>
            </a:graphic>
          </wp:inline>
        </w:drawing>
      </w:r>
    </w:p>
    <w:p>
      <w:pPr>
        <w:spacing w:after="180"/>
        <w:jc w:val="center"/>
      </w:pPr>
      <w:r>
        <w:rPr>
          <w:i/>
          <w:iCs/>
          <w:color w:val="384050"/>
          <w:sz w:val="18"/>
          <w:szCs w:val="18"/>
        </w:rPr>
        <w:t xml:space="preserve">Accueil — Mobile (375 px)</w:t>
      </w:r>
    </w:p>
    <w:p>
      <w:pPr>
        <w:spacing w:before="100" w:after="60"/>
        <w:jc w:val="center"/>
      </w:pPr>
      <w:r>
        <w:drawing>
          <wp:inline distT="0" distB="0" distL="0" distR="0">
            <wp:extent cx="2533650" cy="5715000"/>
            <wp:effectExtent t="0" r="0" b="0" l="0"/>
            <wp:docPr id="1" name="accueil-tablette.png" descr="Accueil — Tablette (768 px)" title="Accueil — Tablette (768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33650" cy="5715000"/>
                    </a:xfrm>
                    <a:prstGeom prst="rect">
                      <a:avLst/>
                    </a:prstGeom>
                  </pic:spPr>
                </pic:pic>
              </a:graphicData>
            </a:graphic>
          </wp:inline>
        </w:drawing>
      </w:r>
    </w:p>
    <w:p>
      <w:pPr>
        <w:spacing w:after="180"/>
        <w:jc w:val="center"/>
      </w:pPr>
      <w:r>
        <w:rPr>
          <w:i/>
          <w:iCs/>
          <w:color w:val="384050"/>
          <w:sz w:val="18"/>
          <w:szCs w:val="18"/>
        </w:rPr>
        <w:t xml:space="preserve">Accueil — Tablette (768 px)</w:t>
      </w:r>
    </w:p>
    <w:p>
      <w:pPr>
        <w:spacing w:before="100" w:after="60"/>
        <w:jc w:val="center"/>
      </w:pPr>
      <w:r>
        <w:drawing>
          <wp:inline distT="0" distB="0" distL="0" distR="0">
            <wp:extent cx="5143500" cy="5629275"/>
            <wp:effectExtent t="0" r="0" b="0" l="0"/>
            <wp:docPr id="1" name="accueil-desktop.png" descr="Accueil — Desktop (1280 px)" title="Accueil — Desktop (128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5629275"/>
                    </a:xfrm>
                    <a:prstGeom prst="rect">
                      <a:avLst/>
                    </a:prstGeom>
                  </pic:spPr>
                </pic:pic>
              </a:graphicData>
            </a:graphic>
          </wp:inline>
        </w:drawing>
      </w:r>
    </w:p>
    <w:p>
      <w:pPr>
        <w:spacing w:after="180"/>
        <w:jc w:val="center"/>
      </w:pPr>
      <w:r>
        <w:rPr>
          <w:i/>
          <w:iCs/>
          <w:color w:val="384050"/>
          <w:sz w:val="18"/>
          <w:szCs w:val="18"/>
        </w:rPr>
        <w:t xml:space="preserve">Accueil — Desktop (1280 px)</w:t>
      </w:r>
    </w:p>
    <w:p>
      <w:pPr>
        <w:pStyle w:val="Heading3"/>
        <w:spacing w:before="200" w:after="100"/>
      </w:pPr>
      <w:r>
        <w:rPr>
          <w:b/>
          <w:bCs/>
        </w:rPr>
        <w:t xml:space="preserve">2.3.3 Liste des artisans</w:t>
      </w:r>
    </w:p>
    <w:p>
      <w:pPr>
        <w:spacing w:before="100" w:after="60"/>
        <w:jc w:val="center"/>
      </w:pPr>
      <w:r>
        <w:drawing>
          <wp:inline distT="0" distB="0" distL="0" distR="0">
            <wp:extent cx="1276350" cy="5715000"/>
            <wp:effectExtent t="0" r="0" b="0" l="0"/>
            <wp:docPr id="1" name="liste-mobile.png" descr="Liste — catégorie Bâtiment — Mobile (375 px)" title="Liste — catégorie Bâtiment — Mobile (375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76350" cy="5715000"/>
                    </a:xfrm>
                    <a:prstGeom prst="rect">
                      <a:avLst/>
                    </a:prstGeom>
                  </pic:spPr>
                </pic:pic>
              </a:graphicData>
            </a:graphic>
          </wp:inline>
        </w:drawing>
      </w:r>
    </w:p>
    <w:p>
      <w:pPr>
        <w:spacing w:after="180"/>
        <w:jc w:val="center"/>
      </w:pPr>
      <w:r>
        <w:rPr>
          <w:i/>
          <w:iCs/>
          <w:color w:val="384050"/>
          <w:sz w:val="18"/>
          <w:szCs w:val="18"/>
        </w:rPr>
        <w:t xml:space="preserve">Liste — catégorie Bâtiment — Mobile (375 px)</w:t>
      </w:r>
    </w:p>
    <w:p>
      <w:pPr>
        <w:spacing w:before="100" w:after="60"/>
        <w:jc w:val="center"/>
      </w:pPr>
      <w:r>
        <w:drawing>
          <wp:inline distT="0" distB="0" distL="0" distR="0">
            <wp:extent cx="3429000" cy="4705350"/>
            <wp:effectExtent t="0" r="0" b="0" l="0"/>
            <wp:docPr id="1" name="liste-tablette.png" descr="Liste — catégorie Bâtiment — Tablette (768 px)" title="Liste — catégorie Bâtiment — Tablette (768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4705350"/>
                    </a:xfrm>
                    <a:prstGeom prst="rect">
                      <a:avLst/>
                    </a:prstGeom>
                  </pic:spPr>
                </pic:pic>
              </a:graphicData>
            </a:graphic>
          </wp:inline>
        </w:drawing>
      </w:r>
    </w:p>
    <w:p>
      <w:pPr>
        <w:spacing w:after="180"/>
        <w:jc w:val="center"/>
      </w:pPr>
      <w:r>
        <w:rPr>
          <w:i/>
          <w:iCs/>
          <w:color w:val="384050"/>
          <w:sz w:val="18"/>
          <w:szCs w:val="18"/>
        </w:rPr>
        <w:t xml:space="preserve">Liste — catégorie Bâtiment — Tablette (768 px)</w:t>
      </w:r>
    </w:p>
    <w:p>
      <w:pPr>
        <w:spacing w:before="100" w:after="60"/>
        <w:jc w:val="center"/>
      </w:pPr>
      <w:r>
        <w:drawing>
          <wp:inline distT="0" distB="0" distL="0" distR="0">
            <wp:extent cx="5143500" cy="4362450"/>
            <wp:effectExtent t="0" r="0" b="0" l="0"/>
            <wp:docPr id="1" name="liste-desktop.png" descr="Liste — catégorie Bâtiment — Desktop (1280 px)" title="Liste — catégorie Bâtiment — Desktop (128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362450"/>
                    </a:xfrm>
                    <a:prstGeom prst="rect">
                      <a:avLst/>
                    </a:prstGeom>
                  </pic:spPr>
                </pic:pic>
              </a:graphicData>
            </a:graphic>
          </wp:inline>
        </w:drawing>
      </w:r>
    </w:p>
    <w:p>
      <w:pPr>
        <w:spacing w:after="180"/>
        <w:jc w:val="center"/>
      </w:pPr>
      <w:r>
        <w:rPr>
          <w:i/>
          <w:iCs/>
          <w:color w:val="384050"/>
          <w:sz w:val="18"/>
          <w:szCs w:val="18"/>
        </w:rPr>
        <w:t xml:space="preserve">Liste — catégorie Bâtiment — Desktop (1280 px)</w:t>
      </w:r>
    </w:p>
    <w:p>
      <w:pPr>
        <w:pStyle w:val="Heading3"/>
        <w:spacing w:before="200" w:after="100"/>
      </w:pPr>
      <w:r>
        <w:rPr>
          <w:b/>
          <w:bCs/>
        </w:rPr>
        <w:t xml:space="preserve">2.3.4 Fiche artisan + formulaire</w:t>
      </w:r>
    </w:p>
    <w:p>
      <w:pPr>
        <w:spacing w:after="120"/>
        <w:jc w:val="both"/>
      </w:pPr>
      <w:r>
        <w:t xml:space="preserve">La fiche d'Orville Salmons sert d'exemple. La même structure est utilisée pour les 17 artisans, seules les données changent.</w:t>
      </w:r>
    </w:p>
    <w:p>
      <w:pPr>
        <w:spacing w:before="100" w:after="60"/>
        <w:jc w:val="center"/>
      </w:pPr>
      <w:r>
        <w:drawing>
          <wp:inline distT="0" distB="0" distL="0" distR="0">
            <wp:extent cx="1704975" cy="5715000"/>
            <wp:effectExtent t="0" r="0" b="0" l="0"/>
            <wp:docPr id="1" name="fiche-mobile.png" descr="Fiche artisan — Mobile (375 px)" title="Fiche artisan — Mobile (375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04975" cy="5715000"/>
                    </a:xfrm>
                    <a:prstGeom prst="rect">
                      <a:avLst/>
                    </a:prstGeom>
                  </pic:spPr>
                </pic:pic>
              </a:graphicData>
            </a:graphic>
          </wp:inline>
        </w:drawing>
      </w:r>
    </w:p>
    <w:p>
      <w:pPr>
        <w:spacing w:after="180"/>
        <w:jc w:val="center"/>
      </w:pPr>
      <w:r>
        <w:rPr>
          <w:i/>
          <w:iCs/>
          <w:color w:val="384050"/>
          <w:sz w:val="18"/>
          <w:szCs w:val="18"/>
        </w:rPr>
        <w:t xml:space="preserve">Fiche artisan — Mobile (375 px)</w:t>
      </w:r>
    </w:p>
    <w:p>
      <w:pPr>
        <w:spacing w:before="100" w:after="60"/>
        <w:jc w:val="center"/>
      </w:pPr>
      <w:r>
        <w:drawing>
          <wp:inline distT="0" distB="0" distL="0" distR="0">
            <wp:extent cx="3429000" cy="5695950"/>
            <wp:effectExtent t="0" r="0" b="0" l="0"/>
            <wp:docPr id="1" name="fiche-tablette.png" descr="Fiche artisan — Tablette (768 px)" title="Fiche artisan — Tablette (768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5695950"/>
                    </a:xfrm>
                    <a:prstGeom prst="rect">
                      <a:avLst/>
                    </a:prstGeom>
                  </pic:spPr>
                </pic:pic>
              </a:graphicData>
            </a:graphic>
          </wp:inline>
        </w:drawing>
      </w:r>
    </w:p>
    <w:p>
      <w:pPr>
        <w:spacing w:after="180"/>
        <w:jc w:val="center"/>
      </w:pPr>
      <w:r>
        <w:rPr>
          <w:i/>
          <w:iCs/>
          <w:color w:val="384050"/>
          <w:sz w:val="18"/>
          <w:szCs w:val="18"/>
        </w:rPr>
        <w:t xml:space="preserve">Fiche artisan — Tablette (768 px)</w:t>
      </w:r>
    </w:p>
    <w:p>
      <w:pPr>
        <w:spacing w:before="100" w:after="60"/>
        <w:jc w:val="center"/>
      </w:pPr>
      <w:r>
        <w:drawing>
          <wp:inline distT="0" distB="0" distL="0" distR="0">
            <wp:extent cx="5143500" cy="4191000"/>
            <wp:effectExtent t="0" r="0" b="0" l="0"/>
            <wp:docPr id="1" name="fiche-desktop.png" descr="Fiche artisan — Desktop (1280 px)" title="Fiche artisan — Desktop (128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4191000"/>
                    </a:xfrm>
                    <a:prstGeom prst="rect">
                      <a:avLst/>
                    </a:prstGeom>
                  </pic:spPr>
                </pic:pic>
              </a:graphicData>
            </a:graphic>
          </wp:inline>
        </w:drawing>
      </w:r>
    </w:p>
    <w:p>
      <w:pPr>
        <w:spacing w:after="180"/>
        <w:jc w:val="center"/>
      </w:pPr>
      <w:r>
        <w:rPr>
          <w:i/>
          <w:iCs/>
          <w:color w:val="384050"/>
          <w:sz w:val="18"/>
          <w:szCs w:val="18"/>
        </w:rPr>
        <w:t xml:space="preserve">Fiche artisan — Desktop (1280 px)</w:t>
      </w:r>
    </w:p>
    <w:p>
      <w:pPr>
        <w:pStyle w:val="Heading3"/>
        <w:spacing w:before="200" w:after="100"/>
      </w:pPr>
      <w:r>
        <w:rPr>
          <w:b/>
          <w:bCs/>
        </w:rPr>
        <w:t xml:space="preserve">2.3.5 Page 404</w:t>
      </w:r>
    </w:p>
    <w:p>
      <w:pPr>
        <w:spacing w:before="100" w:after="60"/>
        <w:jc w:val="center"/>
      </w:pPr>
      <w:r>
        <w:drawing>
          <wp:inline distT="0" distB="0" distL="0" distR="0">
            <wp:extent cx="1905000" cy="2752725"/>
            <wp:effectExtent t="0" r="0" b="0" l="0"/>
            <wp:docPr id="1" name="404-mobile.png" descr="404 — Mobile (375 px)" title="404 — Mobile (375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2752725"/>
                    </a:xfrm>
                    <a:prstGeom prst="rect">
                      <a:avLst/>
                    </a:prstGeom>
                  </pic:spPr>
                </pic:pic>
              </a:graphicData>
            </a:graphic>
          </wp:inline>
        </w:drawing>
      </w:r>
    </w:p>
    <w:p>
      <w:pPr>
        <w:spacing w:after="180"/>
        <w:jc w:val="center"/>
      </w:pPr>
      <w:r>
        <w:rPr>
          <w:i/>
          <w:iCs/>
          <w:color w:val="384050"/>
          <w:sz w:val="18"/>
          <w:szCs w:val="18"/>
        </w:rPr>
        <w:t xml:space="preserve">404 — Mobile (375 px)</w:t>
      </w:r>
    </w:p>
    <w:p>
      <w:pPr>
        <w:spacing w:before="100" w:after="60"/>
        <w:jc w:val="center"/>
      </w:pPr>
      <w:r>
        <w:drawing>
          <wp:inline distT="0" distB="0" distL="0" distR="0">
            <wp:extent cx="5143500" cy="2705100"/>
            <wp:effectExtent t="0" r="0" b="0" l="0"/>
            <wp:docPr id="1" name="404-desktop.png" descr="404 — Desktop (1280 px)" title="404 — Desktop (128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705100"/>
                    </a:xfrm>
                    <a:prstGeom prst="rect">
                      <a:avLst/>
                    </a:prstGeom>
                  </pic:spPr>
                </pic:pic>
              </a:graphicData>
            </a:graphic>
          </wp:inline>
        </w:drawing>
      </w:r>
    </w:p>
    <w:p>
      <w:pPr>
        <w:spacing w:after="180"/>
        <w:jc w:val="center"/>
      </w:pPr>
      <w:r>
        <w:rPr>
          <w:i/>
          <w:iCs/>
          <w:color w:val="384050"/>
          <w:sz w:val="18"/>
          <w:szCs w:val="18"/>
        </w:rPr>
        <w:t xml:space="preserve">404 — Desktop (1280 px)</w:t>
      </w:r>
    </w:p>
    <w:p>
      <w:pPr>
        <w:pStyle w:val="Heading2"/>
        <w:spacing w:before="240" w:after="120"/>
      </w:pPr>
      <w:r>
        <w:rPr>
          <w:b/>
          <w:bCs/>
        </w:rPr>
        <w:t xml:space="preserve">2.4 Enchaînement des écrans</w:t>
      </w:r>
    </w:p>
    <w:p>
      <w:pPr>
        <w:shd w:fill="F1F8FC" w:val="clear"/>
        <w:spacing w:after="120"/>
      </w:pPr>
      <w:r>
        <w:rPr>
          <w:sz w:val="20"/>
          <w:szCs w:val="20"/>
          <w:rFonts w:ascii="Consolas" w:cs="Consolas" w:eastAsia="Consolas" w:hAnsi="Consolas"/>
        </w:rPr>
        <w:t xml:space="preserve">[Accueil] ─ menu catégorie ────► [Liste filtrée]
          ─ recherche ─────────► [Liste filtrée]
          ─ artisan du mois ────► [Fiche artisan]
                                          │
                                          ▼
                                  [Formulaire] ──► confirmation
[Liste] ─ clic carte ────► [Fiche artisan]
[Toute URL inconnue] ────► [404] ─ retour ─► [Accueil]</w:t>
      </w:r>
    </w:p>
    <w:p>
      <w:r>
        <w:br w:type="page"/>
      </w:r>
    </w:p>
    <w:p>
      <w:pPr>
        <w:pStyle w:val="Heading1"/>
        <w:spacing w:before="360" w:after="180"/>
      </w:pPr>
      <w:r>
        <w:rPr>
          <w:b/>
          <w:bCs/>
        </w:rPr>
        <w:t xml:space="preserve">3. Base de données</w:t>
      </w:r>
    </w:p>
    <w:p>
      <w:pPr>
        <w:pStyle w:val="Heading2"/>
        <w:spacing w:before="240" w:after="120"/>
      </w:pPr>
      <w:r>
        <w:rPr>
          <w:b/>
          <w:bCs/>
        </w:rPr>
        <w:t xml:space="preserve">3.1 Règles de gestion</w:t>
      </w:r>
    </w:p>
    <w:p>
      <w:pPr>
        <w:pStyle w:val="ListParagraph"/>
        <w:numPr>
          <w:ilvl w:val="0"/>
          <w:numId w:val="2"/>
        </w:numPr>
        <w:spacing w:after="80"/>
      </w:pPr>
      <w:r>
        <w:t xml:space="preserve">Un artisan apparaît dans une seule spécialité.</w:t>
      </w:r>
    </w:p>
    <w:p>
      <w:pPr>
        <w:pStyle w:val="ListParagraph"/>
        <w:numPr>
          <w:ilvl w:val="0"/>
          <w:numId w:val="2"/>
        </w:numPr>
        <w:spacing w:after="80"/>
      </w:pPr>
      <w:r>
        <w:t xml:space="preserve">Une spécialité est rattachée à une seule catégorie.</w:t>
      </w:r>
    </w:p>
    <w:p>
      <w:pPr>
        <w:pStyle w:val="ListParagraph"/>
        <w:numPr>
          <w:ilvl w:val="0"/>
          <w:numId w:val="2"/>
        </w:numPr>
        <w:spacing w:after="80"/>
      </w:pPr>
      <w:r>
        <w:t xml:space="preserve">Un artisan peut être marqué « artisan du mois ».</w:t>
      </w:r>
    </w:p>
    <w:p>
      <w:pPr>
        <w:pStyle w:val="ListParagraph"/>
        <w:numPr>
          <w:ilvl w:val="0"/>
          <w:numId w:val="2"/>
        </w:numPr>
        <w:spacing w:after="80"/>
      </w:pPr>
      <w:r>
        <w:t xml:space="preserve">Chaque artisan possède une note décimale entre 0 et 5.</w:t>
      </w:r>
    </w:p>
    <w:p>
      <w:pPr>
        <w:pStyle w:val="ListParagraph"/>
        <w:numPr>
          <w:ilvl w:val="0"/>
          <w:numId w:val="2"/>
        </w:numPr>
        <w:spacing w:after="80"/>
      </w:pPr>
      <w:r>
        <w:t xml:space="preserve">Un message de contact est associé à un seul artisan ; un artisan peut en recevoir plusieurs.</w:t>
      </w:r>
    </w:p>
    <w:p>
      <w:pPr>
        <w:pStyle w:val="Heading2"/>
        <w:spacing w:before="240" w:after="120"/>
      </w:pPr>
      <w:r>
        <w:rPr>
          <w:b/>
          <w:bCs/>
        </w:rPr>
        <w:t xml:space="preserve">3.2 Modèle conceptuel de données (MCD)</w:t>
      </w:r>
    </w:p>
    <w:p>
      <w:pPr>
        <w:shd w:fill="F1F8FC" w:val="clear"/>
        <w:spacing w:after="120"/>
      </w:pPr>
      <w:r>
        <w:rPr>
          <w:sz w:val="20"/>
          <w:szCs w:val="20"/>
          <w:rFonts w:ascii="Consolas" w:cs="Consolas" w:eastAsia="Consolas" w:hAnsi="Consolas"/>
        </w:rPr>
        <w:t xml:space="preserve">+-----------+ 1,n         1,1 +-------------+ 1,n      1,1 +-----------+
| CATEGORIE |-----&lt; rattachée &gt;-----| SPECIALITE  |----&lt; pratiquée &gt;----|  ARTISAN  |
+-----------+                       +-------------+                       +-----------+
| id        |                       | id          |                       | id        |
| nom       |                       | nom         |                       | nom       |
+-----------+                       +-------------+                       | note      |
                                                                          | ville     |
                                                                          | email     |
                                                                          | a_propos  |
                                                                          | site_web  |
                                                                          | top_mois  |
                                                                          +-----------+
                                                                                  | 1,n
                                                                                  |
                                                                          &lt; destinataire &gt;
                                                                                  |
                                                                                  | 1,1
                                                                          +-----------------+
                                                                          | MESSAGE_CONTACT |
                                                                          +-----------------+
                                                                          | id              |
                                                                          | expediteur_nom  |
                                                                          | expediteur_email|
                                                                          | objet           |
                                                                          | message         |
                                                                          | date_envoi      |
                                                                          +-----------------+</w:t>
      </w:r>
    </w:p>
    <w:p>
      <w:pPr>
        <w:pStyle w:val="Heading2"/>
        <w:spacing w:before="240" w:after="120"/>
      </w:pPr>
      <w:r>
        <w:rPr>
          <w:b/>
          <w:bCs/>
        </w:rPr>
        <w:t xml:space="preserve">3.3 Modèle logique de données (MLD)</w:t>
      </w:r>
    </w:p>
    <w:p>
      <w:pPr>
        <w:shd w:fill="F1F8FC" w:val="clear"/>
        <w:spacing w:after="120"/>
      </w:pPr>
      <w:r>
        <w:rPr>
          <w:sz w:val="20"/>
          <w:szCs w:val="20"/>
          <w:rFonts w:ascii="Consolas" w:cs="Consolas" w:eastAsia="Consolas" w:hAnsi="Consolas"/>
        </w:rPr>
        <w:t xml:space="preserve">categories       (id, nom)
specialties      (id, nom, #category_id)
artisans         (id, nom, note, ville, a_propos, email, site_web, image_url,
                  top_du_mois, #specialty_id)
contact_messages (id, expediteur_nom, expediteur_email, objet, message,
                  date_envoi, #artisan_id)</w:t>
      </w:r>
    </w:p>
    <w:p>
      <w:pPr>
        <w:pStyle w:val="Heading2"/>
        <w:spacing w:before="240" w:after="120"/>
      </w:pPr>
      <w:r>
        <w:rPr>
          <w:b/>
          <w:bCs/>
        </w:rPr>
        <w:t xml:space="preserve">3.4 Modèle physique de données (extrait)</w:t>
      </w:r>
    </w:p>
    <w:p>
      <w:pPr>
        <w:shd w:fill="F1F8FC" w:val="clear"/>
        <w:spacing w:after="120"/>
      </w:pPr>
      <w:r>
        <w:rPr>
          <w:sz w:val="20"/>
          <w:szCs w:val="20"/>
          <w:rFonts w:ascii="Consolas" w:cs="Consolas" w:eastAsia="Consolas" w:hAnsi="Consolas"/>
        </w:rPr>
        <w:t xml:space="preserve">CREATE TABLE artisans (
  id              INT UNSIGNED AUTO_INCREMENT PRIMARY KEY,
  name            VARCHAR(120) NOT NULL,
  rating          DECIMAL(2,1) NOT NULL DEFAULT 0.0,
  city            VARCHAR(120) NOT NULL,
  about           TEXT,
  email           VARCHAR(180) NOT NULL,
  website         VARCHAR(255),
  image_url       VARCHAR(255),
  specialty_id    INT UNSIGNED NOT NULL,
  is_top_of_month BOOLEAN NOT NULL DEFAULT FALSE,
  created_at      DATETIME NOT NULL DEFAULT CURRENT_TIMESTAMP,
  updated_at      DATETIME NOT NULL DEFAULT CURRENT_TIMESTAMP
                          ON UPDATE CURRENT_TIMESTAMP,
  CONSTRAINT chk_rating CHECK (rating BETWEEN 0 AND 5),
  CONSTRAINT fk_artisan_specialty
    FOREIGN KEY (specialty_id) REFERENCES specialties(id)
    ON DELETE RESTRICT ON UPDATE CASCADE
) ENGINE=InnoDB CHARSET=utf8mb4 COLLATE=utf8mb4_unicode_ci;</w:t>
      </w:r>
    </w:p>
    <w:p>
      <w:pPr>
        <w:spacing w:after="120"/>
        <w:jc w:val="both"/>
      </w:pPr>
      <w:r>
        <w:t xml:space="preserve">Les scripts complets sont disponibles dans le dépôt GitHub : database/01_schema.sql (création) et database/02_seed.sql (jeu d’essai).</w:t>
      </w:r>
    </w:p>
    <w:p>
      <w:pPr>
        <w:pStyle w:val="Heading2"/>
        <w:spacing w:before="240" w:after="120"/>
      </w:pPr>
      <w:r>
        <w:rPr>
          <w:b/>
          <w:bCs/>
        </w:rPr>
        <w:t xml:space="preserve">3.5 Jeu d’essai</w:t>
      </w:r>
    </w:p>
    <w:p>
      <w:pPr>
        <w:spacing w:after="120"/>
        <w:jc w:val="both"/>
      </w:pPr>
      <w:r>
        <w:t xml:space="preserve">Le jeu d’essai reprend intégralement le contenu du fichier data.xlsx fourni :</w:t>
      </w:r>
    </w:p>
    <w:p>
      <w:pPr>
        <w:pStyle w:val="ListParagraph"/>
        <w:numPr>
          <w:ilvl w:val="0"/>
          <w:numId w:val="2"/>
        </w:numPr>
        <w:spacing w:after="80"/>
      </w:pPr>
      <w:r>
        <w:t xml:space="preserve">4 catégories : Bâtiment, Services, Fabrication, Alimentation.</w:t>
      </w:r>
    </w:p>
    <w:p>
      <w:pPr>
        <w:pStyle w:val="ListParagraph"/>
        <w:numPr>
          <w:ilvl w:val="0"/>
          <w:numId w:val="2"/>
        </w:numPr>
        <w:spacing w:after="80"/>
      </w:pPr>
      <w:r>
        <w:t xml:space="preserve">15 spécialités réparties dans les 4 catégories.</w:t>
      </w:r>
    </w:p>
    <w:p>
      <w:pPr>
        <w:pStyle w:val="ListParagraph"/>
        <w:numPr>
          <w:ilvl w:val="0"/>
          <w:numId w:val="2"/>
        </w:numPr>
        <w:spacing w:after="80"/>
      </w:pPr>
      <w:r>
        <w:t xml:space="preserve">17 artisans dont 3 mis en avant comme « artisans du mois ».</w:t>
      </w:r>
    </w:p>
    <w:p>
      <w:r>
        <w:br w:type="page"/>
      </w:r>
    </w:p>
    <w:p>
      <w:pPr>
        <w:pStyle w:val="Heading1"/>
        <w:spacing w:before="360" w:after="180"/>
      </w:pPr>
      <w:r>
        <w:rPr>
          <w:b/>
          <w:bCs/>
        </w:rPr>
        <w:t xml:space="preserve">4. Sécurité</w:t>
      </w:r>
    </w:p>
    <w:p>
      <w:pPr>
        <w:spacing w:after="120"/>
        <w:jc w:val="both"/>
      </w:pPr>
      <w:r>
        <w:t xml:space="preserve">La sécurité est une exigence majeure de la région (collectivité publique). Plusieurs couches ont été mises en place, depuis l’accès réseau jusqu’à la base de données, en suivant les recommandations de l’OWASP Top 10 (2021).</w:t>
      </w:r>
    </w:p>
    <w:p>
      <w:pPr>
        <w:pStyle w:val="Heading2"/>
        <w:spacing w:before="240" w:after="120"/>
      </w:pPr>
      <w:r>
        <w:rPr>
          <w:b/>
          <w:bCs/>
        </w:rPr>
        <w:t xml:space="preserve">4.1 Synthèse des mesures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Mesure</w:t>
            </w:r>
          </w:p>
        </w:tc>
        <w:tc>
          <w:tcPr>
            <w:tcW w:type="dxa" w:w="360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Mise en œuvre</w:t>
            </w:r>
          </w:p>
        </w:tc>
        <w:tc>
          <w:tcPr>
            <w:tcW w:type="dxa" w:w="336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Intérêt</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Clé d’API partagée</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Middleware Express vérifiant l’en-tête x-api-key (comparaison à temps constant via crypto.timingSafeEqual).</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Restreint l’accès de l’API à la seule application web (exigence du brief).</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CORS allowlist</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Politique CORS limitée aux origines listées dans CORS_ORIGIN ; méthodes restreintes à GET et POST.</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Empêche tout site tiers d’appeler l’API depuis un navigateur.</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Helmet</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En-têtes HTTP : nosniff, no-referrer, HSTS, X-Frame-Options…</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Bouche les défauts de configuration HTTP courants (sniffing MIME, downgrade TLS, fuite de referer).</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Rate limiting</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express-rate-limit : 100 req/15 min global, 5 req/15 min sur le formulaire de contact.</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Empêche le spam et la force brute sur la clé d’API.</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Validation des entrées</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express-validator côté serveur + validation HTML5/JS côté client.</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Évite les données malformées, prépare le terrain contre XSS et injection.</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Anti-injection SQL</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Accès BDD via Sequelize (requêtes paramétrées). Aucun assemblage manuel.</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Empêche l’injection SQL (OWASP A03).</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Privilèges BDD minimaux</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Compte applicatif (ttartisan_app) limité à SELECT/INSERT/UPDATE/DELETE.</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Limite l’impact d’une compromission de la couche applicative.</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Secrets en variables d’env.</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dotenv + .env hors du dépôt (.gitignore).</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Pas de secret dans le code, rotation facile.</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HTTPS obligatoire</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TLS terminé par l’hébergeur ; HSTS via Helmet.</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Confidentialité et intégrité des échanges (notamment du formulaire).</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Taille des requêtes</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express.json({ limit: '32kb' }).</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Protection basique contre les payloads abusifs.</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Gestion d’erreurs centralisée</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Middleware errorHandler qui masque les détails techniques en production.</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Pas de fuite de stack trace ou de schéma BDD.</w:t>
            </w:r>
          </w:p>
        </w:tc>
      </w:tr>
      <w:tr>
        <w:tc>
          <w:tcPr>
            <w:tcW w:type="dxa" w:w="24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Traçabilité</w:t>
            </w:r>
          </w:p>
        </w:tc>
        <w:tc>
          <w:tcPr>
            <w:tcW w:type="dxa" w:w="36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Table contact_messages : enregistrement systématique des messages envoyés.</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Auditabilité en cas d’incident (spam, réclamation).</w:t>
            </w:r>
          </w:p>
        </w:tc>
      </w:tr>
    </w:tbl>
    <w:p>
      <w:pPr>
        <w:pStyle w:val="Heading2"/>
        <w:spacing w:before="240" w:after="120"/>
      </w:pPr>
      <w:r>
        <w:rPr>
          <w:b/>
          <w:bCs/>
        </w:rPr>
        <w:t xml:space="preserve">4.2 Détail des principales mesures</w:t>
      </w:r>
    </w:p>
    <w:p>
      <w:pPr>
        <w:pStyle w:val="Heading3"/>
        <w:spacing w:before="200" w:after="100"/>
      </w:pPr>
      <w:r>
        <w:rPr>
          <w:b/>
          <w:bCs/>
        </w:rPr>
        <w:t xml:space="preserve">4.2.1 Authentification de l’application par clé d’API</w:t>
      </w:r>
    </w:p>
    <w:p>
      <w:pPr>
        <w:spacing w:after="120"/>
        <w:jc w:val="both"/>
      </w:pPr>
      <w:r>
        <w:t xml:space="preserve">Le brief impose que l’API soit accessible uniquement à l’application. Un middleware Express vérifie l’en-tête x-api-key envoyé par le client. La comparaison est effectuée à temps constant (Node crypto.timingSafeEqual) pour éviter les attaques par mesure de temps de réponse. La clé est stockée côté serveur et côté client uniquement dans des variables d’environnement.</w:t>
      </w:r>
    </w:p>
    <w:p>
      <w:pPr>
        <w:pStyle w:val="Heading3"/>
        <w:spacing w:before="200" w:after="100"/>
      </w:pPr>
      <w:r>
        <w:rPr>
          <w:b/>
          <w:bCs/>
        </w:rPr>
        <w:t xml:space="preserve">4.2.2 Politique CORS restrictive</w:t>
      </w:r>
    </w:p>
    <w:p>
      <w:pPr>
        <w:spacing w:after="120"/>
        <w:jc w:val="both"/>
      </w:pPr>
      <w:r>
        <w:t xml:space="preserve">Les requêtes XHR/Fetch sont autorisées uniquement depuis les origines listées dans la variable CORS_ORIGIN (le domaine du frontend en production et localhost en développement). Toute autre origine reçoit une erreur CORS du navigateur.</w:t>
      </w:r>
    </w:p>
    <w:p>
      <w:pPr>
        <w:pStyle w:val="Heading3"/>
        <w:spacing w:before="200" w:after="100"/>
      </w:pPr>
      <w:r>
        <w:rPr>
          <w:b/>
          <w:bCs/>
        </w:rPr>
        <w:t xml:space="preserve">4.2.3 Protection des données utilisateur</w:t>
      </w:r>
    </w:p>
    <w:p>
      <w:pPr>
        <w:spacing w:after="120"/>
        <w:jc w:val="both"/>
      </w:pPr>
      <w:r>
        <w:t xml:space="preserve">Le formulaire de contact collecte le strict minimum (nom, e-mail, objet, message). La table contact_messages enregistre ces données pour traçabilité. Une politique de purge automatique (par exemple 12 mois glissants) pourra être ajoutée. La page « Données personnelles » sera complétée par un cabinet spécialisé conformément au RGPD.</w:t>
      </w:r>
    </w:p>
    <w:p>
      <w:pPr>
        <w:pStyle w:val="Heading3"/>
        <w:spacing w:before="200" w:after="100"/>
      </w:pPr>
      <w:r>
        <w:rPr>
          <w:b/>
          <w:bCs/>
        </w:rPr>
        <w:t xml:space="preserve">4.2.4 Limitation du débit et anti-spam</w:t>
      </w:r>
    </w:p>
    <w:p>
      <w:pPr>
        <w:spacing w:after="120"/>
        <w:jc w:val="both"/>
      </w:pPr>
      <w:r>
        <w:t xml:space="preserve">Au-delà du middleware global, la route POST /api/artisans/:id/contact applique une limite plus stricte (5 envois / 15 min / IP). Couplé au caractère obligatoire de la clé d’API, cela rend extrêmement coûteuses les tentatives de spam massif des artisans.</w:t>
      </w:r>
    </w:p>
    <w:p>
      <w:r>
        <w:br w:type="page"/>
      </w:r>
    </w:p>
    <w:p>
      <w:pPr>
        <w:pStyle w:val="Heading1"/>
        <w:spacing w:before="360" w:after="180"/>
      </w:pPr>
      <w:r>
        <w:rPr>
          <w:b/>
          <w:bCs/>
        </w:rPr>
        <w:t xml:space="preserve">5. Veille de sécurité</w:t>
      </w:r>
    </w:p>
    <w:p>
      <w:pPr>
        <w:pStyle w:val="Heading2"/>
        <w:spacing w:before="240" w:after="120"/>
      </w:pPr>
      <w:r>
        <w:rPr>
          <w:b/>
          <w:bCs/>
        </w:rPr>
        <w:t xml:space="preserve">5.1 Sources consultées</w:t>
      </w:r>
    </w:p>
    <w:p>
      <w:pPr>
        <w:pStyle w:val="ListParagraph"/>
        <w:numPr>
          <w:ilvl w:val="0"/>
          <w:numId w:val="2"/>
        </w:numPr>
        <w:spacing w:after="80"/>
      </w:pPr>
      <w:r>
        <w:t xml:space="preserve">OWASP Top 10 (2021) — vulnérabilités web et recommandations.</w:t>
      </w:r>
    </w:p>
    <w:p>
      <w:pPr>
        <w:pStyle w:val="ListParagraph"/>
        <w:numPr>
          <w:ilvl w:val="0"/>
          <w:numId w:val="2"/>
        </w:numPr>
        <w:spacing w:after="80"/>
      </w:pPr>
      <w:r>
        <w:t xml:space="preserve">OWASP Cheat Sheets — fiches pratiques.</w:t>
      </w:r>
    </w:p>
    <w:p>
      <w:pPr>
        <w:pStyle w:val="ListParagraph"/>
        <w:numPr>
          <w:ilvl w:val="0"/>
          <w:numId w:val="2"/>
        </w:numPr>
        <w:spacing w:after="80"/>
      </w:pPr>
      <w:r>
        <w:t xml:space="preserve">Snyk Vulnerability DB &amp; GitHub Security Advisories — CVE des paquets npm utilisés.</w:t>
      </w:r>
    </w:p>
    <w:p>
      <w:pPr>
        <w:pStyle w:val="ListParagraph"/>
        <w:numPr>
          <w:ilvl w:val="0"/>
          <w:numId w:val="2"/>
        </w:numPr>
        <w:spacing w:after="80"/>
      </w:pPr>
      <w:r>
        <w:t xml:space="preserve">CNIL — bonnes pratiques RGPD pour les formulaires.</w:t>
      </w:r>
    </w:p>
    <w:p>
      <w:pPr>
        <w:pStyle w:val="ListParagraph"/>
        <w:numPr>
          <w:ilvl w:val="0"/>
          <w:numId w:val="2"/>
        </w:numPr>
        <w:spacing w:after="80"/>
      </w:pPr>
      <w:r>
        <w:t xml:space="preserve">W3C — WCAG 2.1 (accessibilité, imposé par le brief).</w:t>
      </w:r>
    </w:p>
    <w:p>
      <w:pPr>
        <w:pStyle w:val="ListParagraph"/>
        <w:numPr>
          <w:ilvl w:val="0"/>
          <w:numId w:val="2"/>
        </w:numPr>
        <w:spacing w:after="80"/>
      </w:pPr>
      <w:r>
        <w:t xml:space="preserve">MDN Web Docs — détails sur les en-têtes HTTP de sécurité (CSP, HSTS, etc.).</w:t>
      </w:r>
    </w:p>
    <w:p>
      <w:pPr>
        <w:pStyle w:val="Heading2"/>
        <w:spacing w:before="240" w:after="120"/>
      </w:pPr>
      <w:r>
        <w:rPr>
          <w:b/>
          <w:bCs/>
        </w:rPr>
        <w:t xml:space="preserve">5.2 Vulnérabilités OWASP étudiées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Vulnérabilité</w:t>
            </w:r>
          </w:p>
        </w:tc>
        <w:tc>
          <w:tcPr>
            <w:tcW w:type="dxa" w:w="600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Mesure prise</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A01 Broken Access Control</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Clé d’API obligatoire, pas de session, pas d’admin exposé.</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A02 Cryptographic Failures</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HTTPS + HSTS, secrets en variables d’environnement, comparaison à temps constant.</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A03 Injection</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Sequelize (paramétré), express-validator, échappement React.</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A04 Insecure Design</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Modèle simple, contraintes BDD, moindre privilège.</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A05 Security Misconfiguration</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Helmet, x-powered-by désactivé, errorHandler discret en production.</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A06 Vulnerable Components</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npm audit, dépendances à jour, lockfile commité.</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A07 Auth Failures</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Pas d’espace membre, rate limiting, clé longue et aléatoire.</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A08 Software Integrity</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package-lock.json versionné, sources officielles npm.</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A09 Logging Failures</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Morgan en logs HTTP, traçabilité des messages.</w:t>
            </w:r>
          </w:p>
        </w:tc>
      </w:tr>
      <w:tr>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A10 SSRF</w:t>
            </w:r>
          </w:p>
        </w:tc>
        <w:tc>
          <w:tcPr>
            <w:tcW w:type="dxa" w:w="6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Aucune requête sortante déclenchée par des données utilisateur.</w:t>
            </w:r>
          </w:p>
        </w:tc>
      </w:tr>
    </w:tbl>
    <w:p>
      <w:pPr>
        <w:pStyle w:val="Heading2"/>
        <w:spacing w:before="240" w:after="120"/>
      </w:pPr>
      <w:r>
        <w:rPr>
          <w:b/>
          <w:bCs/>
        </w:rPr>
        <w:t xml:space="preserve">5.3 Tests effectués sur le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Test</w:t>
            </w:r>
          </w:p>
        </w:tc>
        <w:tc>
          <w:tcPr>
            <w:tcW w:type="dxa" w:w="300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Résultat attendu</w:t>
            </w:r>
          </w:p>
        </w:tc>
        <w:tc>
          <w:tcPr>
            <w:tcW w:type="dxa" w:w="3360"/>
            <w:tcBorders>
              <w:top w:val="single" w:color="D0D7DE" w:sz="4"/>
              <w:left w:val="single" w:color="D0D7DE" w:sz="4"/>
              <w:bottom w:val="single" w:color="D0D7DE" w:sz="4"/>
              <w:right w:val="single" w:color="D0D7DE" w:sz="4"/>
            </w:tcBorders>
            <w:shd w:fill="0074C7" w:val="clear"/>
            <w:tcMar>
              <w:top w:type="dxa" w:w="80"/>
              <w:left w:type="dxa" w:w="120"/>
              <w:bottom w:type="dxa" w:w="80"/>
              <w:right w:type="dxa" w:w="120"/>
            </w:tcMar>
          </w:tcPr>
          <w:p>
            <w:r>
              <w:rPr>
                <w:b/>
                <w:bCs/>
                <w:color w:val="FFFFFF"/>
              </w:rPr>
              <w:t xml:space="preserve">Résultat obtenu</w:t>
            </w:r>
          </w:p>
        </w:tc>
      </w:tr>
      <w:t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Injection SQL via ?q='OR 1=1--</w:t>
            </w:r>
          </w:p>
        </w:tc>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Aucune ligne supplémentaire renvoyée</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OK — Sequelize paramétré</w:t>
            </w:r>
          </w:p>
        </w:tc>
      </w:tr>
      <w:t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XSS via formulaire de contact</w:t>
            </w:r>
          </w:p>
        </w:tc>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Texte stocké tel quel, non exécuté</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OK — React échappe automatiquement</w:t>
            </w:r>
          </w:p>
        </w:tc>
      </w:tr>
      <w:t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Appel sans clé d’API</w:t>
            </w:r>
          </w:p>
        </w:tc>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401 Unauthorized</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OK — middleware apiKey</w:t>
            </w:r>
          </w:p>
        </w:tc>
      </w:tr>
      <w:t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Origine non autorisée</w:t>
            </w:r>
          </w:p>
        </w:tc>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Erreur CORS</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OK</w:t>
            </w:r>
          </w:p>
        </w:tc>
      </w:tr>
      <w:t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Spam du formulaire (&gt;5/15 min)</w:t>
            </w:r>
          </w:p>
        </w:tc>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429 Too Many Requests</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OK — express-rate-limit</w:t>
            </w:r>
          </w:p>
        </w:tc>
      </w:tr>
      <w:t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Payload JSON &gt; 32 ko</w:t>
            </w:r>
          </w:p>
        </w:tc>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Refus 413</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OK — express.json limit</w:t>
            </w:r>
          </w:p>
        </w:tc>
      </w:tr>
      <w:tr>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npm audit (front + back)</w:t>
            </w:r>
          </w:p>
        </w:tc>
        <w:tc>
          <w:tcPr>
            <w:tcW w:type="dxa" w:w="300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Aucune vuln. critique</w:t>
            </w:r>
          </w:p>
        </w:tc>
        <w:tc>
          <w:tcPr>
            <w:tcW w:type="dxa" w:w="3360"/>
            <w:tcBorders>
              <w:top w:val="single" w:color="D0D7DE" w:sz="4"/>
              <w:left w:val="single" w:color="D0D7DE" w:sz="4"/>
              <w:bottom w:val="single" w:color="D0D7DE" w:sz="4"/>
              <w:right w:val="single" w:color="D0D7DE" w:sz="4"/>
            </w:tcBorders>
            <w:tcMar>
              <w:top w:type="dxa" w:w="80"/>
              <w:left w:type="dxa" w:w="120"/>
              <w:bottom w:type="dxa" w:w="80"/>
              <w:right w:type="dxa" w:w="120"/>
            </w:tcMar>
          </w:tcPr>
          <w:p>
            <w:r>
              <w:t xml:space="preserve">OK au moment du rendu</w:t>
            </w:r>
          </w:p>
        </w:tc>
      </w:tr>
    </w:tbl>
    <w:p>
      <w:pPr>
        <w:pStyle w:val="Heading2"/>
        <w:spacing w:before="240" w:after="120"/>
      </w:pPr>
      <w:r>
        <w:rPr>
          <w:b/>
          <w:bCs/>
        </w:rPr>
        <w:t xml:space="preserve">5.4 Vulnérabilités corrigées en cours de développement</w:t>
      </w:r>
    </w:p>
    <w:p>
      <w:pPr>
        <w:pStyle w:val="ListParagraph"/>
        <w:numPr>
          <w:ilvl w:val="0"/>
          <w:numId w:val="2"/>
        </w:numPr>
        <w:spacing w:after="80"/>
      </w:pPr>
      <w:r>
        <w:t xml:space="preserve">Comparaison naïve de la clé d’API remplacée par crypto.timingSafeEqual (anti-timing attack).</w:t>
      </w:r>
    </w:p>
    <w:p>
      <w:pPr>
        <w:pStyle w:val="ListParagraph"/>
        <w:numPr>
          <w:ilvl w:val="0"/>
          <w:numId w:val="2"/>
        </w:numPr>
        <w:spacing w:after="80"/>
      </w:pPr>
      <w:r>
        <w:t xml:space="preserve">Ajout d’un handler explicite pour les 404 API afin d’éviter toute fuite de stack Express.</w:t>
      </w:r>
    </w:p>
    <w:p>
      <w:pPr>
        <w:pStyle w:val="ListParagraph"/>
        <w:numPr>
          <w:ilvl w:val="0"/>
          <w:numId w:val="2"/>
        </w:numPr>
        <w:spacing w:after="80"/>
      </w:pPr>
      <w:r>
        <w:t xml:space="preserve">Désactivation de l’en-tête X-Powered-By d’Express.</w:t>
      </w:r>
    </w:p>
    <w:p>
      <w:pPr>
        <w:pStyle w:val="ListParagraph"/>
        <w:numPr>
          <w:ilvl w:val="0"/>
          <w:numId w:val="2"/>
        </w:numPr>
        <w:spacing w:after="80"/>
      </w:pPr>
      <w:r>
        <w:t xml:space="preserve">Aucun usage de dangerouslySetInnerHTML côté React (XSS stocké/réfléchi).</w:t>
      </w:r>
    </w:p>
    <w:p>
      <w:r>
        <w:br w:type="page"/>
      </w:r>
    </w:p>
    <w:p>
      <w:pPr>
        <w:pStyle w:val="Heading1"/>
        <w:spacing w:before="360" w:after="180"/>
      </w:pPr>
      <w:r>
        <w:rPr>
          <w:b/>
          <w:bCs/>
        </w:rPr>
        <w:t xml:space="preserve">6. Liens du projet</w:t>
      </w:r>
    </w:p>
    <w:p>
      <w:pPr>
        <w:pStyle w:val="Heading2"/>
        <w:spacing w:before="240" w:after="120"/>
      </w:pPr>
      <w:r>
        <w:rPr>
          <w:b/>
          <w:bCs/>
        </w:rPr>
        <w:t xml:space="preserve">6.1 Dépôt GitHub</w:t>
      </w:r>
    </w:p>
    <w:p>
      <w:pPr>
        <w:spacing w:after="120"/>
      </w:pPr>
      <w:r>
        <w:t xml:space="preserve">Le dépôt est public et contient l’intégralité du code, les scripts SQL et le README.md : </w:t>
      </w:r>
      <w:hyperlink w:history="1" r:id="rIdnscxgwerbbdej-hlwzkrb">
        <w:r>
          <w:rPr>
            <w:rStyle w:val="Hyperlink"/>
          </w:rPr>
          <w:t xml:space="preserve">https://github.com/Sylvain13bdr/trouve-ton-artisan</w:t>
        </w:r>
      </w:hyperlink>
    </w:p>
    <w:p>
      <w:pPr>
        <w:spacing w:after="120"/>
        <w:jc w:val="both"/>
      </w:pPr>
      <w:r>
        <w:t xml:space="preserve">Contenu du dépôt :</w:t>
      </w:r>
    </w:p>
    <w:p>
      <w:pPr>
        <w:pStyle w:val="ListParagraph"/>
        <w:numPr>
          <w:ilvl w:val="0"/>
          <w:numId w:val="2"/>
        </w:numPr>
        <w:spacing w:after="80"/>
      </w:pPr>
      <w:r>
        <w:t xml:space="preserve">backend/ — API Express + Sequelize.</w:t>
      </w:r>
    </w:p>
    <w:p>
      <w:pPr>
        <w:pStyle w:val="ListParagraph"/>
        <w:numPr>
          <w:ilvl w:val="0"/>
          <w:numId w:val="2"/>
        </w:numPr>
        <w:spacing w:after="80"/>
      </w:pPr>
      <w:r>
        <w:t xml:space="preserve">frontend/ — Application React + Bootstrap + Sass.</w:t>
      </w:r>
    </w:p>
    <w:p>
      <w:pPr>
        <w:pStyle w:val="ListParagraph"/>
        <w:numPr>
          <w:ilvl w:val="0"/>
          <w:numId w:val="2"/>
        </w:numPr>
        <w:spacing w:after="80"/>
      </w:pPr>
      <w:r>
        <w:t xml:space="preserve">database/01_schema.sql — Création de la base de données (version XAMPP locale).</w:t>
      </w:r>
    </w:p>
    <w:p>
      <w:pPr>
        <w:pStyle w:val="ListParagraph"/>
        <w:numPr>
          <w:ilvl w:val="0"/>
          <w:numId w:val="2"/>
        </w:numPr>
        <w:spacing w:after="80"/>
      </w:pPr>
      <w:r>
        <w:t xml:space="preserve">database/02_seed.sql — Alimentation (17 artisans).</w:t>
      </w:r>
    </w:p>
    <w:p>
      <w:pPr>
        <w:pStyle w:val="ListParagraph"/>
        <w:numPr>
          <w:ilvl w:val="0"/>
          <w:numId w:val="2"/>
        </w:numPr>
        <w:spacing w:after="80"/>
      </w:pPr>
      <w:r>
        <w:t xml:space="preserve">database/remote/ — Variantes des scripts SQL pour hébergement distant (AlwaysData).</w:t>
      </w:r>
    </w:p>
    <w:p>
      <w:pPr>
        <w:pStyle w:val="ListParagraph"/>
        <w:numPr>
          <w:ilvl w:val="0"/>
          <w:numId w:val="2"/>
        </w:numPr>
        <w:spacing w:after="80"/>
      </w:pPr>
      <w:r>
        <w:t xml:space="preserve">docs/ — Documentation technique (sécurité, veille, BDD, maquettes).</w:t>
      </w:r>
    </w:p>
    <w:p>
      <w:pPr>
        <w:pStyle w:val="ListParagraph"/>
        <w:numPr>
          <w:ilvl w:val="0"/>
          <w:numId w:val="2"/>
        </w:numPr>
        <w:spacing w:after="80"/>
      </w:pPr>
      <w:r>
        <w:t xml:space="preserve">README.md — Prérequis, installation, lancement.</w:t>
      </w:r>
    </w:p>
    <w:p>
      <w:pPr>
        <w:pStyle w:val="Heading2"/>
        <w:spacing w:before="240" w:after="120"/>
      </w:pPr>
      <w:r>
        <w:rPr>
          <w:b/>
          <w:bCs/>
        </w:rPr>
        <w:t xml:space="preserve">6.2 Site déployé</w:t>
      </w:r>
    </w:p>
    <w:p>
      <w:pPr>
        <w:spacing w:after="120"/>
      </w:pPr>
      <w:r>
        <w:t xml:space="preserve">Frontend (Vercel) : </w:t>
      </w:r>
      <w:hyperlink w:history="1" r:id="rId-gdaac_lcenqojnucrd1z">
        <w:r>
          <w:rPr>
            <w:rStyle w:val="Hyperlink"/>
          </w:rPr>
          <w:t xml:space="preserve">https://trouve-ton-artisan-rosy.vercel.app/</w:t>
        </w:r>
      </w:hyperlink>
    </w:p>
    <w:p>
      <w:pPr>
        <w:spacing w:after="120"/>
      </w:pPr>
      <w:r>
        <w:t xml:space="preserve">API (Render) : </w:t>
      </w:r>
      <w:hyperlink w:history="1" r:id="rIdawqiewhace2ooh7aak5a0">
        <w:r>
          <w:rPr>
            <w:rStyle w:val="Hyperlink"/>
          </w:rPr>
          <w:t xml:space="preserve">https://trouve-ton-artisan-api-oqmj.onrender.com/api/health</w:t>
        </w:r>
      </w:hyperlink>
    </w:p>
    <w:p>
      <w:pPr>
        <w:spacing w:after="120"/>
        <w:jc w:val="both"/>
      </w:pPr>
      <w:r>
        <w:t xml:space="preserve">Base de données MySQL/MariaDB hébergée sur AlwaysData (hôte mysql-sylvain13bdr.alwaysdata.net), connexion SSL obligatoire.</w:t>
      </w:r>
    </w:p>
    <w:p>
      <w:pPr>
        <w:pStyle w:val="Heading2"/>
        <w:spacing w:before="240" w:after="120"/>
      </w:pPr>
      <w:r>
        <w:rPr>
          <w:b/>
          <w:bCs/>
        </w:rPr>
        <w:t xml:space="preserve">6.3 Maquettes Figma</w:t>
      </w:r>
    </w:p>
    <w:p>
      <w:pPr>
        <w:spacing w:after="120"/>
      </w:pPr>
      <w:r>
        <w:t xml:space="preserve">Fichier de maquettes (lecture publique) : </w:t>
      </w:r>
      <w:hyperlink w:history="1" r:id="rIdp5far3cgmiircqk2etd6f">
        <w:r>
          <w:rPr>
            <w:rStyle w:val="Hyperlink"/>
          </w:rPr>
          <w:t xml:space="preserve">https://www.figma.com/design/vch2TgFsEjaY9O7gjnNakX/Trouve-ton-Artisan</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4"/>
      </w:pBdr>
      <w:tabs>
        <w:tab w:val="right" w:pos="9026"/>
      </w:tabs>
    </w:pPr>
    <w:r>
      <w:rPr>
        <w:color w:val="384050"/>
      </w:rPr>
      <w:t xml:space="preserve">Sylvain Labeye — </w:t>
    </w:r>
    <w:r>
      <w:rPr>
        <w:color w:val="384050"/>
      </w:rPr>
      <w:t xml:space="preserve">16/05/2026</w:t>
    </w:r>
    <w:r>
      <w:rPr>
        <w:color w:val="384050"/>
      </w:rPr>
      <w:t xml:space="preserve">	Page </w:t>
    </w:r>
    <w:r>
      <w:rPr>
        <w:color w:val="384050"/>
      </w:rPr>
      <w:fldChar w:fldCharType="begin"/>
      <w:instrText xml:space="preserve">PAGE</w:instrText>
      <w:fldChar w:fldCharType="separate"/>
      <w:fldChar w:fldCharType="end"/>
    </w:r>
    <w:r>
      <w:rPr>
        <w:color w:val="384050"/>
      </w:rPr>
      <w:t xml:space="preserve"> / </w:t>
    </w:r>
    <w:r>
      <w:rPr>
        <w:color w:val="38405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4C7" w:sz="6" w:space="4"/>
      </w:pBdr>
      <w:tabs>
        <w:tab w:val="right" w:pos="9026"/>
      </w:tabs>
    </w:pPr>
    <w:r>
      <w:rPr>
        <w:b/>
        <w:bCs/>
        <w:color w:val="384050"/>
      </w:rPr>
      <w:t xml:space="preserve">Trouve ton artisan — Dossier de rendu</w:t>
    </w:r>
    <w:r>
      <w:rPr>
        <w:color w:val="0074C7"/>
      </w:rPr>
      <w:t xml:space="preserve">	CEF — Devoir bilan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0074C7"/>
      <w:sz w:val="36"/>
      <w:szCs w:val="36"/>
      <w:rFonts w:ascii="Arial" w:cs="Arial" w:eastAsia="Arial" w:hAnsi="Arial"/>
    </w:rPr>
  </w:style>
  <w:style w:type="paragraph" w:styleId="Heading2">
    <w:name w:val="Heading 2"/>
    <w:basedOn w:val="Normal"/>
    <w:next w:val="Normal"/>
    <w:qFormat/>
    <w:pPr>
      <w:spacing w:before="280" w:after="140"/>
      <w:outlineLvl w:val="1"/>
    </w:pPr>
    <w:rPr>
      <w:b/>
      <w:bCs/>
      <w:color w:val="384050"/>
      <w:sz w:val="28"/>
      <w:szCs w:val="28"/>
      <w:rFonts w:ascii="Arial" w:cs="Arial" w:eastAsia="Arial" w:hAnsi="Arial"/>
    </w:rPr>
  </w:style>
  <w:style w:type="paragraph" w:styleId="Heading3">
    <w:name w:val="Heading 3"/>
    <w:basedOn w:val="Normal"/>
    <w:next w:val="Normal"/>
    <w:qFormat/>
    <w:pPr>
      <w:spacing w:before="220" w:after="100"/>
      <w:outlineLvl w:val="2"/>
    </w:pPr>
    <w:rPr>
      <w:b/>
      <w:bCs/>
      <w:color w:val="38405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yv--7ytrmbn3xf9kkemi" Type="http://schemas.openxmlformats.org/officeDocument/2006/relationships/hyperlink" Target="https://www.figma.com/design/vch2TgFsEjaY9O7gjnNakX/Trouve-ton-Artisan" TargetMode="External"/><Relationship Id="rIdnscxgwerbbdej-hlwzkrb" Type="http://schemas.openxmlformats.org/officeDocument/2006/relationships/hyperlink" Target="https://github.com/Sylvain13bdr/trouve-ton-artisan" TargetMode="External"/><Relationship Id="rId-gdaac_lcenqojnucrd1z" Type="http://schemas.openxmlformats.org/officeDocument/2006/relationships/hyperlink" Target="https://trouve-ton-artisan-rosy.vercel.app/" TargetMode="External"/><Relationship Id="rIdawqiewhace2ooh7aak5a0" Type="http://schemas.openxmlformats.org/officeDocument/2006/relationships/hyperlink" Target="https://trouve-ton-artisan-api-oqmj.onrender.com/api/health" TargetMode="External"/><Relationship Id="rIdp5far3cgmiircqk2etd6f" Type="http://schemas.openxmlformats.org/officeDocument/2006/relationships/hyperlink" Target="https://www.figma.com/design/vch2TgFsEjaY9O7gjnNakX/Trouve-ton-Artisan" TargetMode="External"/><Relationship Id="rId8" Type="http://schemas.openxmlformats.org/officeDocument/2006/relationships/image" Target="media/zgcifnrzbsaiaoy6vtrcm.png"/><Relationship Id="rId9" Type="http://schemas.openxmlformats.org/officeDocument/2006/relationships/image" Target="media/k8a17knjotbmub9ixmgyz.png"/><Relationship Id="rId10" Type="http://schemas.openxmlformats.org/officeDocument/2006/relationships/image" Target="media/cpjffu9_maj4vk-vadret.png"/><Relationship Id="rId11" Type="http://schemas.openxmlformats.org/officeDocument/2006/relationships/image" Target="media/xzesiheip_mbcmupwn31s.png"/><Relationship Id="rId12" Type="http://schemas.openxmlformats.org/officeDocument/2006/relationships/image" Target="media/r5w4gbb1vmdmxfggvh8et.png"/><Relationship Id="rId13" Type="http://schemas.openxmlformats.org/officeDocument/2006/relationships/image" Target="media/hulzlcn3eb3da7kqy1nkc.png"/><Relationship Id="rId14" Type="http://schemas.openxmlformats.org/officeDocument/2006/relationships/image" Target="media/-zhtozz1cpzwzqvm72ymk.png"/><Relationship Id="rId15" Type="http://schemas.openxmlformats.org/officeDocument/2006/relationships/image" Target="media/lcjgxpzrvtkeykmdnzi5t.png"/><Relationship Id="rId16" Type="http://schemas.openxmlformats.org/officeDocument/2006/relationships/image" Target="media/6edjy1kpcdp5gtd1bscm1.png"/><Relationship Id="rId17" Type="http://schemas.openxmlformats.org/officeDocument/2006/relationships/image" Target="media/u7nf0ovr2fxtano4cmmer.png"/><Relationship Id="rId18" Type="http://schemas.openxmlformats.org/officeDocument/2006/relationships/image" Target="media/qfkjbpuqpis5wy5zjjcha.png"/><Relationship Id="rId19" Type="http://schemas.openxmlformats.org/officeDocument/2006/relationships/image" Target="media/qsrkw9leqm8pajh8gkvkq.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Trouve ton artisan — Dossier de rendu</dc:title>
  <dc:creator>Sylvain Labeye</dc:creator>
  <dc:description>Devoir bilan CEF — Trouve ton artisan</dc:description>
  <cp:lastModifiedBy>Un-named</cp:lastModifiedBy>
  <cp:revision>1</cp:revision>
  <dcterms:created xsi:type="dcterms:W3CDTF">2026-05-16T20:52:05.385Z</dcterms:created>
  <dcterms:modified xsi:type="dcterms:W3CDTF">2026-05-16T20:52:05.386Z</dcterms:modified>
</cp:coreProperties>
</file>

<file path=docProps/custom.xml><?xml version="1.0" encoding="utf-8"?>
<Properties xmlns="http://schemas.openxmlformats.org/officeDocument/2006/custom-properties" xmlns:vt="http://schemas.openxmlformats.org/officeDocument/2006/docPropsVTypes"/>
</file>