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Titre professionnel Développeur Web et Web Mobile (DWWM)</w:t>
      </w:r>
    </w:p>
    <w:p>
      <w:pPr>
        <w:spacing w:after="1200"/>
        <w:jc w:val="center"/>
      </w:pPr>
      <w:r>
        <w:rPr>
          <w:i/>
          <w:iCs/>
          <w:sz w:val="22"/>
          <w:szCs w:val="22"/>
        </w:rPr>
        <w:t xml:space="preserve">Dossier de projet — Préparation à l'examen du titre professionnel</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17/06/2026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Introduction — Compétences du référentiel couvertes</w:t>
      </w:r>
    </w:p>
    <w:p>
      <w:pPr>
        <w:spacing w:after="120"/>
        <w:jc w:val="both"/>
      </w:pPr>
      <w:r>
        <w:t xml:space="preserve">Ce dossier présente « Trouve ton artisan », une application web full-stack réalisée dans le cadre de la préparation au titre professionnel Développeur Web et Web Mobile (DWWM). Le projet met en œuvre les compétences obligatoires des deux activités-types du référentiel, côté front-end comme back-end, avec un soin particulier porté à la sécurité, à l'accessibilité et à la couverture des données à la fois relationnelles (MySQL/MariaDB) et NoSQL (MongoDB).</w:t>
      </w:r>
    </w:p>
    <w:p>
      <w:pPr>
        <w:pStyle w:val="Heading2"/>
        <w:spacing w:before="240" w:after="120"/>
      </w:pPr>
      <w:r>
        <w:rPr>
          <w:b/>
          <w:bCs/>
        </w:rPr>
        <w:t xml:space="preserve">Activité-type 1 — Développer la partie front-end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Maquetter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Maquettes Figma en mobile-first pour les trois résolutions (mobile 375 px, tablette 768 px, ordinateur 1280 px), charte graphique respectée, schéma d'enchaînement des écrans.</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Réaliser des interfaces utilisateur statiques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Composants React structurés, Bootstrap 5 et Sass, HTML sémantique, mise en page responsive, accessibilité WCAG 2.1 (lien d'évitement, attributs ARIA, focus visible).</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la partie dynamique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React (hooks d'état et d'effet), consommation de l'API REST via un client fetch centralisé, formulaires dynamiques (contact et avis) avec validation côté client.</w:t>
            </w:r>
          </w:p>
        </w:tc>
      </w:tr>
    </w:tbl>
    <w:p>
      <w:pPr>
        <w:pStyle w:val="Heading2"/>
        <w:spacing w:before="240" w:after="120"/>
      </w:pPr>
      <w:r>
        <w:rPr>
          <w:b/>
          <w:bCs/>
        </w:rPr>
        <w:t xml:space="preserve">Activité-type 2 — Développer la partie back-end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Mettre en place une base de données relationnelle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MySQL/MariaDB : MCD, MLD et modèle physique, respect des trois formes normales, contraintes (clés étrangères, CHECK, UNIQUE), vue de lecture, scripts de création et d'alimentation.</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d'accès aux données SQL et NoSQL</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Couche services dédiée : accès SQL via Sequelize (artisans, catégories, villes) ET accès NoSQL via Mongoose (avis clients stockés dans MongoDB).</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métier côté serveur</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Architecture en couches (routes → contrôleurs → services → modèles), logique métier isolée dans les services, validation, sécurité et gestion centralisée des erreurs.</w:t>
            </w:r>
          </w:p>
        </w:tc>
      </w:tr>
    </w:tbl>
    <w:p>
      <w:pPr>
        <w:spacing w:after="120"/>
        <w:jc w:val="both"/>
      </w:pPr>
      <w:r>
        <w:rPr>
          <w:i/>
          <w:iCs/>
        </w:rPr>
        <w:t xml:space="preserve">Les deux compétences non obligatoires dans le dossier — installer et configurer son environnement de travail, et documenter le déploiement — sont également mises en œuvre (environnement Node.js / VS Code / Git, déploiement Vercel + Render + base de données hébergée) et pourront être détaillées lors de l'entretien technique.</w:t>
      </w:r>
    </w:p>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entretenir cet engouement,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imposée : React.js + Bootstrap + Sass (front), Node.js + Express + Sequelize + MySQL/MariaDB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r>
        <w:br w:type="page"/>
      </w:r>
    </w:p>
    <w:p>
      <w:pPr>
        <w:pStyle w:val="Heading1"/>
        <w:spacing w:before="360" w:after="180"/>
      </w:pPr>
      <w:r>
        <w:rPr>
          <w:b/>
          <w:bCs/>
        </w:rPr>
        <w:t xml:space="preserve">2. Maquettes Figma</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spacing w:after="120"/>
        <w:jc w:val="both"/>
      </w:pPr>
      <w:r>
        <w:t xml:space="preserve">Graphik étant une police payante, Inter a été utilisée pour les maquettes Figma. Le CSS du site bascule automatiquement sur Graphik dès que les fichiers de police seront fournis.</w:t>
      </w:r>
    </w:p>
    <w:p>
      <w:pPr>
        <w:pStyle w:val="Heading2"/>
        <w:spacing w:before="240" w:after="120"/>
      </w:pPr>
      <w:r>
        <w:rPr>
          <w:b/>
          <w:bCs/>
        </w:rPr>
        <w:t xml:space="preserve">2.2 Lien Figma</w:t>
      </w:r>
    </w:p>
    <w:p>
      <w:pPr>
        <w:spacing w:after="120"/>
      </w:pPr>
      <w:r>
        <w:t xml:space="preserve">Maquettes complètes (consultation publique) : </w:t>
      </w:r>
      <w:hyperlink w:history="1" r:id="rIdpqpiuumg8cfel8taw3-us">
        <w:r>
          <w:rPr>
            <w:rStyle w:val="Hyperlink"/>
          </w:rPr>
          <w:t xml:space="preserve">Ouvrir le fichier Figma</w:t>
        </w:r>
      </w:hyperlink>
    </w:p>
    <w:p>
      <w:pPr>
        <w:pStyle w:val="Heading2"/>
        <w:spacing w:before="240" w:after="120"/>
      </w:pPr>
      <w:r>
        <w:rPr>
          <w:b/>
          <w:bCs/>
        </w:rPr>
        <w:t xml:space="preserve">2.3 Captures d’écran</w:t>
      </w:r>
    </w:p>
    <w:p>
      <w:pPr>
        <w:pStyle w:val="Heading3"/>
        <w:spacing w:before="200" w:after="100"/>
      </w:pPr>
      <w:r>
        <w:rPr>
          <w:b/>
          <w:bCs/>
        </w:rPr>
        <w:t xml:space="preserve">2.3.1 Charte graphique</w:t>
      </w:r>
    </w:p>
    <w:p>
      <w:pPr>
        <w:spacing w:before="100" w:after="60"/>
        <w:jc w:val="center"/>
      </w:pPr>
      <w:r>
        <w:drawing>
          <wp:inline distT="0" distB="0" distL="0" distR="0">
            <wp:extent cx="5143500" cy="3619500"/>
            <wp:effectExtent t="0" r="0" b="0" l="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80"/>
        <w:jc w:val="center"/>
      </w:pPr>
      <w:r>
        <w:rPr>
          <w:i/>
          <w:iCs/>
          <w:color w:val="384050"/>
          <w:sz w:val="18"/>
          <w:szCs w:val="18"/>
        </w:rPr>
        <w:t xml:space="preserve">Charte graphique — logo, favicon, palette, typographie</w:t>
      </w:r>
    </w:p>
    <w:p>
      <w:pPr>
        <w:pStyle w:val="Heading3"/>
        <w:spacing w:before="200" w:after="100"/>
      </w:pPr>
      <w:r>
        <w:rPr>
          <w:b/>
          <w:bCs/>
        </w:rPr>
        <w:t xml:space="preserve">2.3.2 Accueil</w:t>
      </w:r>
    </w:p>
    <w:p>
      <w:pPr>
        <w:spacing w:before="100" w:after="60"/>
        <w:jc w:val="center"/>
      </w:pPr>
      <w:r>
        <w:drawing>
          <wp:inline distT="0" distB="0" distL="0" distR="0">
            <wp:extent cx="1095375" cy="5715000"/>
            <wp:effectExtent t="0" r="0" b="0" l="0"/>
            <wp:docPr id="1" name="accueil-mobile.png" descr="Accueil — Mobile (375 px)" title="Accueil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5715000"/>
                    </a:xfrm>
                    <a:prstGeom prst="rect">
                      <a:avLst/>
                    </a:prstGeom>
                  </pic:spPr>
                </pic:pic>
              </a:graphicData>
            </a:graphic>
          </wp:inline>
        </w:drawing>
      </w:r>
    </w:p>
    <w:p>
      <w:pPr>
        <w:spacing w:after="180"/>
        <w:jc w:val="center"/>
      </w:pPr>
      <w:r>
        <w:rPr>
          <w:i/>
          <w:iCs/>
          <w:color w:val="384050"/>
          <w:sz w:val="18"/>
          <w:szCs w:val="18"/>
        </w:rPr>
        <w:t xml:space="preserve">Accueil — Mobile (375 px)</w:t>
      </w:r>
    </w:p>
    <w:p>
      <w:pPr>
        <w:spacing w:before="100" w:after="60"/>
        <w:jc w:val="center"/>
      </w:pPr>
      <w:r>
        <w:drawing>
          <wp:inline distT="0" distB="0" distL="0" distR="0">
            <wp:extent cx="2533650" cy="5715000"/>
            <wp:effectExtent t="0" r="0" b="0" l="0"/>
            <wp:docPr id="1" name="accueil-tablette.png" descr="Accueil — Tablette (768 px)" title="Accueil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33650" cy="5715000"/>
                    </a:xfrm>
                    <a:prstGeom prst="rect">
                      <a:avLst/>
                    </a:prstGeom>
                  </pic:spPr>
                </pic:pic>
              </a:graphicData>
            </a:graphic>
          </wp:inline>
        </w:drawing>
      </w:r>
    </w:p>
    <w:p>
      <w:pPr>
        <w:spacing w:after="180"/>
        <w:jc w:val="center"/>
      </w:pPr>
      <w:r>
        <w:rPr>
          <w:i/>
          <w:iCs/>
          <w:color w:val="384050"/>
          <w:sz w:val="18"/>
          <w:szCs w:val="18"/>
        </w:rPr>
        <w:t xml:space="preserve">Accueil — Tablette (768 px)</w:t>
      </w:r>
    </w:p>
    <w:p>
      <w:pPr>
        <w:spacing w:before="100" w:after="60"/>
        <w:jc w:val="center"/>
      </w:pPr>
      <w:r>
        <w:drawing>
          <wp:inline distT="0" distB="0" distL="0" distR="0">
            <wp:extent cx="5143500" cy="5629275"/>
            <wp:effectExtent t="0" r="0" b="0" l="0"/>
            <wp:docPr id="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629275"/>
                    </a:xfrm>
                    <a:prstGeom prst="rect">
                      <a:avLst/>
                    </a:prstGeom>
                  </pic:spPr>
                </pic:pic>
              </a:graphicData>
            </a:graphic>
          </wp:inline>
        </w:drawing>
      </w:r>
    </w:p>
    <w:p>
      <w:pPr>
        <w:spacing w:after="180"/>
        <w:jc w:val="center"/>
      </w:pPr>
      <w:r>
        <w:rPr>
          <w:i/>
          <w:iCs/>
          <w:color w:val="384050"/>
          <w:sz w:val="18"/>
          <w:szCs w:val="18"/>
        </w:rPr>
        <w:t xml:space="preserve">Accueil — Desktop (1280 px)</w:t>
      </w:r>
    </w:p>
    <w:p>
      <w:pPr>
        <w:pStyle w:val="Heading3"/>
        <w:spacing w:before="200" w:after="100"/>
      </w:pPr>
      <w:r>
        <w:rPr>
          <w:b/>
          <w:bCs/>
        </w:rPr>
        <w:t xml:space="preserve">2.3.3 Liste des artisans</w:t>
      </w:r>
    </w:p>
    <w:p>
      <w:pPr>
        <w:spacing w:before="100" w:after="60"/>
        <w:jc w:val="center"/>
      </w:pPr>
      <w:r>
        <w:drawing>
          <wp:inline distT="0" distB="0" distL="0" distR="0">
            <wp:extent cx="1276350" cy="5715000"/>
            <wp:effectExtent t="0" r="0" b="0" l="0"/>
            <wp:docPr id="1" name="liste-mobile.png" descr="Liste — catégorie Bâtiment — Mobile (375 px)" title="Liste — catégorie Bâtiment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76350" cy="5715000"/>
                    </a:xfrm>
                    <a:prstGeom prst="rect">
                      <a:avLst/>
                    </a:prstGeom>
                  </pic:spPr>
                </pic:pic>
              </a:graphicData>
            </a:graphic>
          </wp:inline>
        </w:drawing>
      </w:r>
    </w:p>
    <w:p>
      <w:pPr>
        <w:spacing w:after="180"/>
        <w:jc w:val="center"/>
      </w:pPr>
      <w:r>
        <w:rPr>
          <w:i/>
          <w:iCs/>
          <w:color w:val="384050"/>
          <w:sz w:val="18"/>
          <w:szCs w:val="18"/>
        </w:rPr>
        <w:t xml:space="preserve">Liste — catégorie Bâtiment — Mobile (375 px)</w:t>
      </w:r>
    </w:p>
    <w:p>
      <w:pPr>
        <w:spacing w:before="100" w:after="60"/>
        <w:jc w:val="center"/>
      </w:pPr>
      <w:r>
        <w:drawing>
          <wp:inline distT="0" distB="0" distL="0" distR="0">
            <wp:extent cx="3429000" cy="4705350"/>
            <wp:effectExtent t="0" r="0" b="0" l="0"/>
            <wp:docPr id="1" name="liste-tablette.png" descr="Liste — catégorie Bâtiment — Tablette (768 px)" title="Liste — catégorie Bâtiment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4705350"/>
                    </a:xfrm>
                    <a:prstGeom prst="rect">
                      <a:avLst/>
                    </a:prstGeom>
                  </pic:spPr>
                </pic:pic>
              </a:graphicData>
            </a:graphic>
          </wp:inline>
        </w:drawing>
      </w:r>
    </w:p>
    <w:p>
      <w:pPr>
        <w:spacing w:after="180"/>
        <w:jc w:val="center"/>
      </w:pPr>
      <w:r>
        <w:rPr>
          <w:i/>
          <w:iCs/>
          <w:color w:val="384050"/>
          <w:sz w:val="18"/>
          <w:szCs w:val="18"/>
        </w:rPr>
        <w:t xml:space="preserve">Liste — catégorie Bâtiment — Tablette (768 px)</w:t>
      </w:r>
    </w:p>
    <w:p>
      <w:pPr>
        <w:spacing w:before="100" w:after="60"/>
        <w:jc w:val="center"/>
      </w:pPr>
      <w:r>
        <w:drawing>
          <wp:inline distT="0" distB="0" distL="0" distR="0">
            <wp:extent cx="5143500" cy="4362450"/>
            <wp:effectExtent t="0" r="0" b="0" l="0"/>
            <wp:docPr id="1"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62450"/>
                    </a:xfrm>
                    <a:prstGeom prst="rect">
                      <a:avLst/>
                    </a:prstGeom>
                  </pic:spPr>
                </pic:pic>
              </a:graphicData>
            </a:graphic>
          </wp:inline>
        </w:drawing>
      </w:r>
    </w:p>
    <w:p>
      <w:pPr>
        <w:spacing w:after="180"/>
        <w:jc w:val="center"/>
      </w:pPr>
      <w:r>
        <w:rPr>
          <w:i/>
          <w:iCs/>
          <w:color w:val="384050"/>
          <w:sz w:val="18"/>
          <w:szCs w:val="18"/>
        </w:rPr>
        <w:t xml:space="preserve">Liste — catégorie Bâtiment — Desktop (1280 px)</w:t>
      </w:r>
    </w:p>
    <w:p>
      <w:pPr>
        <w:pStyle w:val="Heading3"/>
        <w:spacing w:before="200" w:after="100"/>
      </w:pPr>
      <w:r>
        <w:rPr>
          <w:b/>
          <w:bCs/>
        </w:rPr>
        <w:t xml:space="preserve">2.3.4 Fiche artisan + formulaire</w:t>
      </w:r>
    </w:p>
    <w:p>
      <w:pPr>
        <w:spacing w:after="120"/>
        <w:jc w:val="both"/>
      </w:pPr>
      <w:r>
        <w:t xml:space="preserve">La fiche d'Orville Salmons sert d'exemple. La même structure est utilisée pour les 17 artisans, seules les données changent.</w:t>
      </w:r>
    </w:p>
    <w:p>
      <w:pPr>
        <w:spacing w:before="100" w:after="60"/>
        <w:jc w:val="center"/>
      </w:pPr>
      <w:r>
        <w:drawing>
          <wp:inline distT="0" distB="0" distL="0" distR="0">
            <wp:extent cx="1704975" cy="5715000"/>
            <wp:effectExtent t="0" r="0" b="0" l="0"/>
            <wp:docPr id="1" name="fiche-mobile.png" descr="Fiche artisan — Mobile (375 px)" title="Fiche artisan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04975" cy="5715000"/>
                    </a:xfrm>
                    <a:prstGeom prst="rect">
                      <a:avLst/>
                    </a:prstGeom>
                  </pic:spPr>
                </pic:pic>
              </a:graphicData>
            </a:graphic>
          </wp:inline>
        </w:drawing>
      </w:r>
    </w:p>
    <w:p>
      <w:pPr>
        <w:spacing w:after="180"/>
        <w:jc w:val="center"/>
      </w:pPr>
      <w:r>
        <w:rPr>
          <w:i/>
          <w:iCs/>
          <w:color w:val="384050"/>
          <w:sz w:val="18"/>
          <w:szCs w:val="18"/>
        </w:rPr>
        <w:t xml:space="preserve">Fiche artisan — Mobile (375 px)</w:t>
      </w:r>
    </w:p>
    <w:p>
      <w:pPr>
        <w:spacing w:before="100" w:after="60"/>
        <w:jc w:val="center"/>
      </w:pPr>
      <w:r>
        <w:drawing>
          <wp:inline distT="0" distB="0" distL="0" distR="0">
            <wp:extent cx="3429000" cy="5695950"/>
            <wp:effectExtent t="0" r="0" b="0" l="0"/>
            <wp:docPr id="1" name="fiche-tablette.png" descr="Fiche artisan — Tablette (768 px)" title="Fiche artisan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5695950"/>
                    </a:xfrm>
                    <a:prstGeom prst="rect">
                      <a:avLst/>
                    </a:prstGeom>
                  </pic:spPr>
                </pic:pic>
              </a:graphicData>
            </a:graphic>
          </wp:inline>
        </w:drawing>
      </w:r>
    </w:p>
    <w:p>
      <w:pPr>
        <w:spacing w:after="180"/>
        <w:jc w:val="center"/>
      </w:pPr>
      <w:r>
        <w:rPr>
          <w:i/>
          <w:iCs/>
          <w:color w:val="384050"/>
          <w:sz w:val="18"/>
          <w:szCs w:val="18"/>
        </w:rPr>
        <w:t xml:space="preserve">Fiche artisan — Tablette (768 px)</w:t>
      </w:r>
    </w:p>
    <w:p>
      <w:pPr>
        <w:spacing w:before="100" w:after="60"/>
        <w:jc w:val="center"/>
      </w:pPr>
      <w:r>
        <w:drawing>
          <wp:inline distT="0" distB="0" distL="0" distR="0">
            <wp:extent cx="5143500" cy="4191000"/>
            <wp:effectExtent t="0" r="0" b="0" l="0"/>
            <wp:docPr id="1"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191000"/>
                    </a:xfrm>
                    <a:prstGeom prst="rect">
                      <a:avLst/>
                    </a:prstGeom>
                  </pic:spPr>
                </pic:pic>
              </a:graphicData>
            </a:graphic>
          </wp:inline>
        </w:drawing>
      </w:r>
    </w:p>
    <w:p>
      <w:pPr>
        <w:spacing w:after="180"/>
        <w:jc w:val="center"/>
      </w:pPr>
      <w:r>
        <w:rPr>
          <w:i/>
          <w:iCs/>
          <w:color w:val="384050"/>
          <w:sz w:val="18"/>
          <w:szCs w:val="18"/>
        </w:rPr>
        <w:t xml:space="preserve">Fiche artisan — Desktop (1280 px)</w:t>
      </w:r>
    </w:p>
    <w:p>
      <w:pPr>
        <w:pStyle w:val="Heading3"/>
        <w:spacing w:before="200" w:after="100"/>
      </w:pPr>
      <w:r>
        <w:rPr>
          <w:b/>
          <w:bCs/>
        </w:rPr>
        <w:t xml:space="preserve">2.3.5 Page 404</w:t>
      </w:r>
    </w:p>
    <w:p>
      <w:pPr>
        <w:spacing w:before="100" w:after="60"/>
        <w:jc w:val="center"/>
      </w:pPr>
      <w:r>
        <w:drawing>
          <wp:inline distT="0" distB="0" distL="0" distR="0">
            <wp:extent cx="1905000" cy="2752725"/>
            <wp:effectExtent t="0" r="0" b="0" l="0"/>
            <wp:docPr id="1"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752725"/>
                    </a:xfrm>
                    <a:prstGeom prst="rect">
                      <a:avLst/>
                    </a:prstGeom>
                  </pic:spPr>
                </pic:pic>
              </a:graphicData>
            </a:graphic>
          </wp:inline>
        </w:drawing>
      </w:r>
    </w:p>
    <w:p>
      <w:pPr>
        <w:spacing w:after="180"/>
        <w:jc w:val="center"/>
      </w:pPr>
      <w:r>
        <w:rPr>
          <w:i/>
          <w:iCs/>
          <w:color w:val="384050"/>
          <w:sz w:val="18"/>
          <w:szCs w:val="18"/>
        </w:rPr>
        <w:t xml:space="preserve">404 — Mobile (375 px)</w:t>
      </w:r>
    </w:p>
    <w:p>
      <w:pPr>
        <w:spacing w:before="100" w:after="60"/>
        <w:jc w:val="center"/>
      </w:pPr>
      <w:r>
        <w:drawing>
          <wp:inline distT="0" distB="0" distL="0" distR="0">
            <wp:extent cx="5143500" cy="2705100"/>
            <wp:effectExtent t="0" r="0" b="0" l="0"/>
            <wp:docPr id="1"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705100"/>
                    </a:xfrm>
                    <a:prstGeom prst="rect">
                      <a:avLst/>
                    </a:prstGeom>
                  </pic:spPr>
                </pic:pic>
              </a:graphicData>
            </a:graphic>
          </wp:inline>
        </w:drawing>
      </w:r>
    </w:p>
    <w:p>
      <w:pPr>
        <w:spacing w:after="180"/>
        <w:jc w:val="center"/>
      </w:pPr>
      <w:r>
        <w:rPr>
          <w:i/>
          <w:iCs/>
          <w:color w:val="384050"/>
          <w:sz w:val="18"/>
          <w:szCs w:val="18"/>
        </w:rPr>
        <w:t xml:space="preserve">404 — Desktop (1280 px)</w:t>
      </w:r>
    </w:p>
    <w:p>
      <w:pPr>
        <w:pStyle w:val="Heading2"/>
        <w:spacing w:before="240" w:after="120"/>
      </w:pPr>
      <w:r>
        <w:rPr>
          <w:b/>
          <w:bCs/>
        </w:rPr>
        <w:t xml:space="preserve">2.4 Enchaînement des écrans</w:t>
      </w:r>
    </w:p>
    <w:p>
      <w:pPr>
        <w:shd w:fill="F1F8FC" w:val="clear"/>
        <w:spacing w:after="120"/>
      </w:pPr>
      <w:r>
        <w:rPr>
          <w:sz w:val="20"/>
          <w:szCs w:val="20"/>
          <w:rFonts w:ascii="Consolas" w:cs="Consolas" w:eastAsia="Consolas" w:hAnsi="Consolas"/>
        </w:rPr>
        <w:t xml:space="preserve">[Accueil] ─ menu catégorie ────► [Liste filtrée]
          ─ recherche ─────────► [Liste filtrée]
          ─ artisan du mois ────► [Fiche artisan]
                                          │
                                          ▼
                                  [Formulaire] ──► confirmation
[Liste] ─ clic carte ────► [Fiche artisan]
[Toute URL inconnue] ────► [404] ─ retour ─► [Accueil]</w:t>
      </w:r>
    </w:p>
    <w:p>
      <w:r>
        <w:br w:type="page"/>
      </w:r>
    </w:p>
    <w:p>
      <w:pPr>
        <w:pStyle w:val="Heading1"/>
        <w:spacing w:before="360" w:after="180"/>
      </w:pPr>
      <w:r>
        <w:rPr>
          <w:b/>
          <w:bCs/>
        </w:rPr>
        <w:t xml:space="preserve">3. Base de données</w:t>
      </w:r>
    </w:p>
    <w:p>
      <w:pPr>
        <w:pStyle w:val="Heading2"/>
        <w:spacing w:before="240" w:after="120"/>
      </w:pPr>
      <w:r>
        <w:rPr>
          <w:b/>
          <w:bCs/>
        </w:rPr>
        <w:t xml:space="preserve">3.1 Règles de gestion</w:t>
      </w:r>
    </w:p>
    <w:p>
      <w:pPr>
        <w:pStyle w:val="ListParagraph"/>
        <w:numPr>
          <w:ilvl w:val="0"/>
          <w:numId w:val="2"/>
        </w:numPr>
        <w:spacing w:after="80"/>
      </w:pPr>
      <w:r>
        <w:t xml:space="preserve">Un artisan appartient à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est localisé dans une seule ville ; une ville regroupe potentiellement plusieurs artisans.</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Respect des formes normales</w:t>
      </w:r>
    </w:p>
    <w:p>
      <w:pPr>
        <w:spacing w:after="120"/>
        <w:jc w:val="both"/>
      </w:pPr>
      <w:r>
        <w:t xml:space="preserve">Le schéma respecte les trois premières formes normales (1FN, 2FN, 3FN). En particulier, la ville a été externalisée dans une table dédiée (cities) pour éviter la redondance du nom de ville sur chaque ligne d'artisan (3FN) : si une ville change de nom, une seule ligne est à modifier. Idem pour les catégories et les spécialités, qui sont des tables référentielles distinctes.</w:t>
      </w:r>
    </w:p>
    <w:p>
      <w:pPr>
        <w:pStyle w:val="Heading2"/>
        <w:spacing w:before="240" w:after="120"/>
      </w:pPr>
      <w:r>
        <w:rPr>
          <w:b/>
          <w:bCs/>
        </w:rPr>
        <w:t xml:space="preserve">3.3 Modèle conceptuel de données (MCD)</w:t>
      </w:r>
    </w:p>
    <w:p>
      <w:pPr>
        <w:spacing w:before="100" w:after="60"/>
        <w:jc w:val="center"/>
      </w:pPr>
      <w:r>
        <w:drawing>
          <wp:inline distT="0" distB="0" distL="0" distR="0">
            <wp:extent cx="4572000" cy="2857500"/>
            <wp:effectExtent t="0" r="0" b="0" l="0"/>
            <wp:docPr id="1" name="mcd.png" descr="MCD — 5 entités, cardinalités explicites" title="MCD — 5 entités, cardinalités explic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857500"/>
                    </a:xfrm>
                    <a:prstGeom prst="rect">
                      <a:avLst/>
                    </a:prstGeom>
                  </pic:spPr>
                </pic:pic>
              </a:graphicData>
            </a:graphic>
          </wp:inline>
        </w:drawing>
      </w:r>
    </w:p>
    <w:p>
      <w:pPr>
        <w:spacing w:after="180"/>
        <w:jc w:val="center"/>
      </w:pPr>
      <w:r>
        <w:rPr>
          <w:i/>
          <w:iCs/>
          <w:color w:val="384050"/>
          <w:sz w:val="18"/>
          <w:szCs w:val="18"/>
        </w:rPr>
        <w:t xml:space="preserve">MCD — 5 entités, cardinalités explicites</w:t>
      </w:r>
    </w:p>
    <w:p>
      <w:pPr>
        <w:pStyle w:val="Heading2"/>
        <w:spacing w:before="240" w:after="120"/>
      </w:pPr>
      <w:r>
        <w:rPr>
          <w:b/>
          <w:bCs/>
        </w:rPr>
        <w:t xml:space="preserve">3.4 Modèle logique de données (MLD)</w:t>
      </w:r>
    </w:p>
    <w:p>
      <w:pPr>
        <w:spacing w:before="100" w:after="60"/>
        <w:jc w:val="center"/>
      </w:pPr>
      <w:r>
        <w:drawing>
          <wp:inline distT="0" distB="0" distL="0" distR="0">
            <wp:extent cx="5143500" cy="3219450"/>
            <wp:effectExtent t="0" r="0" b="0" l="0"/>
            <wp:docPr id="1" name="mld.png" descr="MLD — types SQL, PK / UK / FK identifiés" title="MLD — types SQL, PK / UK / FK identifi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219450"/>
                    </a:xfrm>
                    <a:prstGeom prst="rect">
                      <a:avLst/>
                    </a:prstGeom>
                  </pic:spPr>
                </pic:pic>
              </a:graphicData>
            </a:graphic>
          </wp:inline>
        </w:drawing>
      </w:r>
    </w:p>
    <w:p>
      <w:pPr>
        <w:spacing w:after="180"/>
        <w:jc w:val="center"/>
      </w:pPr>
      <w:r>
        <w:rPr>
          <w:i/>
          <w:iCs/>
          <w:color w:val="384050"/>
          <w:sz w:val="18"/>
          <w:szCs w:val="18"/>
        </w:rPr>
        <w:t xml:space="preserve">MLD — types SQL, PK / UK / FK identifiés</w:t>
      </w:r>
    </w:p>
    <w:p>
      <w:pPr>
        <w:spacing w:after="120"/>
        <w:jc w:val="both"/>
      </w:pPr>
      <w:r>
        <w:t xml:space="preserve">Notation textuelle équivalente (avec PK soulignée et FK préfixées par #) :</w:t>
      </w:r>
    </w:p>
    <w:p>
      <w:pPr>
        <w:shd w:fill="F1F8FC" w:val="clear"/>
        <w:spacing w:after="120"/>
      </w:pPr>
      <w:r>
        <w:rPr>
          <w:sz w:val="20"/>
          <w:szCs w:val="20"/>
          <w:rFonts w:ascii="Consolas" w:cs="Consolas" w:eastAsia="Consolas" w:hAnsi="Consolas"/>
        </w:rPr>
        <w:t xml:space="preserve">categories       (id, name)
specialties      (id, name, #category_id)
cities           (id, name)
artisans         (id, name, rating, about, email, website, image_url,
                  is_top_of_month, #specialty_id, #city_id)
contact_messages (id, sender_name, sender_email, subject, message,
                  created_at, #artisan_id)</w:t>
      </w:r>
    </w:p>
    <w:p>
      <w:pPr>
        <w:pStyle w:val="Heading2"/>
        <w:spacing w:before="240" w:after="120"/>
      </w:pPr>
      <w:r>
        <w:rPr>
          <w:b/>
          <w:bCs/>
        </w:rPr>
        <w:t xml:space="preserve">3.5 Modèle physique de données (extrait)</w:t>
      </w:r>
    </w:p>
    <w:p>
      <w:pPr>
        <w:shd w:fill="F1F8FC" w:val="clear"/>
        <w:spacing w:after="120"/>
      </w:pPr>
      <w:r>
        <w:rPr>
          <w:sz w:val="20"/>
          <w:szCs w:val="20"/>
          <w:rFonts w:ascii="Consolas" w:cs="Consolas" w:eastAsia="Consolas" w:hAnsi="Consolas"/>
        </w:rPr>
        <w:t xml:space="preserve">CREATE TABLE cities (
  id          INT UNSIGNED AUTO_INCREMENT PRIMARY KEY,
  name        VARCHAR(120) NOT NULL UNIQUE,
  created_at  DATETIME NOT NULL DEFAULT CURRENT_TIMESTAMP,
  updated_at  DATETIME NOT NULL DEFAULT CURRENT_TIMESTAMP
                       ON UPDATE CURRENT_TIMESTAMP
) ENGINE=InnoDB CHARSET=utf8mb4 COLLATE=utf8mb4_unicode_ci;
CREATE TABLE artisans (
  id              INT UNSIGNED AUTO_INCREMENT PRIMARY KEY,
  name            VARCHAR(120) NOT NULL,
  rating          DECIMAL(2,1) NOT NULL DEFAULT 0.0,
  city_id         INT UNSIGNED NOT NULL,
  about           TEXT,
  email           VARCHAR(180) NOT NULL,
  website         VARCHAR(255),
  image_url       VARCHAR(255),
  specialty_id    INT UNSIGNED NOT NULL,
  is_top_of_month BOOLEAN NOT NULL DEFAULT FALSE,
  created_at      DATETIME NOT NULL DEFAULT CURRENT_TIMESTAMP,
  updated_at      DATETIME NOT NULL DEFAULT CURRENT_TIMESTAMP
                          ON UPDATE CURRENT_TIMESTAMP,
  CONSTRAINT chk_rating CHECK (rating BETWEEN 0 AND 5),
  CONSTRAINT fk_artisan_specialty
    FOREIGN KEY (specialty_id) REFERENCES specialties(id)
    ON DELETE RESTRICT ON UPDATE CASCADE,
  CONSTRAINT fk_artisan_city
    FOREIGN KEY (city_id) REFERENCES cities(id)
    ON DELETE RESTRICT ON UPDATE CASCADE
) ENGINE=InnoDB CHARSET=utf8mb4 COLLATE=utf8mb4_unicode_ci;</w:t>
      </w:r>
    </w:p>
    <w:p>
      <w:pPr>
        <w:spacing w:after="120"/>
        <w:jc w:val="both"/>
      </w:pPr>
      <w:r>
        <w:t xml:space="preserve">Les scripts SQL complets se trouvent dans database/01_schema.sql (création) et database/02_seed.sql (jeu d'essai). Une variante adaptée à un hébergement préfixé (AlwaysData) est disponible dans database/remote/.</w:t>
      </w:r>
    </w:p>
    <w:p>
      <w:pPr>
        <w:pStyle w:val="Heading2"/>
        <w:spacing w:before="240" w:after="120"/>
      </w:pPr>
      <w:r>
        <w:rPr>
          <w:b/>
          <w:bCs/>
        </w:rPr>
        <w:t xml:space="preserve">3.6 Jeu d'essai</w:t>
      </w:r>
    </w:p>
    <w:p>
      <w:pPr>
        <w:spacing w:after="120"/>
        <w:jc w:val="both"/>
      </w:pPr>
      <w:r>
        <w:t xml:space="preserve">Issu du fichier data.xlsx fourni avec le brief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14 villes uniques (Lyon revient 3 fois, Valence 2 fois, les autres 1 fois).</w:t>
      </w:r>
    </w:p>
    <w:p>
      <w:pPr>
        <w:pStyle w:val="ListParagraph"/>
        <w:numPr>
          <w:ilvl w:val="0"/>
          <w:numId w:val="2"/>
        </w:numPr>
        <w:spacing w:after="80"/>
      </w:pPr>
      <w:r>
        <w:t xml:space="preserve">17 artisans dont 3 mis en avant comme « artisans du mois ».</w:t>
      </w:r>
    </w:p>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La table contact_messages enregistre ces données pour traçabilité. Une politique de purge automatique (par exemple 12 mois glissants) pourra être ajoutée. La page « Données personnelles » sera complétée par un cabinet spécialisé conformément au RGPD.</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Couplé au caractère obligatoire de la clé d’API, cela rend extrêmement coûteuses les tentatives de spam massif des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cxlx6wzyu2bw6zam3neot">
        <w:r>
          <w:rPr>
            <w:rStyle w:val="Hyperlink"/>
          </w:rPr>
          <w:t xml:space="preserve">https://github.com/Sylvain13bdr/trouve-ton-artisan</w:t>
        </w:r>
      </w:hyperlink>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 (version XAMPP locale).</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database/remote/ — Variantes des scripts SQL pour hébergement distant (AlwaysData).</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6jpkesvf55ecm_jvy79zl">
        <w:r>
          <w:rPr>
            <w:rStyle w:val="Hyperlink"/>
          </w:rPr>
          <w:t xml:space="preserve">https://trouve-ton-artisan-rosy.vercel.app/</w:t>
        </w:r>
      </w:hyperlink>
    </w:p>
    <w:p>
      <w:pPr>
        <w:spacing w:after="120"/>
      </w:pPr>
      <w:r>
        <w:t xml:space="preserve">API (Render) : </w:t>
      </w:r>
      <w:hyperlink w:history="1" r:id="rIdzzwdio8flitfm5oyrqvno">
        <w:r>
          <w:rPr>
            <w:rStyle w:val="Hyperlink"/>
          </w:rPr>
          <w:t xml:space="preserve">https://trouve-ton-artisan-api-oqmj.onrender.com/api/health</w:t>
        </w:r>
      </w:hyperlink>
    </w:p>
    <w:p>
      <w:pPr>
        <w:spacing w:after="120"/>
        <w:jc w:val="both"/>
      </w:pPr>
      <w:r>
        <w:t xml:space="preserve">Base de données MySQL/MariaDB hébergée sur AlwaysData (hôte mysql-sylvain13bdr.alwaysdata.net), connexion SSL obligatoire.</w:t>
      </w:r>
    </w:p>
    <w:p>
      <w:pPr>
        <w:pStyle w:val="Heading2"/>
        <w:spacing w:before="240" w:after="120"/>
      </w:pPr>
      <w:r>
        <w:rPr>
          <w:b/>
          <w:bCs/>
        </w:rPr>
        <w:t xml:space="preserve">6.3 Maquettes Figma</w:t>
      </w:r>
    </w:p>
    <w:p>
      <w:pPr>
        <w:spacing w:after="120"/>
      </w:pPr>
      <w:r>
        <w:t xml:space="preserve">Fichier de maquettes (lecture publique) : </w:t>
      </w:r>
      <w:hyperlink w:history="1" r:id="rIdjm_idpw3jewszylhepjxp">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17/06/2026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pqpiuumg8cfel8taw3-us" Type="http://schemas.openxmlformats.org/officeDocument/2006/relationships/hyperlink" Target="https://www.figma.com/design/vch2TgFsEjaY9O7gjnNakX/Trouve-ton-Artisan" TargetMode="External"/><Relationship Id="rIdcxlx6wzyu2bw6zam3neot" Type="http://schemas.openxmlformats.org/officeDocument/2006/relationships/hyperlink" Target="https://github.com/Sylvain13bdr/trouve-ton-artisan" TargetMode="External"/><Relationship Id="rId6jpkesvf55ecm_jvy79zl" Type="http://schemas.openxmlformats.org/officeDocument/2006/relationships/hyperlink" Target="https://trouve-ton-artisan-rosy.vercel.app/" TargetMode="External"/><Relationship Id="rIdzzwdio8flitfm5oyrqvno" Type="http://schemas.openxmlformats.org/officeDocument/2006/relationships/hyperlink" Target="https://trouve-ton-artisan-api-oqmj.onrender.com/api/health" TargetMode="External"/><Relationship Id="rIdjm_idpw3jewszylhepjxp" Type="http://schemas.openxmlformats.org/officeDocument/2006/relationships/hyperlink" Target="https://www.figma.com/design/vch2TgFsEjaY9O7gjnNakX/Trouve-ton-Artisan" TargetMode="External"/><Relationship Id="rId8" Type="http://schemas.openxmlformats.org/officeDocument/2006/relationships/image" Target="media/skc3ot8rizdaerypype1r.png"/><Relationship Id="rId9" Type="http://schemas.openxmlformats.org/officeDocument/2006/relationships/image" Target="media/_7mm3vebkcduritainmk_.png"/><Relationship Id="rId10" Type="http://schemas.openxmlformats.org/officeDocument/2006/relationships/image" Target="media/hyef264z1o5yjdce4_xcd.png"/><Relationship Id="rId11" Type="http://schemas.openxmlformats.org/officeDocument/2006/relationships/image" Target="media/wsnsyqvjabygytvkrvrd3.png"/><Relationship Id="rId12" Type="http://schemas.openxmlformats.org/officeDocument/2006/relationships/image" Target="media/ciwbhh1zvfuzyfuzxwonm.png"/><Relationship Id="rId13" Type="http://schemas.openxmlformats.org/officeDocument/2006/relationships/image" Target="media/rdn9cofowx8obausryjya.png"/><Relationship Id="rId14" Type="http://schemas.openxmlformats.org/officeDocument/2006/relationships/image" Target="media/swvc9dhvlgtxnwkijiw-g.png"/><Relationship Id="rId15" Type="http://schemas.openxmlformats.org/officeDocument/2006/relationships/image" Target="media/8wtnysl1cumz3alhc5oyo.png"/><Relationship Id="rId16" Type="http://schemas.openxmlformats.org/officeDocument/2006/relationships/image" Target="media/b8ags7xvk8lklcazusbtv.png"/><Relationship Id="rId17" Type="http://schemas.openxmlformats.org/officeDocument/2006/relationships/image" Target="media/y5jepj5admd_cv2un6tbo.png"/><Relationship Id="rId18" Type="http://schemas.openxmlformats.org/officeDocument/2006/relationships/image" Target="media/lo-vz3f7skd07xzerjmnr.png"/><Relationship Id="rId19" Type="http://schemas.openxmlformats.org/officeDocument/2006/relationships/image" Target="media/lg5c58sgmh6mjmbmkvuaw.png"/><Relationship Id="rId20" Type="http://schemas.openxmlformats.org/officeDocument/2006/relationships/image" Target="media/iasuctdwgwebmtfe8sfgo.png"/><Relationship Id="rId21" Type="http://schemas.openxmlformats.org/officeDocument/2006/relationships/image" Target="media/plvezanbfjpu5_fi5ca48.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2026-06-17T19:54:04.225Z</dcterms:created>
  <dcterms:modified xsi:type="dcterms:W3CDTF">2026-06-17T19:54:04.226Z</dcterms:modified>
</cp:coreProperties>
</file>

<file path=docProps/custom.xml><?xml version="1.0" encoding="utf-8"?>
<Properties xmlns="http://schemas.openxmlformats.org/officeDocument/2006/custom-properties" xmlns:vt="http://schemas.openxmlformats.org/officeDocument/2006/docPropsVTypes"/>
</file>