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20/07/2026</w:t>
      </w:r>
    </w:p>
    <w:p>
      <w:pPr>
        <w:spacing w:after="60"/>
        <w:jc w:val="center"/>
      </w:pPr>
      <w:r>
        <w:rPr>
          <w:b/>
          <w:bCs/>
        </w:rPr>
        <w:t xml:space="preserve">Identifiant CEF : </w:t>
      </w:r>
      <w:r>
        <w:t xml:space="preserve">F516414B</w:t>
      </w:r>
    </w:p>
    <w:p>
      <w:r>
        <w:br w:type="page"/>
      </w:r>
    </w:p>
    <w:p>
      <w:pPr>
        <w:pStyle w:val="Heading1"/>
        <w:keepNext/>
        <w:keepLines/>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before="360" w:after="180"/>
      </w:pPr>
      <w:r>
        <w:rPr>
          <w:b/>
          <w:bCs/>
        </w:rPr>
        <w:t xml:space="preserve">Introduction — Compétences du référentiel couvertes</w:t>
      </w:r>
    </w:p>
    <w:p>
      <w:pPr>
        <w:spacing w:after="200" w:line="276"/>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keepNext/>
        <w:keepLines/>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Mise en œuvre dans le projet</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Maquettes Figma en mobile-first pour les trois résolutions (mobile 375 px, tablette 768 px, ordinateur 1280 px), charte graphique respectée, schéma d'enchaînement des écrans.</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Composants React structurés, Bootstrap 5 et Sass, HTML sémantique, mise en page responsive, accessibilité WCAG 2.1 (lien d'évitement, attributs ARIA, focus visible).</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React (hooks d'état et d'effet), consommation de l'API REST via un client fetch centralisé, formulaires dynamiques (contact et avis) avec validation côté client.</w:t>
            </w:r>
          </w:p>
        </w:tc>
      </w:tr>
    </w:tbl>
    <w:p>
      <w:pPr>
        <w:pStyle w:val="Heading2"/>
        <w:keepNext/>
        <w:keepLines/>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Mise en œuvre dans le projet</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MySQL/MariaDB : MCD, MLD et modèle physique, respect des trois formes normales, contraintes (clés étrangères, CHECK, UNIQUE), vue de lecture, scripts de création et d'alimentation.</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Couche services dédiée : accès SQL via Sequelize (artisans, catégories, villes) ET accès NoSQL via Mongoose (avis clients stockés dans MongoDB).</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Architecture en couches (routes → contrôleurs → services → modèles), logique métier isolée dans les services, validation, sécurité et gestion centralisée des erreurs.</w:t>
            </w:r>
          </w:p>
        </w:tc>
      </w:tr>
    </w:tbl>
    <w:p>
      <w:pPr>
        <w:spacing w:after="200" w:line="276"/>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keepNext/>
        <w:keepLines/>
        <w:spacing w:before="360" w:after="180"/>
      </w:pPr>
      <w:r>
        <w:rPr>
          <w:b/>
          <w:bCs/>
        </w:rPr>
        <w:t xml:space="preserve">1. Contexte du projet</w:t>
      </w:r>
    </w:p>
    <w:p>
      <w:pPr>
        <w:pStyle w:val="Heading2"/>
        <w:keepNext/>
        <w:keepLines/>
        <w:spacing w:before="240" w:after="120"/>
      </w:pPr>
      <w:r>
        <w:rPr>
          <w:b/>
          <w:bCs/>
        </w:rPr>
        <w:t xml:space="preserve">1.1 Présentation de l'entreprise</w:t>
      </w:r>
    </w:p>
    <w:p>
      <w:pPr>
        <w:spacing w:after="200" w:line="276"/>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200" w:line="276"/>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keepNext/>
        <w:keepLines/>
        <w:spacing w:before="240" w:after="120"/>
      </w:pPr>
      <w:r>
        <w:rPr>
          <w:b/>
          <w:bCs/>
        </w:rPr>
        <w:t xml:space="preserve">1.2 Expression des besoins</w:t>
      </w:r>
    </w:p>
    <w:p>
      <w:pPr>
        <w:spacing w:after="200" w:line="276"/>
        <w:jc w:val="both"/>
      </w:pPr>
      <w:r>
        <w:t xml:space="preserve">La plateforme doit permettre :</w:t>
      </w:r>
    </w:p>
    <w:p>
      <w:pPr>
        <w:pStyle w:val="ListParagraph"/>
        <w:numPr>
          <w:ilvl w:val="0"/>
          <w:numId w:val="2"/>
        </w:numPr>
        <w:spacing w:after="120" w:line="276"/>
      </w:pPr>
      <w:r>
        <w:t xml:space="preserve">À un particulier de trouver un artisan par catégorie ou par nom.</w:t>
      </w:r>
    </w:p>
    <w:p>
      <w:pPr>
        <w:pStyle w:val="ListParagraph"/>
        <w:numPr>
          <w:ilvl w:val="0"/>
          <w:numId w:val="2"/>
        </w:numPr>
        <w:spacing w:after="120" w:line="276"/>
      </w:pPr>
      <w:r>
        <w:t xml:space="preserve">De consulter la fiche détaillée d’un artisan (note, spécialité, localisation, à propos, site web).</w:t>
      </w:r>
    </w:p>
    <w:p>
      <w:pPr>
        <w:pStyle w:val="ListParagraph"/>
        <w:numPr>
          <w:ilvl w:val="0"/>
          <w:numId w:val="2"/>
        </w:numPr>
        <w:spacing w:after="120" w:line="276"/>
      </w:pPr>
      <w:r>
        <w:t xml:space="preserve">De contacter directement un artisan via un formulaire de contact (réponse sous 48 h).</w:t>
      </w:r>
    </w:p>
    <w:p>
      <w:pPr>
        <w:pStyle w:val="ListParagraph"/>
        <w:numPr>
          <w:ilvl w:val="0"/>
          <w:numId w:val="2"/>
        </w:numPr>
        <w:spacing w:after="120" w:line="276"/>
      </w:pPr>
      <w:r>
        <w:t xml:space="preserve">De mettre en avant trois « artisans du mois » sur la page d’accueil.</w:t>
      </w:r>
    </w:p>
    <w:p>
      <w:pPr>
        <w:pStyle w:val="Heading2"/>
        <w:keepNext/>
        <w:keepLines/>
        <w:spacing w:before="240" w:after="120"/>
      </w:pPr>
      <w:r>
        <w:rPr>
          <w:b/>
          <w:bCs/>
        </w:rPr>
        <w:t xml:space="preserve">1.3 Contraintes</w:t>
      </w:r>
    </w:p>
    <w:p>
      <w:pPr>
        <w:pStyle w:val="ListParagraph"/>
        <w:numPr>
          <w:ilvl w:val="0"/>
          <w:numId w:val="2"/>
        </w:numPr>
        <w:spacing w:after="120" w:line="276"/>
      </w:pPr>
      <w:r>
        <w:t xml:space="preserve">Site accessible à tous (jeunes, personnes âgées, personnes en situation de handicap) : norme WCAG 2.1.</w:t>
      </w:r>
    </w:p>
    <w:p>
      <w:pPr>
        <w:pStyle w:val="ListParagraph"/>
        <w:numPr>
          <w:ilvl w:val="0"/>
          <w:numId w:val="2"/>
        </w:numPr>
        <w:spacing w:after="120" w:line="276"/>
      </w:pPr>
      <w:r>
        <w:t xml:space="preserve">Conception mobile-first, fonctionnement optimal sur mobile, tablette et ordinateur.</w:t>
      </w:r>
    </w:p>
    <w:p>
      <w:pPr>
        <w:pStyle w:val="ListParagraph"/>
        <w:numPr>
          <w:ilvl w:val="0"/>
          <w:numId w:val="2"/>
        </w:numPr>
        <w:spacing w:after="120" w:line="276"/>
      </w:pPr>
      <w:r>
        <w:t xml:space="preserve">Sécurité renforcée (collectivité publique).</w:t>
      </w:r>
    </w:p>
    <w:p>
      <w:pPr>
        <w:pStyle w:val="ListParagraph"/>
        <w:numPr>
          <w:ilvl w:val="0"/>
          <w:numId w:val="2"/>
        </w:numPr>
        <w:spacing w:after="120" w:line="276"/>
      </w:pPr>
      <w:r>
        <w:t xml:space="preserve">Cohérence visuelle avec le site de la région Auvergne-Rhône-Alpes.</w:t>
      </w:r>
    </w:p>
    <w:p>
      <w:pPr>
        <w:pStyle w:val="ListParagraph"/>
        <w:numPr>
          <w:ilvl w:val="0"/>
          <w:numId w:val="2"/>
        </w:numPr>
        <w:spacing w:after="120" w:line="276"/>
      </w:pPr>
      <w:r>
        <w:t xml:space="preserve">Stack : React + Bootstrap + Sass (front) ; Node.js + Express + Sequelize avec MySQL/MariaDB, et MongoDB/Mongoose pour les avis (back).</w:t>
      </w:r>
    </w:p>
    <w:p>
      <w:pPr>
        <w:pStyle w:val="ListParagraph"/>
        <w:numPr>
          <w:ilvl w:val="0"/>
          <w:numId w:val="2"/>
        </w:numPr>
        <w:spacing w:after="120" w:line="276"/>
      </w:pPr>
      <w:r>
        <w:t xml:space="preserve">Versioning sur GitHub, dépôt public.</w:t>
      </w:r>
    </w:p>
    <w:p>
      <w:pPr>
        <w:pStyle w:val="ListParagraph"/>
        <w:numPr>
          <w:ilvl w:val="0"/>
          <w:numId w:val="2"/>
        </w:numPr>
        <w:spacing w:after="120" w:line="276"/>
      </w:pPr>
      <w:r>
        <w:t xml:space="preserve">Accès à l’API restreint à l’application.</w:t>
      </w:r>
    </w:p>
    <w:p>
      <w:pPr>
        <w:pStyle w:val="Heading2"/>
        <w:keepNext/>
        <w:keepLines/>
        <w:spacing w:before="240" w:after="120"/>
      </w:pPr>
      <w:r>
        <w:rPr>
          <w:b/>
          <w:bCs/>
        </w:rPr>
        <w:t xml:space="preserve">1.4 Livrables attendus</w:t>
      </w:r>
    </w:p>
    <w:p>
      <w:pPr>
        <w:pStyle w:val="ListParagraph"/>
        <w:numPr>
          <w:ilvl w:val="0"/>
          <w:numId w:val="2"/>
        </w:numPr>
        <w:spacing w:after="120" w:line="276"/>
      </w:pPr>
      <w:r>
        <w:t xml:space="preserve">Dossier PDF (ce document) : contexte, maquettes, BDD, sécurité, veille, liens.</w:t>
      </w:r>
    </w:p>
    <w:p>
      <w:pPr>
        <w:pStyle w:val="ListParagraph"/>
        <w:numPr>
          <w:ilvl w:val="0"/>
          <w:numId w:val="2"/>
        </w:numPr>
        <w:spacing w:after="120" w:line="276"/>
      </w:pPr>
      <w:r>
        <w:t xml:space="preserve">Maquettes Figma pour mobile, tablette et ordinateur.</w:t>
      </w:r>
    </w:p>
    <w:p>
      <w:pPr>
        <w:pStyle w:val="ListParagraph"/>
        <w:numPr>
          <w:ilvl w:val="0"/>
          <w:numId w:val="2"/>
        </w:numPr>
        <w:spacing w:after="120" w:line="276"/>
      </w:pPr>
      <w:r>
        <w:t xml:space="preserve">Lien vers le dépôt GitHub public contenant code + scripts SQL.</w:t>
      </w:r>
    </w:p>
    <w:p>
      <w:pPr>
        <w:pStyle w:val="ListParagraph"/>
        <w:numPr>
          <w:ilvl w:val="0"/>
          <w:numId w:val="2"/>
        </w:numPr>
        <w:spacing w:after="120" w:line="276"/>
      </w:pPr>
      <w:r>
        <w:t xml:space="preserve">Lien vers le site déployé en ligne.</w:t>
      </w:r>
    </w:p>
    <w:p>
      <w:pPr>
        <w:pStyle w:val="ListParagraph"/>
        <w:numPr>
          <w:ilvl w:val="0"/>
          <w:numId w:val="2"/>
        </w:numPr>
        <w:spacing w:after="120" w:line="276"/>
      </w:pPr>
      <w:r>
        <w:t xml:space="preserve">Fichier README.md à la racine du dépôt.</w:t>
      </w:r>
    </w:p>
    <w:p>
      <w:pPr>
        <w:pStyle w:val="Heading2"/>
        <w:keepNext/>
        <w:keepLines/>
        <w:spacing w:before="240" w:after="120"/>
      </w:pPr>
      <w:r>
        <w:rPr>
          <w:b/>
          <w:bCs/>
        </w:rPr>
        <w:t xml:space="preserve">1.5 Environnement humain et technique, objectifs de qualité</w:t>
      </w:r>
    </w:p>
    <w:p>
      <w:pPr>
        <w:spacing w:after="200" w:line="276"/>
        <w:jc w:val="both"/>
      </w:pPr>
      <w:r>
        <w:t xml:space="preserve">L'ensemble du projet a été réalisé par un seul développeur, en autonomie complète : maquettage, développement front-end et back-end, mise en place des bases de données, tests, déploiement et rédaction des livrables. Ce travail s'inscrit dans la formation Développeur Web et Web Mobile du Centre Européen de Formation. L'interlocuteur métier est le service de la région situé à Lyon, qui a fourni le brief, la charte graphique et les données des artisans.</w:t>
      </w:r>
    </w:p>
    <w:p>
      <w:pPr>
        <w:spacing w:after="200" w:line="276"/>
        <w:jc w:val="both"/>
      </w:pPr>
      <w:r>
        <w:t xml:space="preserve">L'environnement technique s'articule autour d'un PC sous Windows 11, avec les outils suivants :</w:t>
      </w:r>
    </w:p>
    <w:p>
      <w:pPr>
        <w:pStyle w:val="ListParagraph"/>
        <w:numPr>
          <w:ilvl w:val="0"/>
          <w:numId w:val="2"/>
        </w:numPr>
        <w:spacing w:after="120" w:line="276"/>
      </w:pPr>
      <w:r>
        <w:t xml:space="preserve">Visual Studio Code : éditeur de code.</w:t>
      </w:r>
    </w:p>
    <w:p>
      <w:pPr>
        <w:pStyle w:val="ListParagraph"/>
        <w:numPr>
          <w:ilvl w:val="0"/>
          <w:numId w:val="2"/>
        </w:numPr>
        <w:spacing w:after="120" w:line="276"/>
      </w:pPr>
      <w:r>
        <w:t xml:space="preserve">Node.js et npm : exécution du serveur et gestion des dépendances.</w:t>
      </w:r>
    </w:p>
    <w:p>
      <w:pPr>
        <w:pStyle w:val="ListParagraph"/>
        <w:numPr>
          <w:ilvl w:val="0"/>
          <w:numId w:val="2"/>
        </w:numPr>
        <w:spacing w:after="120" w:line="276"/>
      </w:pPr>
      <w:r>
        <w:t xml:space="preserve">Git et GitHub : versioning, travail par branches et pull requests, dépôt public.</w:t>
      </w:r>
    </w:p>
    <w:p>
      <w:pPr>
        <w:pStyle w:val="ListParagraph"/>
        <w:numPr>
          <w:ilvl w:val="0"/>
          <w:numId w:val="2"/>
        </w:numPr>
        <w:spacing w:after="120" w:line="276"/>
      </w:pPr>
      <w:r>
        <w:t xml:space="preserve">XAMPP : serveur MySQL/MariaDB local, administré via phpMyAdmin.</w:t>
      </w:r>
    </w:p>
    <w:p>
      <w:pPr>
        <w:pStyle w:val="ListParagraph"/>
        <w:numPr>
          <w:ilvl w:val="0"/>
          <w:numId w:val="2"/>
        </w:numPr>
        <w:spacing w:after="120" w:line="276"/>
      </w:pPr>
      <w:r>
        <w:t xml:space="preserve">MongoDB Community Server : base NoSQL locale pour les avis clients.</w:t>
      </w:r>
    </w:p>
    <w:p>
      <w:pPr>
        <w:pStyle w:val="ListParagraph"/>
        <w:numPr>
          <w:ilvl w:val="0"/>
          <w:numId w:val="2"/>
        </w:numPr>
        <w:spacing w:after="120" w:line="276"/>
      </w:pPr>
      <w:r>
        <w:t xml:space="preserve">Figma : réalisation des maquettes dans les trois résolutions.</w:t>
      </w:r>
    </w:p>
    <w:p>
      <w:pPr>
        <w:pStyle w:val="ListParagraph"/>
        <w:numPr>
          <w:ilvl w:val="0"/>
          <w:numId w:val="2"/>
        </w:numPr>
        <w:spacing w:after="120" w:line="276"/>
      </w:pPr>
      <w:r>
        <w:t xml:space="preserve">Mocha, Chai et Supertest : tests automatisés de l'API.</w:t>
      </w:r>
    </w:p>
    <w:p>
      <w:pPr>
        <w:pStyle w:val="ListParagraph"/>
        <w:numPr>
          <w:ilvl w:val="0"/>
          <w:numId w:val="2"/>
        </w:numPr>
        <w:spacing w:after="120" w:line="276"/>
      </w:pPr>
      <w:r>
        <w:t xml:space="preserve">Navigateurs et leurs outils de développement : vérification du responsive et de l'accessibilité.</w:t>
      </w:r>
    </w:p>
    <w:p>
      <w:pPr>
        <w:pStyle w:val="ListParagraph"/>
        <w:numPr>
          <w:ilvl w:val="0"/>
          <w:numId w:val="2"/>
        </w:numPr>
        <w:spacing w:after="120" w:line="276"/>
      </w:pPr>
      <w:r>
        <w:t xml:space="preserve">Vercel, Render et AlwaysData : hébergement du frontend, de l'API et de la base de données.</w:t>
      </w:r>
    </w:p>
    <w:p>
      <w:pPr>
        <w:pStyle w:val="ListParagraph"/>
        <w:numPr>
          <w:ilvl w:val="0"/>
          <w:numId w:val="2"/>
        </w:numPr>
        <w:spacing w:after="120" w:line="276"/>
      </w:pPr>
      <w:r>
        <w:t xml:space="preserve">Word et PowerPoint : rédaction du dossier de projet et du support de présentation.</w:t>
      </w:r>
    </w:p>
    <w:p>
      <w:pPr>
        <w:spacing w:after="200" w:line="276"/>
        <w:jc w:val="both"/>
      </w:pPr>
      <w:r>
        <w:t xml:space="preserve">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r>
        <w:br w:type="page"/>
      </w:r>
    </w:p>
    <w:p>
      <w:pPr>
        <w:pStyle w:val="Heading1"/>
        <w:keepNext/>
        <w:keepLines/>
        <w:spacing w:before="360" w:after="180"/>
      </w:pPr>
      <w:r>
        <w:rPr>
          <w:b/>
          <w:bCs/>
        </w:rPr>
        <w:t xml:space="preserve">2. Réalisations front-end</w:t>
      </w:r>
    </w:p>
    <w:p>
      <w:pPr>
        <w:spacing w:after="200" w:line="276"/>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keepNext/>
        <w:keepLines/>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cantSplit/>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Usage principal</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Sections secondaires, hovers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Boutons, liens, accents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Hovers et accents forts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Texte principal, footer</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Erreurs, alertes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Succès, validations</w:t>
            </w:r>
          </w:p>
        </w:tc>
      </w:tr>
    </w:tbl>
    <w:p>
      <w:pPr>
        <w:spacing w:after="200" w:line="276"/>
        <w:jc w:val="both"/>
      </w:pPr>
      <w:r>
        <w:rPr>
          <w:i/>
          <w:iCs/>
        </w:rPr>
        <w:t xml:space="preserve">Police : Graphik (fallback Helvetica Neue / Arial).</w:t>
      </w:r>
    </w:p>
    <w:p>
      <w:pPr>
        <w:spacing w:after="200" w:line="276"/>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keepNext/>
        <w:keepLines/>
        <w:spacing w:before="240" w:after="120"/>
      </w:pPr>
      <w:r>
        <w:rPr>
          <w:b/>
          <w:bCs/>
        </w:rPr>
        <w:t xml:space="preserve">2.2 Lien Figma</w:t>
      </w:r>
    </w:p>
    <w:p>
      <w:pPr>
        <w:spacing w:after="120"/>
      </w:pPr>
      <w:r>
        <w:t xml:space="preserve">Maquettes complètes (consultation publique) : </w:t>
      </w:r>
      <w:hyperlink w:history="1" r:id="rId-valkaytsznqnm3iobpfc">
        <w:r>
          <w:rPr>
            <w:rStyle w:val="Hyperlink"/>
          </w:rPr>
          <w:t xml:space="preserve">Ouvrir le fichier Figma</w:t>
        </w:r>
      </w:hyperlink>
    </w:p>
    <w:p>
      <w:pPr>
        <w:pStyle w:val="Heading2"/>
        <w:keepNext/>
        <w:keepLines/>
        <w:spacing w:before="240" w:after="120"/>
      </w:pPr>
      <w:r>
        <w:rPr>
          <w:b/>
          <w:bCs/>
        </w:rPr>
        <w:t xml:space="preserve">2.3 Captures d’écran</w:t>
      </w:r>
    </w:p>
    <w:p>
      <w:pPr>
        <w:pStyle w:val="Heading3"/>
        <w:keepNext/>
        <w:keepLines/>
        <w:spacing w:before="200" w:after="100"/>
      </w:pPr>
      <w:r>
        <w:rPr>
          <w:b/>
          <w:bCs/>
        </w:rPr>
        <w:t xml:space="preserve">2.3.1 Charte graphique</w:t>
      </w:r>
    </w:p>
    <w:p>
      <w:pPr>
        <w:keepNext/>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keepNext/>
        <w:keepLines/>
        <w:spacing w:before="200" w:after="100"/>
      </w:pPr>
      <w:r>
        <w:rPr>
          <w:b/>
          <w:bCs/>
        </w:rPr>
        <w:t xml:space="preserve">2.3.2 Accueil</w:t>
      </w:r>
    </w:p>
    <w:p>
      <w:pPr>
        <w:keepNext/>
        <w:spacing w:before="100" w:after="60"/>
        <w:jc w:val="center"/>
      </w:pPr>
      <w:r>
        <w:drawing>
          <wp:inline distT="0" distB="0" distL="0" distR="0">
            <wp:extent cx="857250" cy="4476750"/>
            <wp:effectExtent t="0" r="0" b="0" l="0"/>
            <wp:docPr id="1" name="accueil-mobile.png" descr="accueil-mobile.png" title="accueil-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4476750"/>
                    </a:xfrm>
                    <a:prstGeom prst="rect">
                      <a:avLst/>
                    </a:prstGeom>
                  </pic:spPr>
                </pic:pic>
              </a:graphicData>
            </a:graphic>
          </wp:inline>
        </w:drawing>
      </w:r>
      <w:r>
        <w:t xml:space="preserve">        </w:t>
      </w:r>
      <w:r>
        <w:drawing>
          <wp:inline distT="0" distB="0" distL="0" distR="0">
            <wp:extent cx="1990725" cy="4476750"/>
            <wp:effectExtent t="0" r="0" b="0" l="0"/>
            <wp:docPr id="1" name="accueil-tablette.png" descr="accueil-tablette.png" title="accueil-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4476750"/>
                    </a:xfrm>
                    <a:prstGeom prst="rect">
                      <a:avLst/>
                    </a:prstGeom>
                  </pic:spPr>
                </pic:pic>
              </a:graphicData>
            </a:graphic>
          </wp:inline>
        </w:drawing>
      </w:r>
    </w:p>
    <w:p>
      <w:pPr>
        <w:spacing w:after="180"/>
        <w:jc w:val="center"/>
      </w:pPr>
      <w:r>
        <w:rPr>
          <w:i/>
          <w:iCs/>
          <w:color w:val="384050"/>
          <w:sz w:val="18"/>
          <w:szCs w:val="18"/>
        </w:rPr>
        <w:t xml:space="preserve">Accueil — Mobile (375 px) et Tablette (768 px)</w:t>
      </w:r>
    </w:p>
    <w:p>
      <w:pPr>
        <w:keepNext/>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keepNext/>
        <w:keepLines/>
        <w:spacing w:before="200" w:after="100"/>
      </w:pPr>
      <w:r>
        <w:rPr>
          <w:b/>
          <w:bCs/>
        </w:rPr>
        <w:t xml:space="preserve">2.3.3 Liste des artisans</w:t>
      </w:r>
    </w:p>
    <w:p>
      <w:pPr>
        <w:keepNext/>
        <w:spacing w:before="100" w:after="60"/>
        <w:jc w:val="center"/>
      </w:pPr>
      <w:r>
        <w:drawing>
          <wp:inline distT="0" distB="0" distL="0" distR="0">
            <wp:extent cx="1000125" cy="4476750"/>
            <wp:effectExtent t="0" r="0" b="0" l="0"/>
            <wp:docPr id="1" name="liste-mobile.png" descr="liste-mobile.png" title="list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00125" cy="4476750"/>
                    </a:xfrm>
                    <a:prstGeom prst="rect">
                      <a:avLst/>
                    </a:prstGeom>
                  </pic:spPr>
                </pic:pic>
              </a:graphicData>
            </a:graphic>
          </wp:inline>
        </w:drawing>
      </w:r>
      <w:r>
        <w:t xml:space="preserve">        </w:t>
      </w:r>
      <w:r>
        <w:drawing>
          <wp:inline distT="0" distB="0" distL="0" distR="0">
            <wp:extent cx="3257550" cy="4476750"/>
            <wp:effectExtent t="0" r="0" b="0" l="0"/>
            <wp:docPr id="1" name="liste-tablette.png" descr="liste-tablette.png" title="list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57550" cy="4476750"/>
                    </a:xfrm>
                    <a:prstGeom prst="rect">
                      <a:avLst/>
                    </a:prstGeom>
                  </pic:spPr>
                </pic:pic>
              </a:graphicData>
            </a:graphic>
          </wp:inline>
        </w:drawing>
      </w:r>
    </w:p>
    <w:p>
      <w:pPr>
        <w:spacing w:after="180"/>
        <w:jc w:val="center"/>
      </w:pPr>
      <w:r>
        <w:rPr>
          <w:i/>
          <w:iCs/>
          <w:color w:val="384050"/>
          <w:sz w:val="18"/>
          <w:szCs w:val="18"/>
        </w:rPr>
        <w:t xml:space="preserve">Liste — catégorie Bâtiment — Mobile (375 px) et Tablette (768 px)</w:t>
      </w:r>
    </w:p>
    <w:p>
      <w:pPr>
        <w:keepNext/>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keepNext/>
        <w:keepLines/>
        <w:spacing w:before="200" w:after="100"/>
      </w:pPr>
      <w:r>
        <w:rPr>
          <w:b/>
          <w:bCs/>
        </w:rPr>
        <w:t xml:space="preserve">2.3.4 Fiche artisan + formulaire</w:t>
      </w:r>
    </w:p>
    <w:p>
      <w:pPr>
        <w:spacing w:after="200" w:line="276"/>
        <w:jc w:val="both"/>
      </w:pPr>
      <w:r>
        <w:t xml:space="preserve">La fiche d'Orville Salmons sert d'exemple. La même structure est utilisée pour les 17 artisans, seules les données changent.</w:t>
      </w:r>
    </w:p>
    <w:p>
      <w:pPr>
        <w:keepNext/>
        <w:spacing w:before="100" w:after="60"/>
        <w:jc w:val="center"/>
      </w:pPr>
      <w:r>
        <w:drawing>
          <wp:inline distT="0" distB="0" distL="0" distR="0">
            <wp:extent cx="1333500" cy="4476750"/>
            <wp:effectExtent t="0" r="0" b="0" l="0"/>
            <wp:docPr id="1" name="fiche-mobile.png" descr="fiche-mobile.png" title="fich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33500" cy="4476750"/>
                    </a:xfrm>
                    <a:prstGeom prst="rect">
                      <a:avLst/>
                    </a:prstGeom>
                  </pic:spPr>
                </pic:pic>
              </a:graphicData>
            </a:graphic>
          </wp:inline>
        </w:drawing>
      </w:r>
      <w:r>
        <w:t xml:space="preserve">        </w:t>
      </w:r>
      <w:r>
        <w:drawing>
          <wp:inline distT="0" distB="0" distL="0" distR="0">
            <wp:extent cx="2695575" cy="4476750"/>
            <wp:effectExtent t="0" r="0" b="0" l="0"/>
            <wp:docPr id="1" name="fiche-tablette.png" descr="fiche-tablette.png" title="fich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95575" cy="4476750"/>
                    </a:xfrm>
                    <a:prstGeom prst="rect">
                      <a:avLst/>
                    </a:prstGeom>
                  </pic:spPr>
                </pic:pic>
              </a:graphicData>
            </a:graphic>
          </wp:inline>
        </w:drawing>
      </w:r>
    </w:p>
    <w:p>
      <w:pPr>
        <w:spacing w:after="180"/>
        <w:jc w:val="center"/>
      </w:pPr>
      <w:r>
        <w:rPr>
          <w:i/>
          <w:iCs/>
          <w:color w:val="384050"/>
          <w:sz w:val="18"/>
          <w:szCs w:val="18"/>
        </w:rPr>
        <w:t xml:space="preserve">Fiche artisan — Mobile (375 px) et Tablette (768 px)</w:t>
      </w:r>
    </w:p>
    <w:p>
      <w:pPr>
        <w:keepNext/>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keepNext/>
        <w:keepLines/>
        <w:spacing w:before="200" w:after="100"/>
      </w:pPr>
      <w:r>
        <w:rPr>
          <w:b/>
          <w:bCs/>
        </w:rPr>
        <w:t xml:space="preserve">2.3.5 Page 404</w:t>
      </w:r>
    </w:p>
    <w:p>
      <w:pPr>
        <w:keepNext/>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keepNext/>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keepNext/>
        <w:keepLines/>
        <w:spacing w:before="240" w:after="120"/>
      </w:pPr>
      <w:r>
        <w:rPr>
          <w:b/>
          <w:bCs/>
        </w:rPr>
        <w:t xml:space="preserve">2.4 Enchaînement des écrans</w:t>
      </w:r>
    </w:p>
    <w:p>
      <w:pPr>
        <w:spacing w:after="200" w:line="276"/>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keepNext/>
        <w:spacing w:before="100" w:after="60"/>
        <w:jc w:val="center"/>
      </w:pPr>
      <w:r>
        <w:drawing>
          <wp:inline distT="0" distB="0" distL="0" distR="0">
            <wp:extent cx="3905250" cy="5495925"/>
            <wp:effectExtent t="0" r="0" b="0" l="0"/>
            <wp:docPr id="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keepNext/>
        <w:keepLines/>
        <w:spacing w:before="240" w:after="120"/>
      </w:pPr>
      <w:r>
        <w:rPr>
          <w:b/>
          <w:bCs/>
        </w:rPr>
        <w:t xml:space="preserve">2.5 Interfaces utilisateur statiques</w:t>
      </w:r>
    </w:p>
    <w:p>
      <w:pPr>
        <w:spacing w:after="200" w:line="276"/>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keepNext/>
        <w:keepLines/>
        <w:spacing w:before="240" w:after="120"/>
      </w:pPr>
      <w:r>
        <w:rPr>
          <w:b/>
          <w:bCs/>
        </w:rPr>
        <w:t xml:space="preserve">2.6 Partie dynamique des interfaces</w:t>
      </w:r>
    </w:p>
    <w:p>
      <w:pPr>
        <w:spacing w:after="200" w:line="276"/>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keepNext/>
        <w:keepLines/>
        <w:spacing w:before="240" w:after="120"/>
      </w:pPr>
      <w:r>
        <w:rPr>
          <w:b/>
          <w:bCs/>
        </w:rPr>
        <w:t xml:space="preserve">2.7 Accessibilité et référencement</w:t>
      </w:r>
    </w:p>
    <w:p>
      <w:pPr>
        <w:spacing w:after="200" w:line="276"/>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200" w:line="276"/>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keepNext/>
        <w:keepLines/>
        <w:spacing w:before="240" w:after="120"/>
      </w:pPr>
      <w:r>
        <w:rPr>
          <w:b/>
          <w:bCs/>
        </w:rPr>
        <w:t xml:space="preserve">2.8 Éco-conception</w:t>
      </w:r>
    </w:p>
    <w:p>
      <w:pPr>
        <w:spacing w:after="200" w:line="276"/>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keepNext/>
        <w:keepLines/>
        <w:spacing w:before="360" w:after="180"/>
      </w:pPr>
      <w:r>
        <w:rPr>
          <w:b/>
          <w:bCs/>
        </w:rPr>
        <w:t xml:space="preserve">3. Base de données et composants serveur</w:t>
      </w:r>
    </w:p>
    <w:p>
      <w:pPr>
        <w:pStyle w:val="Heading2"/>
        <w:keepNext/>
        <w:keepLines/>
        <w:spacing w:before="240" w:after="120"/>
      </w:pPr>
      <w:r>
        <w:rPr>
          <w:b/>
          <w:bCs/>
        </w:rPr>
        <w:t xml:space="preserve">3.1 Règles de gestion</w:t>
      </w:r>
    </w:p>
    <w:p>
      <w:pPr>
        <w:pStyle w:val="ListParagraph"/>
        <w:numPr>
          <w:ilvl w:val="0"/>
          <w:numId w:val="2"/>
        </w:numPr>
        <w:spacing w:after="120" w:line="276"/>
      </w:pPr>
      <w:r>
        <w:t xml:space="preserve">Un artisan appartient à une seule spécialité.</w:t>
      </w:r>
    </w:p>
    <w:p>
      <w:pPr>
        <w:pStyle w:val="ListParagraph"/>
        <w:numPr>
          <w:ilvl w:val="0"/>
          <w:numId w:val="2"/>
        </w:numPr>
        <w:spacing w:after="120" w:line="276"/>
      </w:pPr>
      <w:r>
        <w:t xml:space="preserve">Une spécialité est rattachée à une seule catégorie.</w:t>
      </w:r>
    </w:p>
    <w:p>
      <w:pPr>
        <w:pStyle w:val="ListParagraph"/>
        <w:numPr>
          <w:ilvl w:val="0"/>
          <w:numId w:val="2"/>
        </w:numPr>
        <w:spacing w:after="120" w:line="276"/>
      </w:pPr>
      <w:r>
        <w:t xml:space="preserve">Un artisan est localisé dans une seule ville ; une ville regroupe potentiellement plusieurs artisans.</w:t>
      </w:r>
    </w:p>
    <w:p>
      <w:pPr>
        <w:pStyle w:val="ListParagraph"/>
        <w:numPr>
          <w:ilvl w:val="0"/>
          <w:numId w:val="2"/>
        </w:numPr>
        <w:spacing w:after="120" w:line="276"/>
      </w:pPr>
      <w:r>
        <w:t xml:space="preserve">Un artisan peut être marqué « artisan du mois ».</w:t>
      </w:r>
    </w:p>
    <w:p>
      <w:pPr>
        <w:pStyle w:val="ListParagraph"/>
        <w:numPr>
          <w:ilvl w:val="0"/>
          <w:numId w:val="2"/>
        </w:numPr>
        <w:spacing w:after="120" w:line="276"/>
      </w:pPr>
      <w:r>
        <w:t xml:space="preserve">Chaque artisan possède une note décimale entre 0 et 5.</w:t>
      </w:r>
    </w:p>
    <w:p>
      <w:pPr>
        <w:pStyle w:val="ListParagraph"/>
        <w:numPr>
          <w:ilvl w:val="0"/>
          <w:numId w:val="2"/>
        </w:numPr>
        <w:spacing w:after="120" w:line="276"/>
      </w:pPr>
      <w:r>
        <w:t xml:space="preserve">Un message de contact est associé à un seul artisan ; un artisan peut en recevoir plusieurs.</w:t>
      </w:r>
    </w:p>
    <w:p>
      <w:pPr>
        <w:pStyle w:val="Heading2"/>
        <w:keepNext/>
        <w:keepLines/>
        <w:spacing w:before="240" w:after="120"/>
      </w:pPr>
      <w:r>
        <w:rPr>
          <w:b/>
          <w:bCs/>
        </w:rPr>
        <w:t xml:space="preserve">3.2 Respect des formes normales</w:t>
      </w:r>
    </w:p>
    <w:p>
      <w:pPr>
        <w:spacing w:after="200" w:line="276"/>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keepNext/>
        <w:keepLines/>
        <w:spacing w:before="240" w:after="120"/>
      </w:pPr>
      <w:r>
        <w:rPr>
          <w:b/>
          <w:bCs/>
        </w:rPr>
        <w:t xml:space="preserve">3.3 Modèle conceptuel de données (MCD)</w:t>
      </w:r>
    </w:p>
    <w:p>
      <w:pPr>
        <w:keepNext/>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keepNext/>
        <w:keepLines/>
        <w:spacing w:before="240" w:after="120"/>
      </w:pPr>
      <w:r>
        <w:rPr>
          <w:b/>
          <w:bCs/>
        </w:rPr>
        <w:t xml:space="preserve">3.4 Modèle logique de données (MLD)</w:t>
      </w:r>
    </w:p>
    <w:p>
      <w:pPr>
        <w:keepNext/>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200" w:line="276"/>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keepNext/>
        <w:keepLines/>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200" w:line="276"/>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keepNext/>
        <w:keepLines/>
        <w:spacing w:before="240" w:after="120"/>
      </w:pPr>
      <w:r>
        <w:rPr>
          <w:b/>
          <w:bCs/>
        </w:rPr>
        <w:t xml:space="preserve">3.6 Jeu d'essai (données initiales)</w:t>
      </w:r>
    </w:p>
    <w:p>
      <w:pPr>
        <w:spacing w:after="200" w:line="276"/>
        <w:jc w:val="both"/>
      </w:pPr>
      <w:r>
        <w:t xml:space="preserve">Issu du fichier data.xlsx fourni avec le brief :</w:t>
      </w:r>
    </w:p>
    <w:p>
      <w:pPr>
        <w:pStyle w:val="ListParagraph"/>
        <w:numPr>
          <w:ilvl w:val="0"/>
          <w:numId w:val="2"/>
        </w:numPr>
        <w:spacing w:after="120" w:line="276"/>
      </w:pPr>
      <w:r>
        <w:t xml:space="preserve">4 catégories : Bâtiment, Services, Fabrication, Alimentation.</w:t>
      </w:r>
    </w:p>
    <w:p>
      <w:pPr>
        <w:pStyle w:val="ListParagraph"/>
        <w:numPr>
          <w:ilvl w:val="0"/>
          <w:numId w:val="2"/>
        </w:numPr>
        <w:spacing w:after="120" w:line="276"/>
      </w:pPr>
      <w:r>
        <w:t xml:space="preserve">15 spécialités réparties dans les 4 catégories.</w:t>
      </w:r>
    </w:p>
    <w:p>
      <w:pPr>
        <w:pStyle w:val="ListParagraph"/>
        <w:numPr>
          <w:ilvl w:val="0"/>
          <w:numId w:val="2"/>
        </w:numPr>
        <w:spacing w:after="120" w:line="276"/>
      </w:pPr>
      <w:r>
        <w:t xml:space="preserve">14 villes uniques (Lyon revient 3 fois, Valence 2 fois, les autres 1 fois).</w:t>
      </w:r>
    </w:p>
    <w:p>
      <w:pPr>
        <w:pStyle w:val="ListParagraph"/>
        <w:numPr>
          <w:ilvl w:val="0"/>
          <w:numId w:val="2"/>
        </w:numPr>
        <w:spacing w:after="120" w:line="276"/>
      </w:pPr>
      <w:r>
        <w:t xml:space="preserve">17 artisans dont 3 mis en avant comme « artisans du mois ».</w:t>
      </w:r>
    </w:p>
    <w:p>
      <w:pPr>
        <w:pStyle w:val="Heading2"/>
        <w:keepNext/>
        <w:keepLines/>
        <w:spacing w:before="240" w:after="120"/>
      </w:pPr>
      <w:r>
        <w:rPr>
          <w:b/>
          <w:bCs/>
        </w:rPr>
        <w:t xml:space="preserve">3.7 Données NoSQL : les avis clients (MongoDB)</w:t>
      </w:r>
    </w:p>
    <w:p>
      <w:pPr>
        <w:spacing w:after="200" w:line="276"/>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200" w:line="276"/>
        <w:jc w:val="both"/>
      </w:pPr>
      <w:r>
        <w:t xml:space="preserve">La connexion à MongoDB est volontairement non bloquante : si la base NoSQL est momentanément indisponible, l'API relationnelle continue de fonctionner et les routes d'avis renvoient un code 503 explicite.</w:t>
      </w:r>
    </w:p>
    <w:p>
      <w:pPr>
        <w:spacing w:after="200" w:line="276"/>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keepNext/>
        <w:keepLines/>
        <w:spacing w:before="240" w:after="120"/>
      </w:pPr>
      <w:r>
        <w:rPr>
          <w:b/>
          <w:bCs/>
        </w:rPr>
        <w:t xml:space="preserve">3.8 Composants d'accès aux données (SQL et NoSQL)</w:t>
      </w:r>
    </w:p>
    <w:p>
      <w:pPr>
        <w:spacing w:after="200" w:line="276"/>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keepNext/>
        <w:keepLines/>
        <w:spacing w:before="240" w:after="120"/>
      </w:pPr>
      <w:r>
        <w:rPr>
          <w:b/>
          <w:bCs/>
        </w:rPr>
        <w:t xml:space="preserve">3.9 Composants métier côté serveur</w:t>
      </w:r>
    </w:p>
    <w:p>
      <w:pPr>
        <w:spacing w:after="200" w:line="276"/>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keepNext/>
        <w:keepLines/>
        <w:spacing w:before="240" w:after="120"/>
      </w:pPr>
      <w:r>
        <w:rPr>
          <w:b/>
          <w:bCs/>
        </w:rPr>
        <w:t xml:space="preserve">3.10 Jeu d'essai de la fonctionnalité la plus représentative</w:t>
      </w:r>
    </w:p>
    <w:p>
      <w:pPr>
        <w:spacing w:after="200" w:line="276"/>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200" w:line="276"/>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cantSplit/>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Obtenu</w:t>
            </w:r>
          </w:p>
        </w:tc>
      </w:tr>
      <w:tr>
        <w:trPr>
          <w:cantSplit/>
        </w:trP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Conforme (count 2, average 4).</w:t>
            </w:r>
          </w:p>
        </w:tc>
      </w:tr>
      <w:tr>
        <w:trPr>
          <w:cantSplit/>
        </w:trP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Conforme (400, ValidationError).</w:t>
            </w:r>
          </w:p>
        </w:tc>
      </w:tr>
      <w:tr>
        <w:trPr>
          <w:cantSplit/>
        </w:trP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Conforme (503).</w:t>
            </w:r>
          </w:p>
        </w:tc>
      </w:tr>
    </w:tbl>
    <w:p>
      <w:pPr>
        <w:spacing w:after="200" w:line="276"/>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keepNext/>
        <w:keepLines/>
        <w:spacing w:before="240" w:after="120"/>
      </w:pPr>
      <w:r>
        <w:rPr>
          <w:b/>
          <w:bCs/>
        </w:rPr>
        <w:t xml:space="preserve">3.11 Tests automatisés</w:t>
      </w:r>
    </w:p>
    <w:p>
      <w:pPr>
        <w:spacing w:after="200" w:line="276"/>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120" w:line="276"/>
      </w:pPr>
      <w:r>
        <w:t xml:space="preserve">Artisans (SQL) : liste, fiche détaillée, artisan introuvable, recherche sans résultat.</w:t>
      </w:r>
    </w:p>
    <w:p>
      <w:pPr>
        <w:pStyle w:val="ListParagraph"/>
        <w:numPr>
          <w:ilvl w:val="0"/>
          <w:numId w:val="2"/>
        </w:numPr>
        <w:spacing w:after="120" w:line="276"/>
      </w:pPr>
      <w:r>
        <w:t xml:space="preserve">Avis (NoSQL) : liste vide au départ, dépôt d'un avis, recalcul de la note moyenne, artisan inexistant.</w:t>
      </w:r>
    </w:p>
    <w:p>
      <w:pPr>
        <w:pStyle w:val="ListParagraph"/>
        <w:numPr>
          <w:ilvl w:val="0"/>
          <w:numId w:val="2"/>
        </w:numPr>
        <w:spacing w:after="120" w:line="276"/>
      </w:pPr>
      <w:r>
        <w:t xml:space="preserve">Sécurité : accès refusé sans clé d'API ou avec une mauvaise clé, validation des entrées, route de santé publique.</w:t>
      </w:r>
    </w:p>
    <w:p>
      <w:pPr>
        <w:spacing w:after="200" w:line="276"/>
        <w:jc w:val="both"/>
      </w:pPr>
      <w:r>
        <w:t xml:space="preserve">La suite compte onze tests, tous au vert (commande npm test).</w:t>
      </w:r>
    </w:p>
    <w:p>
      <w:r>
        <w:br w:type="page"/>
      </w:r>
    </w:p>
    <w:p>
      <w:pPr>
        <w:pStyle w:val="Heading1"/>
        <w:keepNext/>
        <w:keepLines/>
        <w:spacing w:before="360" w:after="180"/>
      </w:pPr>
      <w:r>
        <w:rPr>
          <w:b/>
          <w:bCs/>
        </w:rPr>
        <w:t xml:space="preserve">4. Sécurité</w:t>
      </w:r>
    </w:p>
    <w:p>
      <w:pPr>
        <w:spacing w:after="200" w:line="276"/>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keepNext/>
        <w:keepLines/>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cantSplit/>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Intérêt</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Restreint l’accès de l’API à la seule application web (exigence du brief).</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Empêche tout site tiers d’appeler l’API depuis un navigateur.</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Bouche les défauts de configuration HTTP courants (sniffing MIME, downgrade TLS, fuite de referer).</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Empêche le spam et la force brute sur la clé d’API.</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Évite les données malformées, prépare le terrain contre XSS et injection.</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Empêche l’injection SQL (OWASP A03).</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Limite l’impact d’une compromission de la couche applicative.</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Pas de secret dans le code, rotation facile.</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Confidentialité et intégrité des échanges (notamment du formulaire).</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Protection basique contre les payloads abusifs.</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Pas de fuite de stack trace ou de schéma BDD.</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Auditabilité en cas d’incident (spam, réclamation).</w:t>
            </w:r>
          </w:p>
        </w:tc>
      </w:tr>
    </w:tbl>
    <w:p>
      <w:pPr>
        <w:pStyle w:val="Heading2"/>
        <w:keepNext/>
        <w:keepLines/>
        <w:spacing w:before="240" w:after="120"/>
      </w:pPr>
      <w:r>
        <w:rPr>
          <w:b/>
          <w:bCs/>
        </w:rPr>
        <w:t xml:space="preserve">4.2 Détail des principales mesures</w:t>
      </w:r>
    </w:p>
    <w:p>
      <w:pPr>
        <w:pStyle w:val="Heading3"/>
        <w:keepNext/>
        <w:keepLines/>
        <w:spacing w:before="200" w:after="100"/>
      </w:pPr>
      <w:r>
        <w:rPr>
          <w:b/>
          <w:bCs/>
        </w:rPr>
        <w:t xml:space="preserve">4.2.1 Authentification de l’application par clé d’API</w:t>
      </w:r>
    </w:p>
    <w:p>
      <w:pPr>
        <w:spacing w:after="200" w:line="276"/>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keepNext/>
        <w:keepLines/>
        <w:spacing w:before="200" w:after="100"/>
      </w:pPr>
      <w:r>
        <w:rPr>
          <w:b/>
          <w:bCs/>
        </w:rPr>
        <w:t xml:space="preserve">4.2.2 Politique CORS restrictive</w:t>
      </w:r>
    </w:p>
    <w:p>
      <w:pPr>
        <w:spacing w:after="200" w:line="276"/>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keepNext/>
        <w:keepLines/>
        <w:spacing w:before="200" w:after="100"/>
      </w:pPr>
      <w:r>
        <w:rPr>
          <w:b/>
          <w:bCs/>
        </w:rPr>
        <w:t xml:space="preserve">4.2.3 Protection des données utilisateur</w:t>
      </w:r>
    </w:p>
    <w:p>
      <w:pPr>
        <w:spacing w:after="200" w:line="276"/>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keepNext/>
        <w:keepLines/>
        <w:spacing w:before="200" w:after="100"/>
      </w:pPr>
      <w:r>
        <w:rPr>
          <w:b/>
          <w:bCs/>
        </w:rPr>
        <w:t xml:space="preserve">4.2.4 Limitation du débit et anti-spam</w:t>
      </w:r>
    </w:p>
    <w:p>
      <w:pPr>
        <w:spacing w:after="200" w:line="276"/>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keepNext/>
        <w:keepLines/>
        <w:spacing w:before="360" w:after="180"/>
      </w:pPr>
      <w:r>
        <w:rPr>
          <w:b/>
          <w:bCs/>
        </w:rPr>
        <w:t xml:space="preserve">5. Veille de sécurité</w:t>
      </w:r>
    </w:p>
    <w:p>
      <w:pPr>
        <w:pStyle w:val="Heading2"/>
        <w:keepNext/>
        <w:keepLines/>
        <w:spacing w:before="240" w:after="120"/>
      </w:pPr>
      <w:r>
        <w:rPr>
          <w:b/>
          <w:bCs/>
        </w:rPr>
        <w:t xml:space="preserve">5.1 Sources consultées</w:t>
      </w:r>
    </w:p>
    <w:p>
      <w:pPr>
        <w:pStyle w:val="ListParagraph"/>
        <w:numPr>
          <w:ilvl w:val="0"/>
          <w:numId w:val="2"/>
        </w:numPr>
        <w:spacing w:after="120" w:line="276"/>
      </w:pPr>
      <w:r>
        <w:t xml:space="preserve">OWASP Top 10 (2021) — vulnérabilités web et recommandations.</w:t>
      </w:r>
    </w:p>
    <w:p>
      <w:pPr>
        <w:pStyle w:val="ListParagraph"/>
        <w:numPr>
          <w:ilvl w:val="0"/>
          <w:numId w:val="2"/>
        </w:numPr>
        <w:spacing w:after="120" w:line="276"/>
      </w:pPr>
      <w:r>
        <w:t xml:space="preserve">OWASP Cheat Sheets — fiches pratiques.</w:t>
      </w:r>
    </w:p>
    <w:p>
      <w:pPr>
        <w:pStyle w:val="ListParagraph"/>
        <w:numPr>
          <w:ilvl w:val="0"/>
          <w:numId w:val="2"/>
        </w:numPr>
        <w:spacing w:after="120" w:line="276"/>
      </w:pPr>
      <w:r>
        <w:t xml:space="preserve">Snyk Vulnerability DB &amp; GitHub Security Advisories — CVE des paquets npm utilisés.</w:t>
      </w:r>
    </w:p>
    <w:p>
      <w:pPr>
        <w:pStyle w:val="ListParagraph"/>
        <w:numPr>
          <w:ilvl w:val="0"/>
          <w:numId w:val="2"/>
        </w:numPr>
        <w:spacing w:after="120" w:line="276"/>
      </w:pPr>
      <w:r>
        <w:t xml:space="preserve">CNIL — bonnes pratiques RGPD pour les formulaires.</w:t>
      </w:r>
    </w:p>
    <w:p>
      <w:pPr>
        <w:pStyle w:val="ListParagraph"/>
        <w:numPr>
          <w:ilvl w:val="0"/>
          <w:numId w:val="2"/>
        </w:numPr>
        <w:spacing w:after="120" w:line="276"/>
      </w:pPr>
      <w:r>
        <w:t xml:space="preserve">W3C — WCAG 2.1 (accessibilité, imposé par le brief).</w:t>
      </w:r>
    </w:p>
    <w:p>
      <w:pPr>
        <w:pStyle w:val="ListParagraph"/>
        <w:numPr>
          <w:ilvl w:val="0"/>
          <w:numId w:val="2"/>
        </w:numPr>
        <w:spacing w:after="120" w:line="276"/>
      </w:pPr>
      <w:r>
        <w:t xml:space="preserve">MDN Web Docs — détails sur les en-têtes HTTP de sécurité (CSP, HSTS, etc.).</w:t>
      </w:r>
    </w:p>
    <w:p>
      <w:pPr>
        <w:pStyle w:val="Heading2"/>
        <w:keepNext/>
        <w:keepLines/>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cantSplit/>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Mesure prise</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Clé d’API obligatoire, pas de session, pas d’admin exposé.</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HTTPS + HSTS, secrets en variables d’environnement, comparaison à temps constant.</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Sequelize (paramétré), express-validator, échappement React.</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Modèle simple, contraintes BDD, moindre privilège.</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Helmet, x-powered-by désactivé, errorHandler discret en production.</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npm audit, dépendances à jour, lockfile commité.</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Pas d’espace membre, rate limiting, clé longue et aléatoire.</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package-lock.json versionné, sources officielles npm.</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Morgan en logs HTTP, traçabilité des messages.</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Aucune requête sortante déclenchée par des données utilisateur.</w:t>
            </w:r>
          </w:p>
        </w:tc>
      </w:tr>
    </w:tbl>
    <w:p>
      <w:pPr>
        <w:pStyle w:val="Heading2"/>
        <w:keepNext/>
        <w:keepLines/>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cantSplit/>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Résultat obtenu</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Sequelize paramétré</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React échappe automatiquement</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middleware apiKey</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express-rate-limit</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express.json limit</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OK au moment du rendu</w:t>
            </w:r>
          </w:p>
        </w:tc>
      </w:tr>
    </w:tbl>
    <w:p>
      <w:pPr>
        <w:pStyle w:val="Heading2"/>
        <w:keepNext/>
        <w:keepLines/>
        <w:spacing w:before="240" w:after="120"/>
      </w:pPr>
      <w:r>
        <w:rPr>
          <w:b/>
          <w:bCs/>
        </w:rPr>
        <w:t xml:space="preserve">5.4 Vulnérabilités corrigées en cours de développement</w:t>
      </w:r>
    </w:p>
    <w:p>
      <w:pPr>
        <w:pStyle w:val="ListParagraph"/>
        <w:numPr>
          <w:ilvl w:val="0"/>
          <w:numId w:val="2"/>
        </w:numPr>
        <w:spacing w:after="120" w:line="276"/>
      </w:pPr>
      <w:r>
        <w:t xml:space="preserve">Comparaison naïve de la clé d’API remplacée par crypto.timingSafeEqual (anti-timing attack).</w:t>
      </w:r>
    </w:p>
    <w:p>
      <w:pPr>
        <w:pStyle w:val="ListParagraph"/>
        <w:numPr>
          <w:ilvl w:val="0"/>
          <w:numId w:val="2"/>
        </w:numPr>
        <w:spacing w:after="120" w:line="276"/>
      </w:pPr>
      <w:r>
        <w:t xml:space="preserve">Ajout d’un handler explicite pour les 404 API afin d’éviter toute fuite de stack Express.</w:t>
      </w:r>
    </w:p>
    <w:p>
      <w:pPr>
        <w:pStyle w:val="ListParagraph"/>
        <w:numPr>
          <w:ilvl w:val="0"/>
          <w:numId w:val="2"/>
        </w:numPr>
        <w:spacing w:after="120" w:line="276"/>
      </w:pPr>
      <w:r>
        <w:t xml:space="preserve">Désactivation de l’en-tête X-Powered-By d’Express.</w:t>
      </w:r>
    </w:p>
    <w:p>
      <w:pPr>
        <w:pStyle w:val="ListParagraph"/>
        <w:numPr>
          <w:ilvl w:val="0"/>
          <w:numId w:val="2"/>
        </w:numPr>
        <w:spacing w:after="120" w:line="276"/>
      </w:pPr>
      <w:r>
        <w:t xml:space="preserve">Aucun usage de dangerouslySetInnerHTML côté React (XSS stocké/réfléchi).</w:t>
      </w:r>
    </w:p>
    <w:p>
      <w:r>
        <w:br w:type="page"/>
      </w:r>
    </w:p>
    <w:p>
      <w:pPr>
        <w:pStyle w:val="Heading1"/>
        <w:keepNext/>
        <w:keepLines/>
        <w:spacing w:before="360" w:after="180"/>
      </w:pPr>
      <w:r>
        <w:rPr>
          <w:b/>
          <w:bCs/>
        </w:rPr>
        <w:t xml:space="preserve">6. Liens du projet</w:t>
      </w:r>
    </w:p>
    <w:p>
      <w:pPr>
        <w:pStyle w:val="Heading2"/>
        <w:keepNext/>
        <w:keepLines/>
        <w:spacing w:before="240" w:after="120"/>
      </w:pPr>
      <w:r>
        <w:rPr>
          <w:b/>
          <w:bCs/>
        </w:rPr>
        <w:t xml:space="preserve">6.1 Dépôt GitHub</w:t>
      </w:r>
    </w:p>
    <w:p>
      <w:pPr>
        <w:spacing w:after="120"/>
      </w:pPr>
      <w:r>
        <w:t xml:space="preserve">Le dépôt est public et contient l’intégralité du code, les scripts SQL et le README.md : </w:t>
      </w:r>
      <w:hyperlink w:history="1" r:id="rIdncbo0g4ntv8a4uosnyf3l">
        <w:r>
          <w:rPr>
            <w:rStyle w:val="Hyperlink"/>
          </w:rPr>
          <w:t xml:space="preserve">https://github.com/Sylvain13bdr/trouve-ton-artisan</w:t>
        </w:r>
      </w:hyperlink>
    </w:p>
    <w:p>
      <w:pPr>
        <w:spacing w:after="200" w:line="276"/>
        <w:jc w:val="both"/>
      </w:pPr>
      <w:r>
        <w:t xml:space="preserve">Contenu du dépôt :</w:t>
      </w:r>
    </w:p>
    <w:p>
      <w:pPr>
        <w:pStyle w:val="ListParagraph"/>
        <w:numPr>
          <w:ilvl w:val="0"/>
          <w:numId w:val="2"/>
        </w:numPr>
        <w:spacing w:after="120" w:line="276"/>
      </w:pPr>
      <w:r>
        <w:t xml:space="preserve">backend/ — API Express + Sequelize.</w:t>
      </w:r>
    </w:p>
    <w:p>
      <w:pPr>
        <w:pStyle w:val="ListParagraph"/>
        <w:numPr>
          <w:ilvl w:val="0"/>
          <w:numId w:val="2"/>
        </w:numPr>
        <w:spacing w:after="120" w:line="276"/>
      </w:pPr>
      <w:r>
        <w:t xml:space="preserve">frontend/ — Application React + Bootstrap + Sass.</w:t>
      </w:r>
    </w:p>
    <w:p>
      <w:pPr>
        <w:pStyle w:val="ListParagraph"/>
        <w:numPr>
          <w:ilvl w:val="0"/>
          <w:numId w:val="2"/>
        </w:numPr>
        <w:spacing w:after="120" w:line="276"/>
      </w:pPr>
      <w:r>
        <w:t xml:space="preserve">database/01_schema.sql — Création de la base de données (version XAMPP locale).</w:t>
      </w:r>
    </w:p>
    <w:p>
      <w:pPr>
        <w:pStyle w:val="ListParagraph"/>
        <w:numPr>
          <w:ilvl w:val="0"/>
          <w:numId w:val="2"/>
        </w:numPr>
        <w:spacing w:after="120" w:line="276"/>
      </w:pPr>
      <w:r>
        <w:t xml:space="preserve">database/02_seed.sql — Alimentation (17 artisans).</w:t>
      </w:r>
    </w:p>
    <w:p>
      <w:pPr>
        <w:pStyle w:val="ListParagraph"/>
        <w:numPr>
          <w:ilvl w:val="0"/>
          <w:numId w:val="2"/>
        </w:numPr>
        <w:spacing w:after="120" w:line="276"/>
      </w:pPr>
      <w:r>
        <w:t xml:space="preserve">database/remote/ — Variantes des scripts SQL pour hébergement distant (AlwaysData).</w:t>
      </w:r>
    </w:p>
    <w:p>
      <w:pPr>
        <w:pStyle w:val="ListParagraph"/>
        <w:numPr>
          <w:ilvl w:val="0"/>
          <w:numId w:val="2"/>
        </w:numPr>
        <w:spacing w:after="120" w:line="276"/>
      </w:pPr>
      <w:r>
        <w:t xml:space="preserve">docs/ — Documentation technique (sécurité, veille, BDD, maquettes).</w:t>
      </w:r>
    </w:p>
    <w:p>
      <w:pPr>
        <w:pStyle w:val="ListParagraph"/>
        <w:numPr>
          <w:ilvl w:val="0"/>
          <w:numId w:val="2"/>
        </w:numPr>
        <w:spacing w:after="120" w:line="276"/>
      </w:pPr>
      <w:r>
        <w:t xml:space="preserve">README.md — Prérequis, installation, lancement.</w:t>
      </w:r>
    </w:p>
    <w:p>
      <w:pPr>
        <w:pStyle w:val="Heading2"/>
        <w:keepNext/>
        <w:keepLines/>
        <w:spacing w:before="240" w:after="120"/>
      </w:pPr>
      <w:r>
        <w:rPr>
          <w:b/>
          <w:bCs/>
        </w:rPr>
        <w:t xml:space="preserve">6.2 Site déployé</w:t>
      </w:r>
    </w:p>
    <w:p>
      <w:pPr>
        <w:spacing w:after="120"/>
      </w:pPr>
      <w:r>
        <w:t xml:space="preserve">Frontend (Vercel) : </w:t>
      </w:r>
      <w:hyperlink w:history="1" r:id="rIde98tbpttvxi9yp_ofxaos">
        <w:r>
          <w:rPr>
            <w:rStyle w:val="Hyperlink"/>
          </w:rPr>
          <w:t xml:space="preserve">https://trouve-ton-artisan-rosy.vercel.app/</w:t>
        </w:r>
      </w:hyperlink>
    </w:p>
    <w:p>
      <w:pPr>
        <w:spacing w:after="120"/>
      </w:pPr>
      <w:r>
        <w:t xml:space="preserve">API (Render) : </w:t>
      </w:r>
      <w:hyperlink w:history="1" r:id="rIdfv4vkwrvh96j9qkp-yzgj">
        <w:r>
          <w:rPr>
            <w:rStyle w:val="Hyperlink"/>
          </w:rPr>
          <w:t xml:space="preserve">https://trouve-ton-artisan-api-oqmj.onrender.com/api/health</w:t>
        </w:r>
      </w:hyperlink>
    </w:p>
    <w:p>
      <w:pPr>
        <w:spacing w:after="200" w:line="276"/>
        <w:jc w:val="both"/>
      </w:pPr>
      <w:r>
        <w:t xml:space="preserve">Base de données MySQL/MariaDB hébergée sur AlwaysData (hôte mysql-sylvain13bdr.alwaysdata.net), connexion SSL obligatoire.</w:t>
      </w:r>
    </w:p>
    <w:p>
      <w:pPr>
        <w:pStyle w:val="Heading2"/>
        <w:keepNext/>
        <w:keepLines/>
        <w:spacing w:before="240" w:after="120"/>
      </w:pPr>
      <w:r>
        <w:rPr>
          <w:b/>
          <w:bCs/>
        </w:rPr>
        <w:t xml:space="preserve">6.3 Maquettes Figma</w:t>
      </w:r>
    </w:p>
    <w:p>
      <w:pPr>
        <w:spacing w:after="120"/>
      </w:pPr>
      <w:r>
        <w:t xml:space="preserve">Fichier de maquettes (lecture publique) : </w:t>
      </w:r>
      <w:hyperlink w:history="1" r:id="rIdwmi7vbyxkrsqasmaffeim">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20/07/2026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valkaytsznqnm3iobpfc" Type="http://schemas.openxmlformats.org/officeDocument/2006/relationships/hyperlink" Target="https://www.figma.com/design/vch2TgFsEjaY9O7gjnNakX/Trouve-ton-Artisan" TargetMode="External"/><Relationship Id="rIdncbo0g4ntv8a4uosnyf3l" Type="http://schemas.openxmlformats.org/officeDocument/2006/relationships/hyperlink" Target="https://github.com/Sylvain13bdr/trouve-ton-artisan" TargetMode="External"/><Relationship Id="rIde98tbpttvxi9yp_ofxaos" Type="http://schemas.openxmlformats.org/officeDocument/2006/relationships/hyperlink" Target="https://trouve-ton-artisan-rosy.vercel.app/" TargetMode="External"/><Relationship Id="rIdfv4vkwrvh96j9qkp-yzgj" Type="http://schemas.openxmlformats.org/officeDocument/2006/relationships/hyperlink" Target="https://trouve-ton-artisan-api-oqmj.onrender.com/api/health" TargetMode="External"/><Relationship Id="rIdwmi7vbyxkrsqasmaffeim" Type="http://schemas.openxmlformats.org/officeDocument/2006/relationships/hyperlink" Target="https://www.figma.com/design/vch2TgFsEjaY9O7gjnNakX/Trouve-ton-Artisan" TargetMode="External"/><Relationship Id="rId8" Type="http://schemas.openxmlformats.org/officeDocument/2006/relationships/image" Target="media/vj_bawm_exjlzd3w1b-ym.png"/><Relationship Id="rId9" Type="http://schemas.openxmlformats.org/officeDocument/2006/relationships/image" Target="media/p0djxtlgjec_sf6ho4iyw.png"/><Relationship Id="rId10" Type="http://schemas.openxmlformats.org/officeDocument/2006/relationships/image" Target="media/tbfswrf3_amysalqs-tld.png"/><Relationship Id="rId11" Type="http://schemas.openxmlformats.org/officeDocument/2006/relationships/image" Target="media/iys_fgopprhjsjagmpqh5.png"/><Relationship Id="rId12" Type="http://schemas.openxmlformats.org/officeDocument/2006/relationships/image" Target="media/oejewwplrybxghhj5t_ho.png"/><Relationship Id="rId13" Type="http://schemas.openxmlformats.org/officeDocument/2006/relationships/image" Target="media/8mynr17f_nycygtvrbe6w.png"/><Relationship Id="rId14" Type="http://schemas.openxmlformats.org/officeDocument/2006/relationships/image" Target="media/6ojwhckp9frhyk-o4svkn.png"/><Relationship Id="rId15" Type="http://schemas.openxmlformats.org/officeDocument/2006/relationships/image" Target="media/hvtbicsaxkfatc_ru0etm.png"/><Relationship Id="rId16" Type="http://schemas.openxmlformats.org/officeDocument/2006/relationships/image" Target="media/g5dxkp3jizt_m3qsdn_ur.png"/><Relationship Id="rId17" Type="http://schemas.openxmlformats.org/officeDocument/2006/relationships/image" Target="media/oimebr7xiselmgb3xmqcp.png"/><Relationship Id="rId18" Type="http://schemas.openxmlformats.org/officeDocument/2006/relationships/image" Target="media/qltu8xhvsffiveiutjwo_.png"/><Relationship Id="rId19" Type="http://schemas.openxmlformats.org/officeDocument/2006/relationships/image" Target="media/qaqkohxa3tjxaewdvxcn0.png"/><Relationship Id="rId20" Type="http://schemas.openxmlformats.org/officeDocument/2006/relationships/image" Target="media/k_eb0ophldj4fwbrg-m1b.png"/><Relationship Id="rId21" Type="http://schemas.openxmlformats.org/officeDocument/2006/relationships/image" Target="media/zlfofjnoavomuxgcfwgsx.png"/><Relationship Id="rId22" Type="http://schemas.openxmlformats.org/officeDocument/2006/relationships/image" Target="media/benfubcw5exefsyeeoa2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2026-07-20T07:55:00.939Z</dcterms:created>
  <dcterms:modified xsi:type="dcterms:W3CDTF">2026-07-20T07:55:00.939Z</dcterms:modified>
</cp:coreProperties>
</file>

<file path=docProps/custom.xml><?xml version="1.0" encoding="utf-8"?>
<Properties xmlns="http://schemas.openxmlformats.org/officeDocument/2006/custom-properties" xmlns:vt="http://schemas.openxmlformats.org/officeDocument/2006/docPropsVTypes"/>
</file>