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17/06/2026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valoriser ce tissu artisanal,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 React + Bootstrap + Sass (front) ; Node.js + Express + Sequelize avec MySQL/MariaDB, et MongoDB/Mongoose pour les avis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Réalisations front-end</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sous licence, Inter a servi de substitut pour les maquettes Figma. Côté site, la police Graphik (version d'essai) est désormais auto-hébergée au format woff2 et chargée via @font-face : le rendu reprend ainsi fidèlement la charte, avec repli sur des polices système en cas de besoin.</w:t>
      </w:r>
    </w:p>
    <w:p>
      <w:pPr>
        <w:pStyle w:val="Heading2"/>
        <w:spacing w:before="240" w:after="120"/>
      </w:pPr>
      <w:r>
        <w:rPr>
          <w:b/>
          <w:bCs/>
        </w:rPr>
        <w:t xml:space="preserve">2.2 Lien Figma</w:t>
      </w:r>
    </w:p>
    <w:p>
      <w:pPr>
        <w:spacing w:after="120"/>
      </w:pPr>
      <w:r>
        <w:t xml:space="preserve">Maquettes complètes (consultation publique) : </w:t>
      </w:r>
      <w:hyperlink w:history="1" r:id="rIdn6lvsptdoj4leeig3bhau">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w:t>
      </w:r>
      <w:r>
        <w:rPr>
          <w:sz w:val="20"/>
          <w:szCs w:val="20"/>
          <w:rFonts w:ascii="Consolas" w:cs="Consolas" w:eastAsia="Consolas" w:hAnsi="Consolas"/>
        </w:rPr>
        <w:br/>
        <w:t xml:space="preserve">          ─ recherche ─────────► [Liste filtrée]</w:t>
      </w:r>
      <w:r>
        <w:rPr>
          <w:sz w:val="20"/>
          <w:szCs w:val="20"/>
          <w:rFonts w:ascii="Consolas" w:cs="Consolas" w:eastAsia="Consolas" w:hAnsi="Consolas"/>
        </w:rPr>
        <w:br/>
        <w:t xml:space="preserve">          ─ artisan du mois ────► [Fiche artisan]</w:t>
      </w:r>
      <w:r>
        <w:rPr>
          <w:sz w:val="20"/>
          <w:szCs w:val="20"/>
          <w:rFonts w:ascii="Consolas" w:cs="Consolas" w:eastAsia="Consolas" w:hAnsi="Consolas"/>
        </w:rPr>
        <w:br/>
        <w:t xml:space="preserve">                                          │</w:t>
      </w:r>
      <w:r>
        <w:rPr>
          <w:sz w:val="20"/>
          <w:szCs w:val="20"/>
          <w:rFonts w:ascii="Consolas" w:cs="Consolas" w:eastAsia="Consolas" w:hAnsi="Consolas"/>
        </w:rPr>
        <w:br/>
        <w:t xml:space="preserve">                                          ▼</w:t>
      </w:r>
      <w:r>
        <w:rPr>
          <w:sz w:val="20"/>
          <w:szCs w:val="20"/>
          <w:rFonts w:ascii="Consolas" w:cs="Consolas" w:eastAsia="Consolas" w:hAnsi="Consolas"/>
        </w:rPr>
        <w:br/>
        <w:t xml:space="preserve">                                  [Formulaire] ──► confirmation</w:t>
      </w:r>
      <w:r>
        <w:rPr>
          <w:sz w:val="20"/>
          <w:szCs w:val="20"/>
          <w:rFonts w:ascii="Consolas" w:cs="Consolas" w:eastAsia="Consolas" w:hAnsi="Consolas"/>
        </w:rPr>
        <w:br/>
      </w:r>
      <w:r>
        <w:rPr>
          <w:sz w:val="20"/>
          <w:szCs w:val="20"/>
          <w:rFonts w:ascii="Consolas" w:cs="Consolas" w:eastAsia="Consolas" w:hAnsi="Consolas"/>
        </w:rPr>
        <w:br/>
        <w:t xml:space="preserve">[Liste] ─ clic carte ────► [Fiche artisan]</w:t>
      </w:r>
      <w:r>
        <w:rPr>
          <w:sz w:val="20"/>
          <w:szCs w:val="20"/>
          <w:rFonts w:ascii="Consolas" w:cs="Consolas" w:eastAsia="Consolas" w:hAnsi="Consolas"/>
        </w:rPr>
        <w:br/>
        <w:t xml:space="preserve">[Toute URL inconnue] ────► [404] ─ retour ─► [Accueil]</w:t>
      </w:r>
    </w:p>
    <w:p>
      <w:pPr>
        <w:pStyle w:val="Heading2"/>
        <w:spacing w:before="240" w:after="120"/>
      </w:pPr>
      <w:r>
        <w:rPr>
          <w:b/>
          <w:bCs/>
        </w:rPr>
        <w:t xml:space="preserve">2.5 Interfaces utilisateur statiques</w:t>
      </w:r>
    </w:p>
    <w:p>
      <w:pPr>
        <w:spacing w:after="120"/>
        <w:jc w:val="both"/>
      </w:pPr>
      <w:r>
        <w:t xml:space="preserve">Les interfaces sont construites en composants React et mises en forme avec Bootstrap 5 et Sass. Le balisage reste sémantique et accessible. La section d'accueil illustre une structure statique simple : un en-tête de section, un titre principal et un bouton d'appel à l'action.</w:t>
      </w:r>
    </w:p>
    <w:p>
      <w:pPr>
        <w:shd w:fill="F1F8FC" w:val="clear"/>
        <w:spacing w:after="120"/>
      </w:pPr>
      <w:r>
        <w:rPr>
          <w:sz w:val="20"/>
          <w:szCs w:val="20"/>
          <w:rFonts w:ascii="Consolas" w:cs="Consolas" w:eastAsia="Consolas" w:hAnsi="Consolas"/>
        </w:rPr>
        <w:t xml:space="preserve">&lt;section className="hero"&gt;</w:t>
      </w:r>
      <w:r>
        <w:rPr>
          <w:sz w:val="20"/>
          <w:szCs w:val="20"/>
          <w:rFonts w:ascii="Consolas" w:cs="Consolas" w:eastAsia="Consolas" w:hAnsi="Consolas"/>
        </w:rPr>
        <w:br/>
        <w:t xml:space="preserve">  &lt;div className="container"&gt;</w:t>
      </w:r>
      <w:r>
        <w:rPr>
          <w:sz w:val="20"/>
          <w:szCs w:val="20"/>
          <w:rFonts w:ascii="Consolas" w:cs="Consolas" w:eastAsia="Consolas" w:hAnsi="Consolas"/>
        </w:rPr>
        <w:br/>
        <w:t xml:space="preserve">    &lt;h1&gt;Trouvez l'artisan qu'il vous faut, pres de chez vous.&lt;/h1&gt;</w:t>
      </w:r>
      <w:r>
        <w:rPr>
          <w:sz w:val="20"/>
          <w:szCs w:val="20"/>
          <w:rFonts w:ascii="Consolas" w:cs="Consolas" w:eastAsia="Consolas" w:hAnsi="Consolas"/>
        </w:rPr>
        <w:br/>
        <w:t xml:space="preserve">    &lt;p className="lead"&gt;Batiment, alimentation, services, fabrication.&lt;/p&gt;</w:t>
      </w:r>
      <w:r>
        <w:rPr>
          <w:sz w:val="20"/>
          <w:szCs w:val="20"/>
          <w:rFonts w:ascii="Consolas" w:cs="Consolas" w:eastAsia="Consolas" w:hAnsi="Consolas"/>
        </w:rPr>
        <w:br/>
        <w:t xml:space="preserve">    &lt;Link to="/artisans" className="btn btn-primary btn-lg"&gt;</w:t>
      </w:r>
      <w:r>
        <w:rPr>
          <w:sz w:val="20"/>
          <w:szCs w:val="20"/>
          <w:rFonts w:ascii="Consolas" w:cs="Consolas" w:eastAsia="Consolas" w:hAnsi="Consolas"/>
        </w:rPr>
        <w:br/>
        <w:t xml:space="preserve">      Voir tous les artisans</w:t>
      </w:r>
      <w:r>
        <w:rPr>
          <w:sz w:val="20"/>
          <w:szCs w:val="20"/>
          <w:rFonts w:ascii="Consolas" w:cs="Consolas" w:eastAsia="Consolas" w:hAnsi="Consolas"/>
        </w:rPr>
        <w:br/>
        <w:t xml:space="preserve">    &lt;/Link&gt;</w:t>
      </w:r>
      <w:r>
        <w:rPr>
          <w:sz w:val="20"/>
          <w:szCs w:val="20"/>
          <w:rFonts w:ascii="Consolas" w:cs="Consolas" w:eastAsia="Consolas" w:hAnsi="Consolas"/>
        </w:rPr>
        <w:br/>
        <w:t xml:space="preserve">  &lt;/div&gt;</w:t>
      </w:r>
      <w:r>
        <w:rPr>
          <w:sz w:val="20"/>
          <w:szCs w:val="20"/>
          <w:rFonts w:ascii="Consolas" w:cs="Consolas" w:eastAsia="Consolas" w:hAnsi="Consolas"/>
        </w:rPr>
        <w:br/>
        <w:t xml:space="preserve">&lt;/section&gt;</w:t>
      </w:r>
    </w:p>
    <w:p>
      <w:pPr>
        <w:pStyle w:val="Heading2"/>
        <w:spacing w:before="240" w:after="120"/>
      </w:pPr>
      <w:r>
        <w:rPr>
          <w:b/>
          <w:bCs/>
        </w:rPr>
        <w:t xml:space="preserve">2.6 Partie dynamique des interfaces</w:t>
      </w:r>
    </w:p>
    <w:p>
      <w:pPr>
        <w:spacing w:after="120"/>
        <w:jc w:val="both"/>
      </w:pPr>
      <w:r>
        <w:t xml:space="preserve">La partie dynamique repose sur les hooks de React. Le chargement des artisans, par exemple, se déclenche à l'affichage de la page et à chaque changement de filtre ; l'état local gère l'attente, les données reçues et les erreurs éventuelles.</w:t>
      </w:r>
    </w:p>
    <w:p>
      <w:pPr>
        <w:shd w:fill="F1F8FC" w:val="clear"/>
        <w:spacing w:after="120"/>
      </w:pPr>
      <w:r>
        <w:rPr>
          <w:sz w:val="20"/>
          <w:szCs w:val="20"/>
          <w:rFonts w:ascii="Consolas" w:cs="Consolas" w:eastAsia="Consolas" w:hAnsi="Consolas"/>
        </w:rPr>
        <w:t xml:space="preserve">useEffect(() =&gt; {</w:t>
      </w:r>
      <w:r>
        <w:rPr>
          <w:sz w:val="20"/>
          <w:szCs w:val="20"/>
          <w:rFonts w:ascii="Consolas" w:cs="Consolas" w:eastAsia="Consolas" w:hAnsi="Consolas"/>
        </w:rPr>
        <w:br/>
        <w:t xml:space="preserve">  setLoading(true);</w:t>
      </w:r>
      <w:r>
        <w:rPr>
          <w:sz w:val="20"/>
          <w:szCs w:val="20"/>
          <w:rFonts w:ascii="Consolas" w:cs="Consolas" w:eastAsia="Consolas" w:hAnsi="Consolas"/>
        </w:rPr>
        <w:br/>
        <w:t xml:space="preserve">  api.getArtisans({ category, q })</w:t>
      </w:r>
      <w:r>
        <w:rPr>
          <w:sz w:val="20"/>
          <w:szCs w:val="20"/>
          <w:rFonts w:ascii="Consolas" w:cs="Consolas" w:eastAsia="Consolas" w:hAnsi="Consolas"/>
        </w:rPr>
        <w:br/>
        <w:t xml:space="preserve">    .then((data) =&gt; setArtisans(data))</w:t>
      </w:r>
      <w:r>
        <w:rPr>
          <w:sz w:val="20"/>
          <w:szCs w:val="20"/>
          <w:rFonts w:ascii="Consolas" w:cs="Consolas" w:eastAsia="Consolas" w:hAnsi="Consolas"/>
        </w:rPr>
        <w:br/>
        <w:t xml:space="preserve">    .catch((err) =&gt; setError(err.message))</w:t>
      </w:r>
      <w:r>
        <w:rPr>
          <w:sz w:val="20"/>
          <w:szCs w:val="20"/>
          <w:rFonts w:ascii="Consolas" w:cs="Consolas" w:eastAsia="Consolas" w:hAnsi="Consolas"/>
        </w:rPr>
        <w:br/>
        <w:t xml:space="preserve">    .finally(() =&gt; setLoading(false));</w:t>
      </w:r>
      <w:r>
        <w:rPr>
          <w:sz w:val="20"/>
          <w:szCs w:val="20"/>
          <w:rFonts w:ascii="Consolas" w:cs="Consolas" w:eastAsia="Consolas" w:hAnsi="Consolas"/>
        </w:rPr>
        <w:br/>
        <w:t xml:space="preserve">}, [category, q]);</w:t>
      </w:r>
    </w:p>
    <w:p>
      <w:pPr>
        <w:pStyle w:val="Heading2"/>
        <w:spacing w:before="240" w:after="120"/>
      </w:pPr>
      <w:r>
        <w:rPr>
          <w:b/>
          <w:bCs/>
        </w:rPr>
        <w:t xml:space="preserve">2.7 Accessibilité et référencement</w:t>
      </w:r>
    </w:p>
    <w:p>
      <w:pPr>
        <w:spacing w:after="120"/>
        <w:jc w:val="both"/>
      </w:pPr>
      <w:r>
        <w:t xml:space="preserve">Le site vise la conformité WCAG 2.1 et, dans sa déclinaison française, le RGAA (Référentiel Général d'Amélioration de l'Accessibilité), opposable aux organismes publics — ce qui est directement pertinent ici, le commanditaire étant une collectivité. Concrètement : balises sémantiques, lien d'évitement vers le contenu principal, libellés associés à chaque champ de formulaire, images décoratives neutralisées pour les lecteurs d'écran (alt vide ou aria-hidden), ordre de tabulation logique, focus visible et navigation entièrement au clavier. Le composant de notation expose aussi bien les étoiles que la valeur chiffrée. Les contrastes de la palette ont été vérifiés par rapport au seuil AA.</w:t>
      </w:r>
    </w:p>
    <w:p>
      <w:pPr>
        <w:spacing w:after="120"/>
        <w:jc w:val="both"/>
      </w:pPr>
      <w:r>
        <w:t xml:space="preserve">Côté référencement, chaque page définit son propre titre et sa méta-description grâce aux métadonnées natives de React 19 (composant Seo), ce qui améliore l'indexation par les moteurs de recherche et l'aperçu lors d'un partage sur les réseaux sociaux. Les URL restent propres et lisibles grâce à React Router.</w:t>
      </w:r>
    </w:p>
    <w:p>
      <w:pPr>
        <w:pStyle w:val="Heading2"/>
        <w:spacing w:before="240" w:after="120"/>
      </w:pPr>
      <w:r>
        <w:rPr>
          <w:b/>
          <w:bCs/>
        </w:rPr>
        <w:t xml:space="preserve">2.8 Éco-conception</w:t>
      </w:r>
    </w:p>
    <w:p>
      <w:pPr>
        <w:spacing w:after="120"/>
        <w:jc w:val="both"/>
      </w:pPr>
      <w:r>
        <w:t xml:space="preserve">Quelques principes d'éco-conception ont été pris en compte. Les images des artisans sont chargées en différé (lazy loading), ce qui évite de télécharger des visuels non affichés à l'écran. La typographie est auto-hébergée au format woff2 (compressé), ce qui évite toute requête vers un service tiers de polices. Côté serveur, l'API ne renvoie que les colonnes utiles (pas de SELECT *) et s'appuie sur une vue SQL qui pré-assemble les jointures, ce qui réduit le volume de données transférées. Le build de production (Vite) minifie et compresse enfin les fichiers envoyés au navigateur.</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chk_artisan_rating CHECK (rating &gt;= 0.0 AND rating &lt;= 5.0),</w:t>
      </w:r>
      <w:r>
        <w:rPr>
          <w:sz w:val="20"/>
          <w:szCs w:val="20"/>
          <w:rFonts w:ascii="Consolas" w:cs="Consolas" w:eastAsia="Consolas" w:hAnsi="Consolas"/>
        </w:rPr>
        <w:br/>
        <w:t xml:space="preserve">  CONSTRAINT chk_artisan_email  CHECK (email LIKE '%_@_%.__%'),</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Il se justifie aussi par la nature des avis. Leur schéma est souple et peut évoluer, par exemple pour accueillir une réponse de l'artisan imbriquée dans l'avis. Ils se lisent artisan par artisan, sans jointure, et leur volume est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spacing w:after="120"/>
        <w:jc w:val="both"/>
      </w:pPr>
      <w:r>
        <w:t xml:space="preserve">Côté schéma physique, la collection « reviews » est décrite par le modèle Mongoose (backend/src/models/Review.js), qui fait aussi office de validation : les types, les champs obligatoires et les bornes (note de 1 à 5, longueurs minimales et maximales) sont contrôlés à l'écriture. Un index sur le champ artisanId, déclaré dans le modèle, accélère la lecture des avis d'un artisan ; Mongoose le crée automatiquement au démarrage.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a été choisie parce qu'elle traverse toute l'application : le formulaire React en front-end, la validation et la logique métier en back-end, puis les deux bases de données — lecture de l'artisan en SQL, écriture puis relecture de l'avis en NoSQL.</w:t>
      </w:r>
    </w:p>
    <w:p>
      <w:pPr>
        <w:spacing w:after="120"/>
        <w:jc w:val="both"/>
      </w:pPr>
      <w:r>
        <w:t xml:space="preserve">L'objectif est de vérifier le parcours nominal (un avis bien enregistré et la note moyenne recalculée) ainsi que la robustesse de l'API face à deux cas limites.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400"/>
        <w:gridCol w:w="2200"/>
      </w:tblGrid>
      <w:tr>
        <w:trPr>
          <w:tblHeader/>
        </w:trPr>
        <w:tc>
          <w:tcPr>
            <w:tcW w:type="dxa" w:w="17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Cas</w:t>
            </w:r>
          </w:p>
        </w:tc>
        <w:tc>
          <w:tcPr>
            <w:tcW w:type="dxa" w:w="30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Données en entrée</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Attendu</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Obtenu</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Nominal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Deux avis sur l'artisan 1 : Claire (5/5) puis Marc (3/5).</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201 à chaque dépôt ; le GET renvoie count 2 et average 4.</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(count 2, average 4).</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Saisie invalide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Un avis avec une note de 9 et un commentaire trop court.</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400 — erreur de validation.</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(400, ValidationError).</w:t>
            </w:r>
          </w:p>
        </w:tc>
      </w:tr>
      <w:tr>
        <w:tc>
          <w:tcPr>
            <w:tcW w:type="dxa" w:w="17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Base NoSQL indisponible</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Dépôt d'un avis alors que MongoDB est arrêté.</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503 — service indisponible.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Conforme (503).</w:t>
            </w:r>
          </w:p>
        </w:tc>
      </w:tr>
    </w:tbl>
    <w:p>
      <w:pPr>
        <w:spacing w:after="120"/>
        <w:jc w:val="both"/>
      </w:pPr>
      <w:r>
        <w:t xml:space="preserve">Aucun écart entre l'attendu et l'obtenu. Le cas nominal et la saisie invalide sont couverts par la suite de tests automatisée (commande npm test) ; l'indisponibilité de MongoDB a été vérifiée manuellement en arrêtant la base.</w:t>
      </w:r>
    </w:p>
    <w:p>
      <w:pPr>
        <w:pStyle w:val="Heading2"/>
        <w:spacing w:before="240" w:after="120"/>
      </w:pPr>
      <w:r>
        <w:rPr>
          <w:b/>
          <w:bCs/>
        </w:rPr>
        <w:t xml:space="preserve">3.11 Tests automatisés</w:t>
      </w:r>
    </w:p>
    <w:p>
      <w:pPr>
        <w:spacing w:after="120"/>
        <w:jc w:val="both"/>
      </w:pPr>
      <w:r>
        <w:t xml:space="preserve">Au-delà des tests de sécurité manuels (détaillés dans la veille), l'API est couverte par une suite de tests automatisés, exécutée avec Mocha, Chai et Supertest. La base relationnelle de test utilise SQLite en mémoire et la base NoSQL un serveur MongoDB éphémère : les tests sont ainsi rapides et isolés, sans toucher à aucune base réelle. La suite couvre les trois volets du projet.</w:t>
      </w:r>
    </w:p>
    <w:p>
      <w:pPr>
        <w:pStyle w:val="ListParagraph"/>
        <w:numPr>
          <w:ilvl w:val="0"/>
          <w:numId w:val="2"/>
        </w:numPr>
        <w:spacing w:after="80"/>
      </w:pPr>
      <w:r>
        <w:t xml:space="preserve">Artisans (SQL) : liste, fiche détaillée, artisan introuvable, recherche sans résultat.</w:t>
      </w:r>
    </w:p>
    <w:p>
      <w:pPr>
        <w:pStyle w:val="ListParagraph"/>
        <w:numPr>
          <w:ilvl w:val="0"/>
          <w:numId w:val="2"/>
        </w:numPr>
        <w:spacing w:after="80"/>
      </w:pPr>
      <w:r>
        <w:t xml:space="preserve">Avis (NoSQL) : liste vide au départ, dépôt d'un avis, recalcul de la note moyenne, artisan inexistant.</w:t>
      </w:r>
    </w:p>
    <w:p>
      <w:pPr>
        <w:pStyle w:val="ListParagraph"/>
        <w:numPr>
          <w:ilvl w:val="0"/>
          <w:numId w:val="2"/>
        </w:numPr>
        <w:spacing w:after="80"/>
      </w:pPr>
      <w:r>
        <w:t xml:space="preserve">Sécurité : accès refusé sans clé d'API ou avec une mauvaise clé, validation des entrées, route de santé publique.</w:t>
      </w:r>
    </w:p>
    <w:p>
      <w:pPr>
        <w:spacing w:after="120"/>
        <w:jc w:val="both"/>
      </w:pPr>
      <w:r>
        <w:t xml:space="preserve">La suite compte onze tests, tous au vert (commande npm test).</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et la table contact_messages les enregistre pour traçabilité. Une mention d'information accompagne le formulaire : finalité (transmettre la demande à l'artisan), destinataire (l'artisan concerné), durée de conservation (12 mois) et droits d'accès, de rectification et de suppression, exerçables via la page « Données personnelles ». Aucune donnée n'est utilisée à des fins commerciales.</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Combinée au caractère obligatoire de la clé d’API, elle décourage les tentatives de spam massif visant les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wxjjf4ji50kryuzmicnlv">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q60dzmcdokphxdof8ru_q">
        <w:r>
          <w:rPr>
            <w:rStyle w:val="Hyperlink"/>
          </w:rPr>
          <w:t xml:space="preserve">https://trouve-ton-artisan-rosy.vercel.app/</w:t>
        </w:r>
      </w:hyperlink>
    </w:p>
    <w:p>
      <w:pPr>
        <w:spacing w:after="120"/>
      </w:pPr>
      <w:r>
        <w:t xml:space="preserve">API (Render) : </w:t>
      </w:r>
      <w:hyperlink w:history="1" r:id="rId_rhtpjbynznb6xqtmfdar">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rpec8ke-0frogvjcr8gy1">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17/06/2026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n6lvsptdoj4leeig3bhau" Type="http://schemas.openxmlformats.org/officeDocument/2006/relationships/hyperlink" Target="https://www.figma.com/design/vch2TgFsEjaY9O7gjnNakX/Trouve-ton-Artisan" TargetMode="External"/><Relationship Id="rIdwxjjf4ji50kryuzmicnlv" Type="http://schemas.openxmlformats.org/officeDocument/2006/relationships/hyperlink" Target="https://github.com/Sylvain13bdr/trouve-ton-artisan" TargetMode="External"/><Relationship Id="rIdq60dzmcdokphxdof8ru_q" Type="http://schemas.openxmlformats.org/officeDocument/2006/relationships/hyperlink" Target="https://trouve-ton-artisan-rosy.vercel.app/" TargetMode="External"/><Relationship Id="rId_rhtpjbynznb6xqtmfdar" Type="http://schemas.openxmlformats.org/officeDocument/2006/relationships/hyperlink" Target="https://trouve-ton-artisan-api-oqmj.onrender.com/api/health" TargetMode="External"/><Relationship Id="rIdrpec8ke-0frogvjcr8gy1" Type="http://schemas.openxmlformats.org/officeDocument/2006/relationships/hyperlink" Target="https://www.figma.com/design/vch2TgFsEjaY9O7gjnNakX/Trouve-ton-Artisan" TargetMode="External"/><Relationship Id="rId8" Type="http://schemas.openxmlformats.org/officeDocument/2006/relationships/image" Target="media/bfj9qh_tjf6vigaqzyng4.png"/><Relationship Id="rId9" Type="http://schemas.openxmlformats.org/officeDocument/2006/relationships/image" Target="media/undw0xivtoztkjv_ysvfr.png"/><Relationship Id="rId10" Type="http://schemas.openxmlformats.org/officeDocument/2006/relationships/image" Target="media/u9_cl6nvnb3ms56d5meho.png"/><Relationship Id="rId11" Type="http://schemas.openxmlformats.org/officeDocument/2006/relationships/image" Target="media/r9vhdjc4fzjrajt8kksaf.png"/><Relationship Id="rId12" Type="http://schemas.openxmlformats.org/officeDocument/2006/relationships/image" Target="media/yqhjkrejpcwwaj4dwemxl.png"/><Relationship Id="rId13" Type="http://schemas.openxmlformats.org/officeDocument/2006/relationships/image" Target="media/defbnufskoawqrv9rj9kg.png"/><Relationship Id="rId14" Type="http://schemas.openxmlformats.org/officeDocument/2006/relationships/image" Target="media/sd5nom7_p275utik7qz7j.png"/><Relationship Id="rId15" Type="http://schemas.openxmlformats.org/officeDocument/2006/relationships/image" Target="media/ikknjs4_kp-gaceptgwgx.png"/><Relationship Id="rId16" Type="http://schemas.openxmlformats.org/officeDocument/2006/relationships/image" Target="media/xmed_zscrvbxcwjvukc0j.png"/><Relationship Id="rId17" Type="http://schemas.openxmlformats.org/officeDocument/2006/relationships/image" Target="media/iolhlqbogwbp2o--c7wd2.png"/><Relationship Id="rId18" Type="http://schemas.openxmlformats.org/officeDocument/2006/relationships/image" Target="media/v8ompqybzbrh1z6ce02fm.png"/><Relationship Id="rId19" Type="http://schemas.openxmlformats.org/officeDocument/2006/relationships/image" Target="media/lzalrep7o-bgrmhs49eh0.png"/><Relationship Id="rId20" Type="http://schemas.openxmlformats.org/officeDocument/2006/relationships/image" Target="media/1yxpu1wshfsrp-6lap1ek.png"/><Relationship Id="rId21" Type="http://schemas.openxmlformats.org/officeDocument/2006/relationships/image" Target="media/s6d584t7nnelar_l3fty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2026-06-17T20:36:57.800Z</dcterms:created>
  <dcterms:modified xsi:type="dcterms:W3CDTF">2026-06-17T20:36:57.801Z</dcterms:modified>
</cp:coreProperties>
</file>

<file path=docProps/custom.xml><?xml version="1.0" encoding="utf-8"?>
<Properties xmlns="http://schemas.openxmlformats.org/officeDocument/2006/custom-properties" xmlns:vt="http://schemas.openxmlformats.org/officeDocument/2006/docPropsVTypes"/>
</file>