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480"/>
        <w:jc w:val="center"/>
      </w:pPr>
      <w:r>
        <w:rPr>
          <w:b/>
          <w:bCs/>
          <w:color w:val="0074C7"/>
          <w:sz w:val="28"/>
          <w:szCs w:val="28"/>
        </w:rPr>
        <w:t xml:space="preserve">Centre Européen de Formation</w:t>
      </w:r>
    </w:p>
    <w:p>
      <w:pPr>
        <w:spacing w:after="120"/>
        <w:jc w:val="center"/>
      </w:pPr>
      <w:r>
        <w:rPr>
          <w:color w:val="384050"/>
          <w:sz w:val="24"/>
          <w:szCs w:val="24"/>
        </w:rPr>
        <w:t xml:space="preserve">Titre professionnel Développeur Web et Web Mobile (DWWM)</w:t>
      </w:r>
    </w:p>
    <w:p>
      <w:pPr>
        <w:spacing w:after="1200"/>
        <w:jc w:val="center"/>
      </w:pPr>
      <w:r>
        <w:rPr>
          <w:i/>
          <w:iCs/>
          <w:sz w:val="22"/>
          <w:szCs w:val="22"/>
        </w:rPr>
        <w:t xml:space="preserve">Dossier de projet — Préparation à l'examen du titre professionnel</w:t>
      </w:r>
    </w:p>
    <w:p>
      <w:pPr>
        <w:spacing w:after="240"/>
        <w:jc w:val="center"/>
      </w:pPr>
      <w:r>
        <w:rPr>
          <w:b/>
          <w:bCs/>
          <w:color w:val="384050"/>
          <w:sz w:val="64"/>
          <w:szCs w:val="64"/>
        </w:rPr>
        <w:t xml:space="preserve">Trouve ton artisan</w:t>
      </w:r>
    </w:p>
    <w:p>
      <w:pPr>
        <w:spacing w:after="1800"/>
        <w:jc w:val="center"/>
      </w:pPr>
      <w:r>
        <w:rPr>
          <w:color w:val="0074C7"/>
          <w:sz w:val="28"/>
          <w:szCs w:val="28"/>
        </w:rPr>
        <w:t xml:space="preserve">Plateforme web pour la région Auvergne-Rhône-Alpes</w:t>
      </w:r>
    </w:p>
    <w:p>
      <w:pPr>
        <w:spacing w:after="60"/>
        <w:jc w:val="center"/>
      </w:pPr>
      <w:r>
        <w:rPr>
          <w:b/>
          <w:bCs/>
        </w:rPr>
        <w:t xml:space="preserve">Auteur : </w:t>
      </w:r>
      <w:r>
        <w:t xml:space="preserve">Sylvain Labeye</w:t>
      </w:r>
    </w:p>
    <w:p>
      <w:pPr>
        <w:spacing w:after="60"/>
        <w:jc w:val="center"/>
      </w:pPr>
      <w:r>
        <w:rPr>
          <w:b/>
          <w:bCs/>
        </w:rPr>
        <w:t xml:space="preserve">Date de rendu : </w:t>
      </w:r>
      <w:r>
        <w:t xml:space="preserve">19/07/2026</w:t>
      </w:r>
    </w:p>
    <w:p>
      <w:pPr>
        <w:spacing w:after="60"/>
        <w:jc w:val="center"/>
      </w:pPr>
      <w:r>
        <w:rPr>
          <w:b/>
          <w:bCs/>
        </w:rPr>
        <w:t xml:space="preserve">Identifiant CEF : </w:t>
      </w:r>
      <w:r>
        <w:t xml:space="preserve">F516414B</w:t>
      </w:r>
    </w:p>
    <w:p>
      <w:r>
        <w:br w:type="page"/>
      </w:r>
    </w:p>
    <w:p>
      <w:pPr>
        <w:pStyle w:val="Heading1"/>
        <w:spacing w:before="360" w:after="180"/>
      </w:pPr>
      <w:r>
        <w:rPr>
          <w:b/>
          <w:bCs/>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180"/>
      </w:pPr>
      <w:r>
        <w:rPr>
          <w:b/>
          <w:bCs/>
        </w:rPr>
        <w:t xml:space="preserve">Introduction — Compétences du référentiel couvertes</w:t>
      </w:r>
    </w:p>
    <w:p>
      <w:pPr>
        <w:spacing w:after="120"/>
        <w:jc w:val="both"/>
      </w:pPr>
      <w:r>
        <w:t xml:space="preserve">Ce dossier présente « Trouve ton artisan », une application web full-stack réalisée dans le cadre de la préparation au titre professionnel Développeur Web et Web Mobile (DWWM). Le projet met en œuvre les compétences obligatoires des deux activités-types du référentiel, côté front-end comme back-end, avec un soin particulier porté à la sécurité, à l'accessibilité et à la couverture des données à la fois relationnelles (MySQL/MariaDB) et NoSQL (MongoDB).</w:t>
      </w:r>
    </w:p>
    <w:p>
      <w:pPr>
        <w:pStyle w:val="Heading2"/>
        <w:spacing w:before="240" w:after="120"/>
      </w:pPr>
      <w:r>
        <w:rPr>
          <w:b/>
          <w:bCs/>
        </w:rPr>
        <w:t xml:space="preserve">Activité-type 1 — Développer la partie front-end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Maquetter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Maquettes Figma en mobile-first pour les trois résolutions (mobile 375 px, tablette 768 px, ordinateur 1280 px), charte graphique respectée, schéma d'enchaînement des écrans.</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Réaliser des interfaces utilisateur statiques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Composants React structurés, Bootstrap 5 et Sass, HTML sémantique, mise en page responsive, accessibilité WCAG 2.1 (lien d'évitement, attributs ARIA, focus visible).</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la partie dynamique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React (hooks d'état et d'effet), consommation de l'API REST via un client fetch centralisé, formulaires dynamiques (contact et avis) avec validation côté client.</w:t>
            </w:r>
          </w:p>
        </w:tc>
      </w:tr>
    </w:tbl>
    <w:p>
      <w:pPr>
        <w:pStyle w:val="Heading2"/>
        <w:spacing w:before="240" w:after="120"/>
      </w:pPr>
      <w:r>
        <w:rPr>
          <w:b/>
          <w:bCs/>
        </w:rPr>
        <w:t xml:space="preserve">Activité-type 2 — Développer la partie back-end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Mettre en place une base de données relationnelle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MySQL/MariaDB : MCD, MLD et modèle physique, respect des trois formes normales, contraintes (clés étrangères, CHECK, UNIQUE), vue de lecture, scripts de création et d'alimentation.</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d'accès aux données SQL et NoSQL</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Couche services dédiée : accès SQL via Sequelize (artisans, catégories, villes) ET accès NoSQL via Mongoose (avis clients stockés dans MongoDB).</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métier côté serveur</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Architecture en couches (routes → contrôleurs → services → modèles), logique métier isolée dans les services, validation, sécurité et gestion centralisée des erreurs.</w:t>
            </w:r>
          </w:p>
        </w:tc>
      </w:tr>
    </w:tbl>
    <w:p>
      <w:pPr>
        <w:spacing w:after="120"/>
        <w:jc w:val="both"/>
      </w:pPr>
      <w:r>
        <w:rPr>
          <w:i/>
          <w:iCs/>
        </w:rPr>
        <w:t xml:space="preserve">Les deux compétences non obligatoires dans le dossier — installer et configurer son environnement de travail, et documenter le déploiement — sont également mises en œuvre (environnement Node.js / VS Code / Git, déploiement Vercel + Render + base de données hébergée) et pourront être détaillées lors de l'entretien technique.</w:t>
      </w:r>
    </w:p>
    <w:p>
      <w:r>
        <w:br w:type="page"/>
      </w:r>
    </w:p>
    <w:p>
      <w:pPr>
        <w:pStyle w:val="Heading1"/>
        <w:spacing w:before="360" w:after="180"/>
      </w:pPr>
      <w:r>
        <w:rPr>
          <w:b/>
          <w:bCs/>
        </w:rPr>
        <w:t xml:space="preserve">1. Contexte du projet</w:t>
      </w:r>
    </w:p>
    <w:p>
      <w:pPr>
        <w:pStyle w:val="Heading2"/>
        <w:spacing w:before="240" w:after="120"/>
      </w:pPr>
      <w:r>
        <w:rPr>
          <w:b/>
          <w:bCs/>
        </w:rPr>
        <w:t xml:space="preserve">1.1 Présentation de l'entreprise</w:t>
      </w:r>
    </w:p>
    <w:p>
      <w:pPr>
        <w:spacing w:after="120"/>
        <w:jc w:val="both"/>
      </w:pPr>
      <w:r>
        <w:t xml:space="preserve">La région Auvergne-Rhône-Alpes couvre 12 départements du quart sud-est de la France. Elle dispose de bureaux à Lyon et à Clermont-Ferrand. Près d’un tiers des entreprises de la région sont des entreprises artisanales : 221 000 entreprises en 2021, ce qui en fait l’une des régions les plus artisanales de France.</w:t>
      </w:r>
    </w:p>
    <w:p>
      <w:pPr>
        <w:spacing w:after="120"/>
        <w:jc w:val="both"/>
      </w:pPr>
      <w:r>
        <w:t xml:space="preserve">Pour valoriser ce tissu artisanal, la région souhaite créer une plateforme web mettant directement en relation les particuliers et les artisans locaux. L’interlocuteur du projet se trouve dans les bureaux de Lyon.</w:t>
      </w:r>
    </w:p>
    <w:p>
      <w:pPr>
        <w:pStyle w:val="Heading2"/>
        <w:spacing w:before="240" w:after="120"/>
      </w:pPr>
      <w:r>
        <w:rPr>
          <w:b/>
          <w:bCs/>
        </w:rPr>
        <w:t xml:space="preserve">1.2 Expression des besoins</w:t>
      </w:r>
    </w:p>
    <w:p>
      <w:pPr>
        <w:spacing w:after="120"/>
        <w:jc w:val="both"/>
      </w:pPr>
      <w:r>
        <w:t xml:space="preserve">La plateforme doit permettre :</w:t>
      </w:r>
    </w:p>
    <w:p>
      <w:pPr>
        <w:pStyle w:val="ListParagraph"/>
        <w:numPr>
          <w:ilvl w:val="0"/>
          <w:numId w:val="2"/>
        </w:numPr>
        <w:spacing w:after="80"/>
      </w:pPr>
      <w:r>
        <w:t xml:space="preserve">À un particulier de trouver un artisan par catégorie ou par nom.</w:t>
      </w:r>
    </w:p>
    <w:p>
      <w:pPr>
        <w:pStyle w:val="ListParagraph"/>
        <w:numPr>
          <w:ilvl w:val="0"/>
          <w:numId w:val="2"/>
        </w:numPr>
        <w:spacing w:after="80"/>
      </w:pPr>
      <w:r>
        <w:t xml:space="preserve">De consulter la fiche détaillée d’un artisan (note, spécialité, localisation, à propos, site web).</w:t>
      </w:r>
    </w:p>
    <w:p>
      <w:pPr>
        <w:pStyle w:val="ListParagraph"/>
        <w:numPr>
          <w:ilvl w:val="0"/>
          <w:numId w:val="2"/>
        </w:numPr>
        <w:spacing w:after="80"/>
      </w:pPr>
      <w:r>
        <w:t xml:space="preserve">De contacter directement un artisan via un formulaire de contact (réponse sous 48 h).</w:t>
      </w:r>
    </w:p>
    <w:p>
      <w:pPr>
        <w:pStyle w:val="ListParagraph"/>
        <w:numPr>
          <w:ilvl w:val="0"/>
          <w:numId w:val="2"/>
        </w:numPr>
        <w:spacing w:after="80"/>
      </w:pPr>
      <w:r>
        <w:t xml:space="preserve">De mettre en avant trois « artisans du mois » sur la page d’accueil.</w:t>
      </w:r>
    </w:p>
    <w:p>
      <w:pPr>
        <w:pStyle w:val="Heading2"/>
        <w:spacing w:before="240" w:after="120"/>
      </w:pPr>
      <w:r>
        <w:rPr>
          <w:b/>
          <w:bCs/>
        </w:rPr>
        <w:t xml:space="preserve">1.3 Contraintes</w:t>
      </w:r>
    </w:p>
    <w:p>
      <w:pPr>
        <w:pStyle w:val="ListParagraph"/>
        <w:numPr>
          <w:ilvl w:val="0"/>
          <w:numId w:val="2"/>
        </w:numPr>
        <w:spacing w:after="80"/>
      </w:pPr>
      <w:r>
        <w:t xml:space="preserve">Site accessible à tous (jeunes, personnes âgées, personnes en situation de handicap) : norme WCAG 2.1.</w:t>
      </w:r>
    </w:p>
    <w:p>
      <w:pPr>
        <w:pStyle w:val="ListParagraph"/>
        <w:numPr>
          <w:ilvl w:val="0"/>
          <w:numId w:val="2"/>
        </w:numPr>
        <w:spacing w:after="80"/>
      </w:pPr>
      <w:r>
        <w:t xml:space="preserve">Conception mobile-first, fonctionnement optimal sur mobile, tablette et ordinateur.</w:t>
      </w:r>
    </w:p>
    <w:p>
      <w:pPr>
        <w:pStyle w:val="ListParagraph"/>
        <w:numPr>
          <w:ilvl w:val="0"/>
          <w:numId w:val="2"/>
        </w:numPr>
        <w:spacing w:after="80"/>
      </w:pPr>
      <w:r>
        <w:t xml:space="preserve">Sécurité renforcée (collectivité publique).</w:t>
      </w:r>
    </w:p>
    <w:p>
      <w:pPr>
        <w:pStyle w:val="ListParagraph"/>
        <w:numPr>
          <w:ilvl w:val="0"/>
          <w:numId w:val="2"/>
        </w:numPr>
        <w:spacing w:after="80"/>
      </w:pPr>
      <w:r>
        <w:t xml:space="preserve">Cohérence visuelle avec le site de la région Auvergne-Rhône-Alpes.</w:t>
      </w:r>
    </w:p>
    <w:p>
      <w:pPr>
        <w:pStyle w:val="ListParagraph"/>
        <w:numPr>
          <w:ilvl w:val="0"/>
          <w:numId w:val="2"/>
        </w:numPr>
        <w:spacing w:after="80"/>
      </w:pPr>
      <w:r>
        <w:t xml:space="preserve">Stack : React + Bootstrap + Sass (front) ; Node.js + Express + Sequelize avec MySQL/MariaDB, et MongoDB/Mongoose pour les avis (back).</w:t>
      </w:r>
    </w:p>
    <w:p>
      <w:pPr>
        <w:pStyle w:val="ListParagraph"/>
        <w:numPr>
          <w:ilvl w:val="0"/>
          <w:numId w:val="2"/>
        </w:numPr>
        <w:spacing w:after="80"/>
      </w:pPr>
      <w:r>
        <w:t xml:space="preserve">Versioning sur GitHub, dépôt public.</w:t>
      </w:r>
    </w:p>
    <w:p>
      <w:pPr>
        <w:pStyle w:val="ListParagraph"/>
        <w:numPr>
          <w:ilvl w:val="0"/>
          <w:numId w:val="2"/>
        </w:numPr>
        <w:spacing w:after="80"/>
      </w:pPr>
      <w:r>
        <w:t xml:space="preserve">Accès à l’API restreint à l’application.</w:t>
      </w:r>
    </w:p>
    <w:p>
      <w:pPr>
        <w:pStyle w:val="Heading2"/>
        <w:spacing w:before="240" w:after="120"/>
      </w:pPr>
      <w:r>
        <w:rPr>
          <w:b/>
          <w:bCs/>
        </w:rPr>
        <w:t xml:space="preserve">1.4 Livrables attendus</w:t>
      </w:r>
    </w:p>
    <w:p>
      <w:pPr>
        <w:pStyle w:val="ListParagraph"/>
        <w:numPr>
          <w:ilvl w:val="0"/>
          <w:numId w:val="2"/>
        </w:numPr>
        <w:spacing w:after="80"/>
      </w:pPr>
      <w:r>
        <w:t xml:space="preserve">Dossier PDF (ce document) : contexte, maquettes, BDD, sécurité, veille, liens.</w:t>
      </w:r>
    </w:p>
    <w:p>
      <w:pPr>
        <w:pStyle w:val="ListParagraph"/>
        <w:numPr>
          <w:ilvl w:val="0"/>
          <w:numId w:val="2"/>
        </w:numPr>
        <w:spacing w:after="80"/>
      </w:pPr>
      <w:r>
        <w:t xml:space="preserve">Maquettes Figma pour mobile, tablette et ordinateur.</w:t>
      </w:r>
    </w:p>
    <w:p>
      <w:pPr>
        <w:pStyle w:val="ListParagraph"/>
        <w:numPr>
          <w:ilvl w:val="0"/>
          <w:numId w:val="2"/>
        </w:numPr>
        <w:spacing w:after="80"/>
      </w:pPr>
      <w:r>
        <w:t xml:space="preserve">Lien vers le dépôt GitHub public contenant code + scripts SQL.</w:t>
      </w:r>
    </w:p>
    <w:p>
      <w:pPr>
        <w:pStyle w:val="ListParagraph"/>
        <w:numPr>
          <w:ilvl w:val="0"/>
          <w:numId w:val="2"/>
        </w:numPr>
        <w:spacing w:after="80"/>
      </w:pPr>
      <w:r>
        <w:t xml:space="preserve">Lien vers le site déployé en ligne.</w:t>
      </w:r>
    </w:p>
    <w:p>
      <w:pPr>
        <w:pStyle w:val="ListParagraph"/>
        <w:numPr>
          <w:ilvl w:val="0"/>
          <w:numId w:val="2"/>
        </w:numPr>
        <w:spacing w:after="80"/>
      </w:pPr>
      <w:r>
        <w:t xml:space="preserve">Fichier README.md à la racine du dépôt.</w:t>
      </w:r>
    </w:p>
    <w:p>
      <w:pPr>
        <w:pStyle w:val="Heading2"/>
        <w:spacing w:before="240" w:after="120"/>
      </w:pPr>
      <w:r>
        <w:rPr>
          <w:b/>
          <w:bCs/>
        </w:rPr>
        <w:t xml:space="preserve">1.5 Environnement humain et technique, objectifs de qualité</w:t>
      </w:r>
    </w:p>
    <w:p>
      <w:pPr>
        <w:spacing w:after="120"/>
        <w:jc w:val="both"/>
      </w:pPr>
      <w:r>
        <w:t xml:space="preserve">Le projet a été mené en autonomie complète, du maquettage au déploiement, dans le cadre de la formation Développeur Web et Web Mobile du Centre Européen de Formation. L'interlocuteur métier est le service de la région situé à Lyon, qui a fourni le brief, la charte graphique et les données des artisans.</w:t>
      </w:r>
    </w:p>
    <w:p>
      <w:pPr>
        <w:spacing w:after="120"/>
        <w:jc w:val="both"/>
      </w:pPr>
      <w:r>
        <w:t xml:space="preserve">Côté technique, le développement s'est fait sous Windows 11 avec VS Code et Node.js, Git pour le versioning (dépôt GitHub public, travail par branches et pull requests), XAMPP (MySQL/MariaDB) et MongoDB en local, puis un hébergement Vercel pour le frontend, Render pour l'API et AlwaysData pour la base de données.</w:t>
      </w:r>
    </w:p>
    <w:p>
      <w:pPr>
        <w:spacing w:after="120"/>
        <w:jc w:val="both"/>
      </w:pPr>
      <w:r>
        <w:t xml:space="preserve">Les objectifs de qualité fixés en début de projet : accessibilité conforme WCAG 2.1 / RGAA, fonctionnement mobile, tablette et ordinateur (approche mobile-first), sécurité alignée sur les recommandations de l'OWASP, tests automatisés de l'API (Mocha) et documentation complète du projet (README, scripts SQL, dossier technique).</w:t>
      </w:r>
    </w:p>
    <w:p>
      <w:r>
        <w:br w:type="page"/>
      </w:r>
    </w:p>
    <w:p>
      <w:pPr>
        <w:pStyle w:val="Heading1"/>
        <w:spacing w:before="360" w:after="180"/>
      </w:pPr>
      <w:r>
        <w:rPr>
          <w:b/>
          <w:bCs/>
        </w:rPr>
        <w:t xml:space="preserve">2. Réalisations front-end</w:t>
      </w:r>
    </w:p>
    <w:p>
      <w:pPr>
        <w:spacing w:after="120"/>
        <w:jc w:val="both"/>
      </w:pPr>
      <w:r>
        <w:t xml:space="preserve">Les maquettes ont été réalisées sous Figma, en mobile-first, pour les trois résolutions demandées : mobile (375 px), tablette (768 px) et ordinateur (1280 px). La palette de couleurs et la typographie respectent strictement la charte fournie dans le brief.</w:t>
      </w:r>
    </w:p>
    <w:p>
      <w:pPr>
        <w:pStyle w:val="Heading2"/>
        <w:spacing w:before="240" w:after="120"/>
      </w:pPr>
      <w:r>
        <w:rPr>
          <w:b/>
          <w:bCs/>
        </w:rPr>
        <w:t xml:space="preserve">2.1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tblHeader/>
        </w:trPr>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Rôle</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Couleur</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Hex</w:t>
            </w:r>
          </w:p>
        </w:tc>
        <w:tc>
          <w:tcPr>
            <w:tcW w:type="dxa" w:w="25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Usage principal</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Fond clair</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Sections secondaires, hovers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primaire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Boutons, liens, accents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foncé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Hovers et accents forts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Gris bleuté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principal, footer</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Rouge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Erreurs, alertes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Vert</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Succès, validations</w:t>
            </w:r>
          </w:p>
        </w:tc>
      </w:tr>
    </w:tbl>
    <w:p>
      <w:pPr>
        <w:spacing w:after="120"/>
        <w:jc w:val="both"/>
      </w:pPr>
      <w:r>
        <w:rPr>
          <w:i/>
          <w:iCs/>
        </w:rPr>
        <w:t xml:space="preserve">Police : Graphik (fallback Helvetica Neue / Arial).</w:t>
      </w:r>
    </w:p>
    <w:p>
      <w:pPr>
        <w:spacing w:after="120"/>
        <w:jc w:val="both"/>
      </w:pPr>
      <w:r>
        <w:t xml:space="preserve">Graphik étant une police sous licence, Inter a servi de substitut pour les maquettes Figma. Côté site, la police Graphik (version d'essai) est désormais auto-hébergée au format woff2 et chargée via @font-face : le rendu reprend ainsi fidèlement la charte, avec repli sur des polices système en cas de besoin.</w:t>
      </w:r>
    </w:p>
    <w:p>
      <w:pPr>
        <w:pStyle w:val="Heading2"/>
        <w:spacing w:before="240" w:after="120"/>
      </w:pPr>
      <w:r>
        <w:rPr>
          <w:b/>
          <w:bCs/>
        </w:rPr>
        <w:t xml:space="preserve">2.2 Lien Figma</w:t>
      </w:r>
    </w:p>
    <w:p>
      <w:pPr>
        <w:spacing w:after="120"/>
      </w:pPr>
      <w:r>
        <w:t xml:space="preserve">Maquettes complètes (consultation publique) : </w:t>
      </w:r>
      <w:hyperlink w:history="1" r:id="rIdbfxk7upnhrxsbbfrdc6rk">
        <w:r>
          <w:rPr>
            <w:rStyle w:val="Hyperlink"/>
          </w:rPr>
          <w:t xml:space="preserve">Ouvrir le fichier Figma</w:t>
        </w:r>
      </w:hyperlink>
    </w:p>
    <w:p>
      <w:pPr>
        <w:pStyle w:val="Heading2"/>
        <w:spacing w:before="240" w:after="120"/>
      </w:pPr>
      <w:r>
        <w:rPr>
          <w:b/>
          <w:bCs/>
        </w:rPr>
        <w:t xml:space="preserve">2.3 Captures d’écran</w:t>
      </w:r>
    </w:p>
    <w:p>
      <w:pPr>
        <w:pStyle w:val="Heading3"/>
        <w:spacing w:before="200" w:after="100"/>
      </w:pPr>
      <w:r>
        <w:rPr>
          <w:b/>
          <w:bCs/>
        </w:rPr>
        <w:t xml:space="preserve">2.3.1 Charte graphique</w:t>
      </w:r>
    </w:p>
    <w:p>
      <w:pPr>
        <w:spacing w:before="100" w:after="60"/>
        <w:jc w:val="center"/>
      </w:pPr>
      <w:r>
        <w:drawing>
          <wp:inline distT="0" distB="0" distL="0" distR="0">
            <wp:extent cx="5143500" cy="3619500"/>
            <wp:effectExtent t="0" r="0" b="0" l="0"/>
            <wp:docPr id="1" name="charte-graphique.png" descr="Charte graphique — logo, favicon, palette, typographie" title="Charte graphique — logo, favicon, palette, typograph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619500"/>
                    </a:xfrm>
                    <a:prstGeom prst="rect">
                      <a:avLst/>
                    </a:prstGeom>
                  </pic:spPr>
                </pic:pic>
              </a:graphicData>
            </a:graphic>
          </wp:inline>
        </w:drawing>
      </w:r>
    </w:p>
    <w:p>
      <w:pPr>
        <w:spacing w:after="180"/>
        <w:jc w:val="center"/>
      </w:pPr>
      <w:r>
        <w:rPr>
          <w:i/>
          <w:iCs/>
          <w:color w:val="384050"/>
          <w:sz w:val="18"/>
          <w:szCs w:val="18"/>
        </w:rPr>
        <w:t xml:space="preserve">Charte graphique — logo, favicon, palette, typographie</w:t>
      </w:r>
    </w:p>
    <w:p>
      <w:pPr>
        <w:pStyle w:val="Heading3"/>
        <w:spacing w:before="200" w:after="100"/>
      </w:pPr>
      <w:r>
        <w:rPr>
          <w:b/>
          <w:bCs/>
        </w:rPr>
        <w:t xml:space="preserve">2.3.2 Accueil</w:t>
      </w:r>
    </w:p>
    <w:p>
      <w:pPr>
        <w:spacing w:before="100" w:after="60"/>
        <w:jc w:val="center"/>
      </w:pPr>
      <w:r>
        <w:drawing>
          <wp:inline distT="0" distB="0" distL="0" distR="0">
            <wp:extent cx="1095375" cy="5715000"/>
            <wp:effectExtent t="0" r="0" b="0" l="0"/>
            <wp:docPr id="1" name="accueil-mobile.png" descr="Accueil — Mobile (375 px)" title="Accueil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5715000"/>
                    </a:xfrm>
                    <a:prstGeom prst="rect">
                      <a:avLst/>
                    </a:prstGeom>
                  </pic:spPr>
                </pic:pic>
              </a:graphicData>
            </a:graphic>
          </wp:inline>
        </w:drawing>
      </w:r>
    </w:p>
    <w:p>
      <w:pPr>
        <w:spacing w:after="180"/>
        <w:jc w:val="center"/>
      </w:pPr>
      <w:r>
        <w:rPr>
          <w:i/>
          <w:iCs/>
          <w:color w:val="384050"/>
          <w:sz w:val="18"/>
          <w:szCs w:val="18"/>
        </w:rPr>
        <w:t xml:space="preserve">Accueil — Mobile (375 px)</w:t>
      </w:r>
    </w:p>
    <w:p>
      <w:pPr>
        <w:spacing w:before="100" w:after="60"/>
        <w:jc w:val="center"/>
      </w:pPr>
      <w:r>
        <w:drawing>
          <wp:inline distT="0" distB="0" distL="0" distR="0">
            <wp:extent cx="2533650" cy="5715000"/>
            <wp:effectExtent t="0" r="0" b="0" l="0"/>
            <wp:docPr id="1" name="accueil-tablette.png" descr="Accueil — Tablette (768 px)" title="Accueil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33650" cy="5715000"/>
                    </a:xfrm>
                    <a:prstGeom prst="rect">
                      <a:avLst/>
                    </a:prstGeom>
                  </pic:spPr>
                </pic:pic>
              </a:graphicData>
            </a:graphic>
          </wp:inline>
        </w:drawing>
      </w:r>
    </w:p>
    <w:p>
      <w:pPr>
        <w:spacing w:after="180"/>
        <w:jc w:val="center"/>
      </w:pPr>
      <w:r>
        <w:rPr>
          <w:i/>
          <w:iCs/>
          <w:color w:val="384050"/>
          <w:sz w:val="18"/>
          <w:szCs w:val="18"/>
        </w:rPr>
        <w:t xml:space="preserve">Accueil — Tablette (768 px)</w:t>
      </w:r>
    </w:p>
    <w:p>
      <w:pPr>
        <w:spacing w:before="100" w:after="60"/>
        <w:jc w:val="center"/>
      </w:pPr>
      <w:r>
        <w:drawing>
          <wp:inline distT="0" distB="0" distL="0" distR="0">
            <wp:extent cx="5143500" cy="5629275"/>
            <wp:effectExtent t="0" r="0" b="0" l="0"/>
            <wp:docPr id="1" name="accueil-desktop.png" descr="Accueil — Desktop (1280 px)" title="Accueil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5629275"/>
                    </a:xfrm>
                    <a:prstGeom prst="rect">
                      <a:avLst/>
                    </a:prstGeom>
                  </pic:spPr>
                </pic:pic>
              </a:graphicData>
            </a:graphic>
          </wp:inline>
        </w:drawing>
      </w:r>
    </w:p>
    <w:p>
      <w:pPr>
        <w:spacing w:after="180"/>
        <w:jc w:val="center"/>
      </w:pPr>
      <w:r>
        <w:rPr>
          <w:i/>
          <w:iCs/>
          <w:color w:val="384050"/>
          <w:sz w:val="18"/>
          <w:szCs w:val="18"/>
        </w:rPr>
        <w:t xml:space="preserve">Accueil — Desktop (1280 px)</w:t>
      </w:r>
    </w:p>
    <w:p>
      <w:pPr>
        <w:pStyle w:val="Heading3"/>
        <w:spacing w:before="200" w:after="100"/>
      </w:pPr>
      <w:r>
        <w:rPr>
          <w:b/>
          <w:bCs/>
        </w:rPr>
        <w:t xml:space="preserve">2.3.3 Liste des artisans</w:t>
      </w:r>
    </w:p>
    <w:p>
      <w:pPr>
        <w:spacing w:before="100" w:after="60"/>
        <w:jc w:val="center"/>
      </w:pPr>
      <w:r>
        <w:drawing>
          <wp:inline distT="0" distB="0" distL="0" distR="0">
            <wp:extent cx="1276350" cy="5715000"/>
            <wp:effectExtent t="0" r="0" b="0" l="0"/>
            <wp:docPr id="1" name="liste-mobile.png" descr="Liste — catégorie Bâtiment — Mobile (375 px)" title="Liste — catégorie Bâtiment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76350" cy="5715000"/>
                    </a:xfrm>
                    <a:prstGeom prst="rect">
                      <a:avLst/>
                    </a:prstGeom>
                  </pic:spPr>
                </pic:pic>
              </a:graphicData>
            </a:graphic>
          </wp:inline>
        </w:drawing>
      </w:r>
    </w:p>
    <w:p>
      <w:pPr>
        <w:spacing w:after="180"/>
        <w:jc w:val="center"/>
      </w:pPr>
      <w:r>
        <w:rPr>
          <w:i/>
          <w:iCs/>
          <w:color w:val="384050"/>
          <w:sz w:val="18"/>
          <w:szCs w:val="18"/>
        </w:rPr>
        <w:t xml:space="preserve">Liste — catégorie Bâtiment — Mobile (375 px)</w:t>
      </w:r>
    </w:p>
    <w:p>
      <w:pPr>
        <w:spacing w:before="100" w:after="60"/>
        <w:jc w:val="center"/>
      </w:pPr>
      <w:r>
        <w:drawing>
          <wp:inline distT="0" distB="0" distL="0" distR="0">
            <wp:extent cx="3429000" cy="4705350"/>
            <wp:effectExtent t="0" r="0" b="0" l="0"/>
            <wp:docPr id="1" name="liste-tablette.png" descr="Liste — catégorie Bâtiment — Tablette (768 px)" title="Liste — catégorie Bâtiment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4705350"/>
                    </a:xfrm>
                    <a:prstGeom prst="rect">
                      <a:avLst/>
                    </a:prstGeom>
                  </pic:spPr>
                </pic:pic>
              </a:graphicData>
            </a:graphic>
          </wp:inline>
        </w:drawing>
      </w:r>
    </w:p>
    <w:p>
      <w:pPr>
        <w:spacing w:after="180"/>
        <w:jc w:val="center"/>
      </w:pPr>
      <w:r>
        <w:rPr>
          <w:i/>
          <w:iCs/>
          <w:color w:val="384050"/>
          <w:sz w:val="18"/>
          <w:szCs w:val="18"/>
        </w:rPr>
        <w:t xml:space="preserve">Liste — catégorie Bâtiment — Tablette (768 px)</w:t>
      </w:r>
    </w:p>
    <w:p>
      <w:pPr>
        <w:spacing w:before="100" w:after="60"/>
        <w:jc w:val="center"/>
      </w:pPr>
      <w:r>
        <w:drawing>
          <wp:inline distT="0" distB="0" distL="0" distR="0">
            <wp:extent cx="5143500" cy="4362450"/>
            <wp:effectExtent t="0" r="0" b="0" l="0"/>
            <wp:docPr id="1" name="liste-desktop.png" descr="Liste — catégorie Bâtiment — Desktop (1280 px)" title="Liste — catégorie Bâtiment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362450"/>
                    </a:xfrm>
                    <a:prstGeom prst="rect">
                      <a:avLst/>
                    </a:prstGeom>
                  </pic:spPr>
                </pic:pic>
              </a:graphicData>
            </a:graphic>
          </wp:inline>
        </w:drawing>
      </w:r>
    </w:p>
    <w:p>
      <w:pPr>
        <w:spacing w:after="180"/>
        <w:jc w:val="center"/>
      </w:pPr>
      <w:r>
        <w:rPr>
          <w:i/>
          <w:iCs/>
          <w:color w:val="384050"/>
          <w:sz w:val="18"/>
          <w:szCs w:val="18"/>
        </w:rPr>
        <w:t xml:space="preserve">Liste — catégorie Bâtiment — Desktop (1280 px)</w:t>
      </w:r>
    </w:p>
    <w:p>
      <w:pPr>
        <w:pStyle w:val="Heading3"/>
        <w:spacing w:before="200" w:after="100"/>
      </w:pPr>
      <w:r>
        <w:rPr>
          <w:b/>
          <w:bCs/>
        </w:rPr>
        <w:t xml:space="preserve">2.3.4 Fiche artisan + formulaire</w:t>
      </w:r>
    </w:p>
    <w:p>
      <w:pPr>
        <w:spacing w:after="120"/>
        <w:jc w:val="both"/>
      </w:pPr>
      <w:r>
        <w:t xml:space="preserve">La fiche d'Orville Salmons sert d'exemple. La même structure est utilisée pour les 17 artisans, seules les données changent.</w:t>
      </w:r>
    </w:p>
    <w:p>
      <w:pPr>
        <w:spacing w:before="100" w:after="60"/>
        <w:jc w:val="center"/>
      </w:pPr>
      <w:r>
        <w:drawing>
          <wp:inline distT="0" distB="0" distL="0" distR="0">
            <wp:extent cx="1704975" cy="5715000"/>
            <wp:effectExtent t="0" r="0" b="0" l="0"/>
            <wp:docPr id="1" name="fiche-mobile.png" descr="Fiche artisan — Mobile (375 px)" title="Fiche artisan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04975" cy="5715000"/>
                    </a:xfrm>
                    <a:prstGeom prst="rect">
                      <a:avLst/>
                    </a:prstGeom>
                  </pic:spPr>
                </pic:pic>
              </a:graphicData>
            </a:graphic>
          </wp:inline>
        </w:drawing>
      </w:r>
    </w:p>
    <w:p>
      <w:pPr>
        <w:spacing w:after="180"/>
        <w:jc w:val="center"/>
      </w:pPr>
      <w:r>
        <w:rPr>
          <w:i/>
          <w:iCs/>
          <w:color w:val="384050"/>
          <w:sz w:val="18"/>
          <w:szCs w:val="18"/>
        </w:rPr>
        <w:t xml:space="preserve">Fiche artisan — Mobile (375 px)</w:t>
      </w:r>
    </w:p>
    <w:p>
      <w:pPr>
        <w:spacing w:before="100" w:after="60"/>
        <w:jc w:val="center"/>
      </w:pPr>
      <w:r>
        <w:drawing>
          <wp:inline distT="0" distB="0" distL="0" distR="0">
            <wp:extent cx="3429000" cy="5695950"/>
            <wp:effectExtent t="0" r="0" b="0" l="0"/>
            <wp:docPr id="1" name="fiche-tablette.png" descr="Fiche artisan — Tablette (768 px)" title="Fiche artisan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5695950"/>
                    </a:xfrm>
                    <a:prstGeom prst="rect">
                      <a:avLst/>
                    </a:prstGeom>
                  </pic:spPr>
                </pic:pic>
              </a:graphicData>
            </a:graphic>
          </wp:inline>
        </w:drawing>
      </w:r>
    </w:p>
    <w:p>
      <w:pPr>
        <w:spacing w:after="180"/>
        <w:jc w:val="center"/>
      </w:pPr>
      <w:r>
        <w:rPr>
          <w:i/>
          <w:iCs/>
          <w:color w:val="384050"/>
          <w:sz w:val="18"/>
          <w:szCs w:val="18"/>
        </w:rPr>
        <w:t xml:space="preserve">Fiche artisan — Tablette (768 px)</w:t>
      </w:r>
    </w:p>
    <w:p>
      <w:pPr>
        <w:spacing w:before="100" w:after="60"/>
        <w:jc w:val="center"/>
      </w:pPr>
      <w:r>
        <w:drawing>
          <wp:inline distT="0" distB="0" distL="0" distR="0">
            <wp:extent cx="5143500" cy="4191000"/>
            <wp:effectExtent t="0" r="0" b="0" l="0"/>
            <wp:docPr id="1" name="fiche-desktop.png" descr="Fiche artisan — Desktop (1280 px)" title="Fiche artisan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191000"/>
                    </a:xfrm>
                    <a:prstGeom prst="rect">
                      <a:avLst/>
                    </a:prstGeom>
                  </pic:spPr>
                </pic:pic>
              </a:graphicData>
            </a:graphic>
          </wp:inline>
        </w:drawing>
      </w:r>
    </w:p>
    <w:p>
      <w:pPr>
        <w:spacing w:after="180"/>
        <w:jc w:val="center"/>
      </w:pPr>
      <w:r>
        <w:rPr>
          <w:i/>
          <w:iCs/>
          <w:color w:val="384050"/>
          <w:sz w:val="18"/>
          <w:szCs w:val="18"/>
        </w:rPr>
        <w:t xml:space="preserve">Fiche artisan — Desktop (1280 px)</w:t>
      </w:r>
    </w:p>
    <w:p>
      <w:pPr>
        <w:pStyle w:val="Heading3"/>
        <w:spacing w:before="200" w:after="100"/>
      </w:pPr>
      <w:r>
        <w:rPr>
          <w:b/>
          <w:bCs/>
        </w:rPr>
        <w:t xml:space="preserve">2.3.5 Page 404</w:t>
      </w:r>
    </w:p>
    <w:p>
      <w:pPr>
        <w:spacing w:before="100" w:after="60"/>
        <w:jc w:val="center"/>
      </w:pPr>
      <w:r>
        <w:drawing>
          <wp:inline distT="0" distB="0" distL="0" distR="0">
            <wp:extent cx="1905000" cy="2752725"/>
            <wp:effectExtent t="0" r="0" b="0" l="0"/>
            <wp:docPr id="1" name="404-mobile.png" descr="404 — Mobile (375 px)" title="404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2752725"/>
                    </a:xfrm>
                    <a:prstGeom prst="rect">
                      <a:avLst/>
                    </a:prstGeom>
                  </pic:spPr>
                </pic:pic>
              </a:graphicData>
            </a:graphic>
          </wp:inline>
        </w:drawing>
      </w:r>
    </w:p>
    <w:p>
      <w:pPr>
        <w:spacing w:after="180"/>
        <w:jc w:val="center"/>
      </w:pPr>
      <w:r>
        <w:rPr>
          <w:i/>
          <w:iCs/>
          <w:color w:val="384050"/>
          <w:sz w:val="18"/>
          <w:szCs w:val="18"/>
        </w:rPr>
        <w:t xml:space="preserve">404 — Mobile (375 px)</w:t>
      </w:r>
    </w:p>
    <w:p>
      <w:pPr>
        <w:spacing w:before="100" w:after="60"/>
        <w:jc w:val="center"/>
      </w:pPr>
      <w:r>
        <w:drawing>
          <wp:inline distT="0" distB="0" distL="0" distR="0">
            <wp:extent cx="5143500" cy="2705100"/>
            <wp:effectExtent t="0" r="0" b="0" l="0"/>
            <wp:docPr id="1" name="404-desktop.png" descr="404 — Desktop (1280 px)" title="404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705100"/>
                    </a:xfrm>
                    <a:prstGeom prst="rect">
                      <a:avLst/>
                    </a:prstGeom>
                  </pic:spPr>
                </pic:pic>
              </a:graphicData>
            </a:graphic>
          </wp:inline>
        </w:drawing>
      </w:r>
    </w:p>
    <w:p>
      <w:pPr>
        <w:spacing w:after="180"/>
        <w:jc w:val="center"/>
      </w:pPr>
      <w:r>
        <w:rPr>
          <w:i/>
          <w:iCs/>
          <w:color w:val="384050"/>
          <w:sz w:val="18"/>
          <w:szCs w:val="18"/>
        </w:rPr>
        <w:t xml:space="preserve">404 — Desktop (1280 px)</w:t>
      </w:r>
    </w:p>
    <w:p>
      <w:pPr>
        <w:pStyle w:val="Heading2"/>
        <w:spacing w:before="240" w:after="120"/>
      </w:pPr>
      <w:r>
        <w:rPr>
          <w:b/>
          <w:bCs/>
        </w:rPr>
        <w:t xml:space="preserve">2.4 Enchaînement des écrans</w:t>
      </w:r>
    </w:p>
    <w:p>
      <w:pPr>
        <w:spacing w:after="120"/>
        <w:jc w:val="both"/>
      </w:pPr>
      <w:r>
        <w:t xml:space="preserve">Le schéma ci-dessous résume la navigation entre les écrans du site : depuis la page d'accueil vers la liste (par catégorie ou recherche) ou une fiche (artisan du mois), puis le formulaire de contact et sa confirmation. Toute URL inconnue mène à la page 404, qui ramène à l'accueil.</w:t>
      </w:r>
    </w:p>
    <w:p>
      <w:pPr>
        <w:spacing w:before="100" w:after="60"/>
        <w:jc w:val="center"/>
      </w:pPr>
      <w:r>
        <w:drawing>
          <wp:inline distT="0" distB="0" distL="0" distR="0">
            <wp:extent cx="3905250" cy="5495925"/>
            <wp:effectExtent t="0" r="0" b="0" l="0"/>
            <wp:docPr id="1" name="enchainement.png" descr="enchainement.png" title="enchain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05250" cy="5495925"/>
                    </a:xfrm>
                    <a:prstGeom prst="rect">
                      <a:avLst/>
                    </a:prstGeom>
                  </pic:spPr>
                </pic:pic>
              </a:graphicData>
            </a:graphic>
          </wp:inline>
        </w:drawing>
      </w:r>
    </w:p>
    <w:p>
      <w:pPr>
        <w:pStyle w:val="Heading2"/>
        <w:spacing w:before="240" w:after="120"/>
      </w:pPr>
      <w:r>
        <w:rPr>
          <w:b/>
          <w:bCs/>
        </w:rPr>
        <w:t xml:space="preserve">2.5 Interfaces utilisateur statiques</w:t>
      </w:r>
    </w:p>
    <w:p>
      <w:pPr>
        <w:spacing w:after="120"/>
        <w:jc w:val="both"/>
      </w:pPr>
      <w:r>
        <w:t xml:space="preserve">Les interfaces sont construites en composants React et mises en forme avec Bootstrap 5 et Sass. Le balisage reste sémantique et accessible. La section d'accueil illustre une structure statique simple : un en-tête de section, un titre principal et un bouton d'appel à l'action.</w:t>
      </w:r>
    </w:p>
    <w:p>
      <w:pPr>
        <w:shd w:fill="F1F8FC" w:val="clear"/>
        <w:spacing w:after="120"/>
      </w:pPr>
      <w:r>
        <w:rPr>
          <w:sz w:val="20"/>
          <w:szCs w:val="20"/>
          <w:rFonts w:ascii="Consolas" w:cs="Consolas" w:eastAsia="Consolas" w:hAnsi="Consolas"/>
        </w:rPr>
        <w:t xml:space="preserve">&lt;section className="hero"&gt;</w:t>
      </w:r>
      <w:r>
        <w:rPr>
          <w:sz w:val="20"/>
          <w:szCs w:val="20"/>
          <w:rFonts w:ascii="Consolas" w:cs="Consolas" w:eastAsia="Consolas" w:hAnsi="Consolas"/>
        </w:rPr>
        <w:br/>
        <w:t xml:space="preserve">  &lt;div className="container"&gt;</w:t>
      </w:r>
      <w:r>
        <w:rPr>
          <w:sz w:val="20"/>
          <w:szCs w:val="20"/>
          <w:rFonts w:ascii="Consolas" w:cs="Consolas" w:eastAsia="Consolas" w:hAnsi="Consolas"/>
        </w:rPr>
        <w:br/>
        <w:t xml:space="preserve">    &lt;h1&gt;Trouvez l'artisan qu'il vous faut, pres de chez vous.&lt;/h1&gt;</w:t>
      </w:r>
      <w:r>
        <w:rPr>
          <w:sz w:val="20"/>
          <w:szCs w:val="20"/>
          <w:rFonts w:ascii="Consolas" w:cs="Consolas" w:eastAsia="Consolas" w:hAnsi="Consolas"/>
        </w:rPr>
        <w:br/>
        <w:t xml:space="preserve">    &lt;p className="lead"&gt;Batiment, alimentation, services, fabrication.&lt;/p&gt;</w:t>
      </w:r>
      <w:r>
        <w:rPr>
          <w:sz w:val="20"/>
          <w:szCs w:val="20"/>
          <w:rFonts w:ascii="Consolas" w:cs="Consolas" w:eastAsia="Consolas" w:hAnsi="Consolas"/>
        </w:rPr>
        <w:br/>
        <w:t xml:space="preserve">    &lt;Link to="/artisans" className="btn btn-primary btn-lg"&gt;</w:t>
      </w:r>
      <w:r>
        <w:rPr>
          <w:sz w:val="20"/>
          <w:szCs w:val="20"/>
          <w:rFonts w:ascii="Consolas" w:cs="Consolas" w:eastAsia="Consolas" w:hAnsi="Consolas"/>
        </w:rPr>
        <w:br/>
        <w:t xml:space="preserve">      Voir tous les artisans</w:t>
      </w:r>
      <w:r>
        <w:rPr>
          <w:sz w:val="20"/>
          <w:szCs w:val="20"/>
          <w:rFonts w:ascii="Consolas" w:cs="Consolas" w:eastAsia="Consolas" w:hAnsi="Consolas"/>
        </w:rPr>
        <w:br/>
        <w:t xml:space="preserve">    &lt;/Link&gt;</w:t>
      </w:r>
      <w:r>
        <w:rPr>
          <w:sz w:val="20"/>
          <w:szCs w:val="20"/>
          <w:rFonts w:ascii="Consolas" w:cs="Consolas" w:eastAsia="Consolas" w:hAnsi="Consolas"/>
        </w:rPr>
        <w:br/>
        <w:t xml:space="preserve">  &lt;/div&gt;</w:t>
      </w:r>
      <w:r>
        <w:rPr>
          <w:sz w:val="20"/>
          <w:szCs w:val="20"/>
          <w:rFonts w:ascii="Consolas" w:cs="Consolas" w:eastAsia="Consolas" w:hAnsi="Consolas"/>
        </w:rPr>
        <w:br/>
        <w:t xml:space="preserve">&lt;/section&gt;</w:t>
      </w:r>
    </w:p>
    <w:p>
      <w:pPr>
        <w:pStyle w:val="Heading2"/>
        <w:spacing w:before="240" w:after="120"/>
      </w:pPr>
      <w:r>
        <w:rPr>
          <w:b/>
          <w:bCs/>
        </w:rPr>
        <w:t xml:space="preserve">2.6 Partie dynamique des interfaces</w:t>
      </w:r>
    </w:p>
    <w:p>
      <w:pPr>
        <w:spacing w:after="120"/>
        <w:jc w:val="both"/>
      </w:pPr>
      <w:r>
        <w:t xml:space="preserve">La partie dynamique repose sur les hooks de React. Le chargement des artisans, par exemple, se déclenche à l'affichage de la page et à chaque changement de filtre ; l'état local gère l'attente, les données reçues et les erreurs éventuelles.</w:t>
      </w:r>
    </w:p>
    <w:p>
      <w:pPr>
        <w:shd w:fill="F1F8FC" w:val="clear"/>
        <w:spacing w:after="120"/>
      </w:pPr>
      <w:r>
        <w:rPr>
          <w:sz w:val="20"/>
          <w:szCs w:val="20"/>
          <w:rFonts w:ascii="Consolas" w:cs="Consolas" w:eastAsia="Consolas" w:hAnsi="Consolas"/>
        </w:rPr>
        <w:t xml:space="preserve">useEffect(() =&gt; {</w:t>
      </w:r>
      <w:r>
        <w:rPr>
          <w:sz w:val="20"/>
          <w:szCs w:val="20"/>
          <w:rFonts w:ascii="Consolas" w:cs="Consolas" w:eastAsia="Consolas" w:hAnsi="Consolas"/>
        </w:rPr>
        <w:br/>
        <w:t xml:space="preserve">  setLoading(true);</w:t>
      </w:r>
      <w:r>
        <w:rPr>
          <w:sz w:val="20"/>
          <w:szCs w:val="20"/>
          <w:rFonts w:ascii="Consolas" w:cs="Consolas" w:eastAsia="Consolas" w:hAnsi="Consolas"/>
        </w:rPr>
        <w:br/>
        <w:t xml:space="preserve">  api.getArtisans({ category, q })</w:t>
      </w:r>
      <w:r>
        <w:rPr>
          <w:sz w:val="20"/>
          <w:szCs w:val="20"/>
          <w:rFonts w:ascii="Consolas" w:cs="Consolas" w:eastAsia="Consolas" w:hAnsi="Consolas"/>
        </w:rPr>
        <w:br/>
        <w:t xml:space="preserve">    .then((data) =&gt; setArtisans(data))</w:t>
      </w:r>
      <w:r>
        <w:rPr>
          <w:sz w:val="20"/>
          <w:szCs w:val="20"/>
          <w:rFonts w:ascii="Consolas" w:cs="Consolas" w:eastAsia="Consolas" w:hAnsi="Consolas"/>
        </w:rPr>
        <w:br/>
        <w:t xml:space="preserve">    .catch((err) =&gt; setError(err.message))</w:t>
      </w:r>
      <w:r>
        <w:rPr>
          <w:sz w:val="20"/>
          <w:szCs w:val="20"/>
          <w:rFonts w:ascii="Consolas" w:cs="Consolas" w:eastAsia="Consolas" w:hAnsi="Consolas"/>
        </w:rPr>
        <w:br/>
        <w:t xml:space="preserve">    .finally(() =&gt; setLoading(false));</w:t>
      </w:r>
      <w:r>
        <w:rPr>
          <w:sz w:val="20"/>
          <w:szCs w:val="20"/>
          <w:rFonts w:ascii="Consolas" w:cs="Consolas" w:eastAsia="Consolas" w:hAnsi="Consolas"/>
        </w:rPr>
        <w:br/>
        <w:t xml:space="preserve">}, [category, q]);</w:t>
      </w:r>
    </w:p>
    <w:p>
      <w:pPr>
        <w:pStyle w:val="Heading2"/>
        <w:spacing w:before="240" w:after="120"/>
      </w:pPr>
      <w:r>
        <w:rPr>
          <w:b/>
          <w:bCs/>
        </w:rPr>
        <w:t xml:space="preserve">2.7 Accessibilité et référencement</w:t>
      </w:r>
    </w:p>
    <w:p>
      <w:pPr>
        <w:spacing w:after="120"/>
        <w:jc w:val="both"/>
      </w:pPr>
      <w:r>
        <w:t xml:space="preserve">Le site vise la conformité WCAG 2.1 et, dans sa déclinaison française, le RGAA (Référentiel Général d'Amélioration de l'Accessibilité), opposable aux organismes publics — ce qui est directement pertinent ici, le commanditaire étant une collectivité. Concrètement : balises sémantiques, lien d'évitement vers le contenu principal, libellés associés à chaque champ de formulaire, images décoratives neutralisées pour les lecteurs d'écran (alt vide ou aria-hidden), ordre de tabulation logique, focus visible et navigation entièrement au clavier. Le composant de notation expose aussi bien les étoiles que la valeur chiffrée. Les contrastes de la palette ont été vérifiés par rapport au seuil AA.</w:t>
      </w:r>
    </w:p>
    <w:p>
      <w:pPr>
        <w:spacing w:after="120"/>
        <w:jc w:val="both"/>
      </w:pPr>
      <w:r>
        <w:t xml:space="preserve">Côté référencement, chaque page définit son propre titre et sa méta-description grâce aux métadonnées natives de React 19 (composant Seo), ce qui améliore l'indexation par les moteurs de recherche et l'aperçu lors d'un partage sur les réseaux sociaux. Les URL restent propres et lisibles grâce à React Router.</w:t>
      </w:r>
    </w:p>
    <w:p>
      <w:pPr>
        <w:pStyle w:val="Heading2"/>
        <w:spacing w:before="240" w:after="120"/>
      </w:pPr>
      <w:r>
        <w:rPr>
          <w:b/>
          <w:bCs/>
        </w:rPr>
        <w:t xml:space="preserve">2.8 Éco-conception</w:t>
      </w:r>
    </w:p>
    <w:p>
      <w:pPr>
        <w:spacing w:after="120"/>
        <w:jc w:val="both"/>
      </w:pPr>
      <w:r>
        <w:t xml:space="preserve">Quelques principes d'éco-conception ont été pris en compte. Les images des artisans sont chargées en différé (lazy loading), ce qui évite de télécharger des visuels non affichés à l'écran. La typographie est auto-hébergée au format woff2 (compressé), ce qui évite toute requête vers un service tiers de polices. Côté serveur, l'API ne renvoie que les colonnes utiles (pas de SELECT *) et s'appuie sur une vue SQL qui pré-assemble les jointures, ce qui réduit le volume de données transférées. Le build de production (Vite) minifie et compresse enfin les fichiers envoyés au navigateur.</w:t>
      </w:r>
    </w:p>
    <w:p>
      <w:r>
        <w:br w:type="page"/>
      </w:r>
    </w:p>
    <w:p>
      <w:pPr>
        <w:pStyle w:val="Heading1"/>
        <w:spacing w:before="360" w:after="180"/>
      </w:pPr>
      <w:r>
        <w:rPr>
          <w:b/>
          <w:bCs/>
        </w:rPr>
        <w:t xml:space="preserve">3. Base de données et composants serveur</w:t>
      </w:r>
    </w:p>
    <w:p>
      <w:pPr>
        <w:pStyle w:val="Heading2"/>
        <w:spacing w:before="240" w:after="120"/>
      </w:pPr>
      <w:r>
        <w:rPr>
          <w:b/>
          <w:bCs/>
        </w:rPr>
        <w:t xml:space="preserve">3.1 Règles de gestion</w:t>
      </w:r>
    </w:p>
    <w:p>
      <w:pPr>
        <w:pStyle w:val="ListParagraph"/>
        <w:numPr>
          <w:ilvl w:val="0"/>
          <w:numId w:val="2"/>
        </w:numPr>
        <w:spacing w:after="80"/>
      </w:pPr>
      <w:r>
        <w:t xml:space="preserve">Un artisan appartient à une seule spécialité.</w:t>
      </w:r>
    </w:p>
    <w:p>
      <w:pPr>
        <w:pStyle w:val="ListParagraph"/>
        <w:numPr>
          <w:ilvl w:val="0"/>
          <w:numId w:val="2"/>
        </w:numPr>
        <w:spacing w:after="80"/>
      </w:pPr>
      <w:r>
        <w:t xml:space="preserve">Une spécialité est rattachée à une seule catégorie.</w:t>
      </w:r>
    </w:p>
    <w:p>
      <w:pPr>
        <w:pStyle w:val="ListParagraph"/>
        <w:numPr>
          <w:ilvl w:val="0"/>
          <w:numId w:val="2"/>
        </w:numPr>
        <w:spacing w:after="80"/>
      </w:pPr>
      <w:r>
        <w:t xml:space="preserve">Un artisan est localisé dans une seule ville ; une ville regroupe potentiellement plusieurs artisans.</w:t>
      </w:r>
    </w:p>
    <w:p>
      <w:pPr>
        <w:pStyle w:val="ListParagraph"/>
        <w:numPr>
          <w:ilvl w:val="0"/>
          <w:numId w:val="2"/>
        </w:numPr>
        <w:spacing w:after="80"/>
      </w:pPr>
      <w:r>
        <w:t xml:space="preserve">Un artisan peut être marqué « artisan du mois ».</w:t>
      </w:r>
    </w:p>
    <w:p>
      <w:pPr>
        <w:pStyle w:val="ListParagraph"/>
        <w:numPr>
          <w:ilvl w:val="0"/>
          <w:numId w:val="2"/>
        </w:numPr>
        <w:spacing w:after="80"/>
      </w:pPr>
      <w:r>
        <w:t xml:space="preserve">Chaque artisan possède une note décimale entre 0 et 5.</w:t>
      </w:r>
    </w:p>
    <w:p>
      <w:pPr>
        <w:pStyle w:val="ListParagraph"/>
        <w:numPr>
          <w:ilvl w:val="0"/>
          <w:numId w:val="2"/>
        </w:numPr>
        <w:spacing w:after="80"/>
      </w:pPr>
      <w:r>
        <w:t xml:space="preserve">Un message de contact est associé à un seul artisan ; un artisan peut en recevoir plusieurs.</w:t>
      </w:r>
    </w:p>
    <w:p>
      <w:pPr>
        <w:pStyle w:val="Heading2"/>
        <w:spacing w:before="240" w:after="120"/>
      </w:pPr>
      <w:r>
        <w:rPr>
          <w:b/>
          <w:bCs/>
        </w:rPr>
        <w:t xml:space="preserve">3.2 Respect des formes normales</w:t>
      </w:r>
    </w:p>
    <w:p>
      <w:pPr>
        <w:spacing w:after="120"/>
        <w:jc w:val="both"/>
      </w:pPr>
      <w:r>
        <w:t xml:space="preserve">Le schéma respecte les trois premières formes normales (1FN, 2FN, 3FN). En particulier, la ville a été externalisée dans une table dédiée (cities) pour éviter la redondance du nom de ville sur chaque ligne d'artisan (3FN) : si une ville change de nom, une seule ligne est à modifier. Idem pour les catégories et les spécialités, qui sont des tables référentielles distinctes.</w:t>
      </w:r>
    </w:p>
    <w:p>
      <w:pPr>
        <w:pStyle w:val="Heading2"/>
        <w:spacing w:before="240" w:after="120"/>
      </w:pPr>
      <w:r>
        <w:rPr>
          <w:b/>
          <w:bCs/>
        </w:rPr>
        <w:t xml:space="preserve">3.3 Modèle conceptuel de données (MCD)</w:t>
      </w:r>
    </w:p>
    <w:p>
      <w:pPr>
        <w:spacing w:before="100" w:after="60"/>
        <w:jc w:val="center"/>
      </w:pPr>
      <w:r>
        <w:drawing>
          <wp:inline distT="0" distB="0" distL="0" distR="0">
            <wp:extent cx="4572000" cy="2857500"/>
            <wp:effectExtent t="0" r="0" b="0" l="0"/>
            <wp:docPr id="1" name="mcd.png" descr="MCD — 5 entités, cardinalités explicites" title="MCD — 5 entités, cardinalités explic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57500"/>
                    </a:xfrm>
                    <a:prstGeom prst="rect">
                      <a:avLst/>
                    </a:prstGeom>
                  </pic:spPr>
                </pic:pic>
              </a:graphicData>
            </a:graphic>
          </wp:inline>
        </w:drawing>
      </w:r>
    </w:p>
    <w:p>
      <w:pPr>
        <w:spacing w:after="180"/>
        <w:jc w:val="center"/>
      </w:pPr>
      <w:r>
        <w:rPr>
          <w:i/>
          <w:iCs/>
          <w:color w:val="384050"/>
          <w:sz w:val="18"/>
          <w:szCs w:val="18"/>
        </w:rPr>
        <w:t xml:space="preserve">MCD — 5 entités, cardinalités explicites</w:t>
      </w:r>
    </w:p>
    <w:p>
      <w:pPr>
        <w:pStyle w:val="Heading2"/>
        <w:spacing w:before="240" w:after="120"/>
      </w:pPr>
      <w:r>
        <w:rPr>
          <w:b/>
          <w:bCs/>
        </w:rPr>
        <w:t xml:space="preserve">3.4 Modèle logique de données (MLD)</w:t>
      </w:r>
    </w:p>
    <w:p>
      <w:pPr>
        <w:spacing w:before="100" w:after="60"/>
        <w:jc w:val="center"/>
      </w:pPr>
      <w:r>
        <w:drawing>
          <wp:inline distT="0" distB="0" distL="0" distR="0">
            <wp:extent cx="5143500" cy="3219450"/>
            <wp:effectExtent t="0" r="0" b="0" l="0"/>
            <wp:docPr id="1" name="mld.png" descr="MLD — types SQL, PK / UK / FK identifiés" title="MLD — types SQL, PK / UK / FK identifi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219450"/>
                    </a:xfrm>
                    <a:prstGeom prst="rect">
                      <a:avLst/>
                    </a:prstGeom>
                  </pic:spPr>
                </pic:pic>
              </a:graphicData>
            </a:graphic>
          </wp:inline>
        </w:drawing>
      </w:r>
    </w:p>
    <w:p>
      <w:pPr>
        <w:spacing w:after="180"/>
        <w:jc w:val="center"/>
      </w:pPr>
      <w:r>
        <w:rPr>
          <w:i/>
          <w:iCs/>
          <w:color w:val="384050"/>
          <w:sz w:val="18"/>
          <w:szCs w:val="18"/>
        </w:rPr>
        <w:t xml:space="preserve">MLD — types SQL, PK / UK / FK identifiés</w:t>
      </w:r>
    </w:p>
    <w:p>
      <w:pPr>
        <w:spacing w:after="120"/>
        <w:jc w:val="both"/>
      </w:pPr>
      <w:r>
        <w:t xml:space="preserve">Notation textuelle équivalente (avec PK soulignée et FK préfixées par #) :</w:t>
      </w:r>
    </w:p>
    <w:p>
      <w:pPr>
        <w:shd w:fill="F1F8FC" w:val="clear"/>
        <w:spacing w:after="120"/>
      </w:pPr>
      <w:r>
        <w:rPr>
          <w:sz w:val="20"/>
          <w:szCs w:val="20"/>
          <w:rFonts w:ascii="Consolas" w:cs="Consolas" w:eastAsia="Consolas" w:hAnsi="Consolas"/>
        </w:rPr>
        <w:t xml:space="preserve">categories       (id, name)</w:t>
      </w:r>
      <w:r>
        <w:rPr>
          <w:sz w:val="20"/>
          <w:szCs w:val="20"/>
          <w:rFonts w:ascii="Consolas" w:cs="Consolas" w:eastAsia="Consolas" w:hAnsi="Consolas"/>
        </w:rPr>
        <w:br/>
        <w:t xml:space="preserve">specialties      (id, name, #category_id)</w:t>
      </w:r>
      <w:r>
        <w:rPr>
          <w:sz w:val="20"/>
          <w:szCs w:val="20"/>
          <w:rFonts w:ascii="Consolas" w:cs="Consolas" w:eastAsia="Consolas" w:hAnsi="Consolas"/>
        </w:rPr>
        <w:br/>
        <w:t xml:space="preserve">cities           (id, name)</w:t>
      </w:r>
      <w:r>
        <w:rPr>
          <w:sz w:val="20"/>
          <w:szCs w:val="20"/>
          <w:rFonts w:ascii="Consolas" w:cs="Consolas" w:eastAsia="Consolas" w:hAnsi="Consolas"/>
        </w:rPr>
        <w:br/>
        <w:t xml:space="preserve">artisans         (id, name, rating, about, email, website, image_url,</w:t>
      </w:r>
      <w:r>
        <w:rPr>
          <w:sz w:val="20"/>
          <w:szCs w:val="20"/>
          <w:rFonts w:ascii="Consolas" w:cs="Consolas" w:eastAsia="Consolas" w:hAnsi="Consolas"/>
        </w:rPr>
        <w:br/>
        <w:t xml:space="preserve">                  is_top_of_month, #specialty_id, #city_id)</w:t>
      </w:r>
      <w:r>
        <w:rPr>
          <w:sz w:val="20"/>
          <w:szCs w:val="20"/>
          <w:rFonts w:ascii="Consolas" w:cs="Consolas" w:eastAsia="Consolas" w:hAnsi="Consolas"/>
        </w:rPr>
        <w:br/>
        <w:t xml:space="preserve">contact_messages (id, sender_name, sender_email, subject, message,</w:t>
      </w:r>
      <w:r>
        <w:rPr>
          <w:sz w:val="20"/>
          <w:szCs w:val="20"/>
          <w:rFonts w:ascii="Consolas" w:cs="Consolas" w:eastAsia="Consolas" w:hAnsi="Consolas"/>
        </w:rPr>
        <w:br/>
        <w:t xml:space="preserve">                  created_at, #artisan_id)</w:t>
      </w:r>
    </w:p>
    <w:p>
      <w:pPr>
        <w:pStyle w:val="Heading2"/>
        <w:spacing w:before="240" w:after="120"/>
      </w:pPr>
      <w:r>
        <w:rPr>
          <w:b/>
          <w:bCs/>
        </w:rPr>
        <w:t xml:space="preserve">3.5 Modèle physique de données (extrait)</w:t>
      </w:r>
    </w:p>
    <w:p>
      <w:pPr>
        <w:shd w:fill="F1F8FC" w:val="clear"/>
        <w:spacing w:after="120"/>
      </w:pPr>
      <w:r>
        <w:rPr>
          <w:sz w:val="20"/>
          <w:szCs w:val="20"/>
          <w:rFonts w:ascii="Consolas" w:cs="Consolas" w:eastAsia="Consolas" w:hAnsi="Consolas"/>
        </w:rPr>
        <w:t xml:space="preserve">CREATE TABLE cities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 UNIQUE,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ENGINE=InnoDB CHARSET=utf8mb4 COLLATE=utf8mb4_unicode_ci;</w:t>
      </w:r>
      <w:r>
        <w:rPr>
          <w:sz w:val="20"/>
          <w:szCs w:val="20"/>
          <w:rFonts w:ascii="Consolas" w:cs="Consolas" w:eastAsia="Consolas" w:hAnsi="Consolas"/>
        </w:rPr>
        <w:br/>
      </w:r>
      <w:r>
        <w:rPr>
          <w:sz w:val="20"/>
          <w:szCs w:val="20"/>
          <w:rFonts w:ascii="Consolas" w:cs="Consolas" w:eastAsia="Consolas" w:hAnsi="Consolas"/>
        </w:rPr>
        <w:br/>
        <w:t xml:space="preserve">CREATE TABLE artisans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w:t>
      </w:r>
      <w:r>
        <w:rPr>
          <w:sz w:val="20"/>
          <w:szCs w:val="20"/>
          <w:rFonts w:ascii="Consolas" w:cs="Consolas" w:eastAsia="Consolas" w:hAnsi="Consolas"/>
        </w:rPr>
        <w:br/>
        <w:t xml:space="preserve">  rating          DECIMAL(2,1) NOT NULL DEFAULT 0.0,</w:t>
      </w:r>
      <w:r>
        <w:rPr>
          <w:sz w:val="20"/>
          <w:szCs w:val="20"/>
          <w:rFonts w:ascii="Consolas" w:cs="Consolas" w:eastAsia="Consolas" w:hAnsi="Consolas"/>
        </w:rPr>
        <w:br/>
        <w:t xml:space="preserve">  city_id         INT UNSIGNED NOT NULL,</w:t>
      </w:r>
      <w:r>
        <w:rPr>
          <w:sz w:val="20"/>
          <w:szCs w:val="20"/>
          <w:rFonts w:ascii="Consolas" w:cs="Consolas" w:eastAsia="Consolas" w:hAnsi="Consolas"/>
        </w:rPr>
        <w:br/>
        <w:t xml:space="preserve">  about           TEXT,</w:t>
      </w:r>
      <w:r>
        <w:rPr>
          <w:sz w:val="20"/>
          <w:szCs w:val="20"/>
          <w:rFonts w:ascii="Consolas" w:cs="Consolas" w:eastAsia="Consolas" w:hAnsi="Consolas"/>
        </w:rPr>
        <w:br/>
        <w:t xml:space="preserve">  email           VARCHAR(180) NOT NULL,</w:t>
      </w:r>
      <w:r>
        <w:rPr>
          <w:sz w:val="20"/>
          <w:szCs w:val="20"/>
          <w:rFonts w:ascii="Consolas" w:cs="Consolas" w:eastAsia="Consolas" w:hAnsi="Consolas"/>
        </w:rPr>
        <w:br/>
        <w:t xml:space="preserve">  website         VARCHAR(255),</w:t>
      </w:r>
      <w:r>
        <w:rPr>
          <w:sz w:val="20"/>
          <w:szCs w:val="20"/>
          <w:rFonts w:ascii="Consolas" w:cs="Consolas" w:eastAsia="Consolas" w:hAnsi="Consolas"/>
        </w:rPr>
        <w:br/>
        <w:t xml:space="preserve">  image_url       VARCHAR(255),</w:t>
      </w:r>
      <w:r>
        <w:rPr>
          <w:sz w:val="20"/>
          <w:szCs w:val="20"/>
          <w:rFonts w:ascii="Consolas" w:cs="Consolas" w:eastAsia="Consolas" w:hAnsi="Consolas"/>
        </w:rPr>
        <w:br/>
        <w:t xml:space="preserve">  specialty_id    INT UNSIGNED NOT NULL,</w:t>
      </w:r>
      <w:r>
        <w:rPr>
          <w:sz w:val="20"/>
          <w:szCs w:val="20"/>
          <w:rFonts w:ascii="Consolas" w:cs="Consolas" w:eastAsia="Consolas" w:hAnsi="Consolas"/>
        </w:rPr>
        <w:br/>
        <w:t xml:space="preserve">  is_top_of_month BOOLEAN NOT NULL DEFAULT FALSE,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CONSTRAINT chk_artisan_rating CHECK (rating &gt;= 0.0 AND rating &lt;= 5.0),</w:t>
      </w:r>
      <w:r>
        <w:rPr>
          <w:sz w:val="20"/>
          <w:szCs w:val="20"/>
          <w:rFonts w:ascii="Consolas" w:cs="Consolas" w:eastAsia="Consolas" w:hAnsi="Consolas"/>
        </w:rPr>
        <w:br/>
        <w:t xml:space="preserve">  CONSTRAINT chk_artisan_email  CHECK (email LIKE '%_@_%.__%'),</w:t>
      </w:r>
      <w:r>
        <w:rPr>
          <w:sz w:val="20"/>
          <w:szCs w:val="20"/>
          <w:rFonts w:ascii="Consolas" w:cs="Consolas" w:eastAsia="Consolas" w:hAnsi="Consolas"/>
        </w:rPr>
        <w:br/>
        <w:t xml:space="preserve">  CONSTRAINT fk_artisan_specialty</w:t>
      </w:r>
      <w:r>
        <w:rPr>
          <w:sz w:val="20"/>
          <w:szCs w:val="20"/>
          <w:rFonts w:ascii="Consolas" w:cs="Consolas" w:eastAsia="Consolas" w:hAnsi="Consolas"/>
        </w:rPr>
        <w:br/>
        <w:t xml:space="preserve">    FOREIGN KEY (specialty_id) REFERENCES specialties(id)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CONSTRAINT fk_artisan_city</w:t>
      </w:r>
      <w:r>
        <w:rPr>
          <w:sz w:val="20"/>
          <w:szCs w:val="20"/>
          <w:rFonts w:ascii="Consolas" w:cs="Consolas" w:eastAsia="Consolas" w:hAnsi="Consolas"/>
        </w:rPr>
        <w:br/>
        <w:t xml:space="preserve">    FOREIGN KEY (city_id) REFERENCES cities(id)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ENGINE=InnoDB CHARSET=utf8mb4 COLLATE=utf8mb4_unicode_ci;</w:t>
      </w:r>
    </w:p>
    <w:p>
      <w:pPr>
        <w:spacing w:after="120"/>
        <w:jc w:val="both"/>
      </w:pPr>
      <w:r>
        <w:t xml:space="preserve">Les scripts SQL complets se trouvent dans database/01_schema.sql (création) et database/02_seed.sql (jeu d'essai). Une variante adaptée à un hébergement préfixé (AlwaysData) est disponible dans database/remote/.</w:t>
      </w:r>
    </w:p>
    <w:p>
      <w:pPr>
        <w:pStyle w:val="Heading2"/>
        <w:spacing w:before="240" w:after="120"/>
      </w:pPr>
      <w:r>
        <w:rPr>
          <w:b/>
          <w:bCs/>
        </w:rPr>
        <w:t xml:space="preserve">3.6 Jeu d'essai (données initiales)</w:t>
      </w:r>
    </w:p>
    <w:p>
      <w:pPr>
        <w:spacing w:after="120"/>
        <w:jc w:val="both"/>
      </w:pPr>
      <w:r>
        <w:t xml:space="preserve">Issu du fichier data.xlsx fourni avec le brief :</w:t>
      </w:r>
    </w:p>
    <w:p>
      <w:pPr>
        <w:pStyle w:val="ListParagraph"/>
        <w:numPr>
          <w:ilvl w:val="0"/>
          <w:numId w:val="2"/>
        </w:numPr>
        <w:spacing w:after="80"/>
      </w:pPr>
      <w:r>
        <w:t xml:space="preserve">4 catégories : Bâtiment, Services, Fabrication, Alimentation.</w:t>
      </w:r>
    </w:p>
    <w:p>
      <w:pPr>
        <w:pStyle w:val="ListParagraph"/>
        <w:numPr>
          <w:ilvl w:val="0"/>
          <w:numId w:val="2"/>
        </w:numPr>
        <w:spacing w:after="80"/>
      </w:pPr>
      <w:r>
        <w:t xml:space="preserve">15 spécialités réparties dans les 4 catégories.</w:t>
      </w:r>
    </w:p>
    <w:p>
      <w:pPr>
        <w:pStyle w:val="ListParagraph"/>
        <w:numPr>
          <w:ilvl w:val="0"/>
          <w:numId w:val="2"/>
        </w:numPr>
        <w:spacing w:after="80"/>
      </w:pPr>
      <w:r>
        <w:t xml:space="preserve">14 villes uniques (Lyon revient 3 fois, Valence 2 fois, les autres 1 fois).</w:t>
      </w:r>
    </w:p>
    <w:p>
      <w:pPr>
        <w:pStyle w:val="ListParagraph"/>
        <w:numPr>
          <w:ilvl w:val="0"/>
          <w:numId w:val="2"/>
        </w:numPr>
        <w:spacing w:after="80"/>
      </w:pPr>
      <w:r>
        <w:t xml:space="preserve">17 artisans dont 3 mis en avant comme « artisans du mois ».</w:t>
      </w:r>
    </w:p>
    <w:p>
      <w:pPr>
        <w:pStyle w:val="Heading2"/>
        <w:spacing w:before="240" w:after="120"/>
      </w:pPr>
      <w:r>
        <w:rPr>
          <w:b/>
          <w:bCs/>
        </w:rPr>
        <w:t xml:space="preserve">3.7 Données NoSQL : les avis clients (MongoDB)</w:t>
      </w:r>
    </w:p>
    <w:p>
      <w:pPr>
        <w:spacing w:after="120"/>
        <w:jc w:val="both"/>
      </w:pPr>
      <w:r>
        <w:t xml:space="preserve">En complément de la base relationnelle, les avis déposés par les visiteurs sur la fiche d'un artisan sont stockés dans une base MongoDB, via l'ODM Mongoose. Ce choix répond à l'exigence du référentiel — manipuler des données à la fois SQL et NoSQL. Il se justifie aussi par la nature des avis. Leur schéma est souple et peut évoluer, par exemple pour accueillir une réponse de l'artisan imbriquée dans l'avis. Ils se lisent artisan par artisan, sans jointure, et leur volume est amené à grandir. Les deux bases cohabitent : l'artisan reste en relationnel, ses avis en documentaire, le lien étant assuré par l'identifiant de l'artisan.</w:t>
      </w:r>
    </w:p>
    <w:p>
      <w:pPr>
        <w:shd w:fill="F1F8FC" w:val="clear"/>
        <w:spacing w:after="120"/>
      </w:pPr>
      <w:r>
        <w:rPr>
          <w:sz w:val="20"/>
          <w:szCs w:val="20"/>
          <w:rFonts w:ascii="Consolas" w:cs="Consolas" w:eastAsia="Consolas" w:hAnsi="Consolas"/>
        </w:rPr>
        <w:t xml:space="preserve">const reviewSchema = new mongoose.Schema({</w:t>
      </w:r>
      <w:r>
        <w:rPr>
          <w:sz w:val="20"/>
          <w:szCs w:val="20"/>
          <w:rFonts w:ascii="Consolas" w:cs="Consolas" w:eastAsia="Consolas" w:hAnsi="Consolas"/>
        </w:rPr>
        <w:br/>
        <w:t xml:space="preserve">  artisanId:  { type: Number, required: true, index: true },</w:t>
      </w:r>
      <w:r>
        <w:rPr>
          <w:sz w:val="20"/>
          <w:szCs w:val="20"/>
          <w:rFonts w:ascii="Consolas" w:cs="Consolas" w:eastAsia="Consolas" w:hAnsi="Consolas"/>
        </w:rPr>
        <w:br/>
        <w:t xml:space="preserve">  authorName: { type: String, required: true, minlength: 2, maxlength: 120 },</w:t>
      </w:r>
      <w:r>
        <w:rPr>
          <w:sz w:val="20"/>
          <w:szCs w:val="20"/>
          <w:rFonts w:ascii="Consolas" w:cs="Consolas" w:eastAsia="Consolas" w:hAnsi="Consolas"/>
        </w:rPr>
        <w:br/>
        <w:t xml:space="preserve">  rating:     { type: Number, required: true, min: 1, max: 5 },</w:t>
      </w:r>
      <w:r>
        <w:rPr>
          <w:sz w:val="20"/>
          <w:szCs w:val="20"/>
          <w:rFonts w:ascii="Consolas" w:cs="Consolas" w:eastAsia="Consolas" w:hAnsi="Consolas"/>
        </w:rPr>
        <w:br/>
        <w:t xml:space="preserve">  comment:    { type: String, required: true, minlength: 10, maxlength: 2000 },</w:t>
      </w:r>
      <w:r>
        <w:rPr>
          <w:sz w:val="20"/>
          <w:szCs w:val="20"/>
          <w:rFonts w:ascii="Consolas" w:cs="Consolas" w:eastAsia="Consolas" w:hAnsi="Consolas"/>
        </w:rPr>
        <w:br/>
        <w:t xml:space="preserve">  reply: { message: String, repliedAt: Date }, // reponse eventuelle de l'artisan</w:t>
      </w:r>
      <w:r>
        <w:rPr>
          <w:sz w:val="20"/>
          <w:szCs w:val="20"/>
          <w:rFonts w:ascii="Consolas" w:cs="Consolas" w:eastAsia="Consolas" w:hAnsi="Consolas"/>
        </w:rPr>
        <w:br/>
        <w:t xml:space="preserve">}, { timestamps: true });</w:t>
      </w:r>
    </w:p>
    <w:p>
      <w:pPr>
        <w:spacing w:after="120"/>
        <w:jc w:val="both"/>
      </w:pPr>
      <w:r>
        <w:t xml:space="preserve">La connexion à MongoDB est volontairement non bloquante : si la base NoSQL est momentanément indisponible, l'API relationnelle continue de fonctionner et les routes d'avis renvoient un code 503 explicite.</w:t>
      </w:r>
    </w:p>
    <w:p>
      <w:pPr>
        <w:spacing w:after="120"/>
        <w:jc w:val="both"/>
      </w:pPr>
      <w:r>
        <w:t xml:space="preserve">Côté schéma physique, la collection « reviews » est décrite par le modèle Mongoose (backend/src/models/Review.js), qui fait aussi office de validation : les types, les champs obligatoires et les bornes (note de 1 à 5, longueurs minimales et maximales) sont contrôlés à l'écriture. Un index sur le champ artisanId, déclaré dans le modèle, accélère la lecture des avis d'un artisan ; Mongoose le crée automatiquement au démarrage.</w:t>
      </w:r>
    </w:p>
    <w:p>
      <w:pPr>
        <w:pStyle w:val="Heading2"/>
        <w:spacing w:before="240" w:after="120"/>
      </w:pPr>
      <w:r>
        <w:rPr>
          <w:b/>
          <w:bCs/>
        </w:rPr>
        <w:t xml:space="preserve">3.8 Composants d'accès aux données (SQL et NoSQL)</w:t>
      </w:r>
    </w:p>
    <w:p>
      <w:pPr>
        <w:spacing w:after="120"/>
        <w:jc w:val="both"/>
      </w:pPr>
      <w:r>
        <w:t xml:space="preserve">L'accès aux données est isolé dans une couche de services, séparée des contrôleurs. Côté relationnel, les services s'appuient sur Sequelize, qui génère des requêtes paramétrées. Côté documentaire, un service dédié interroge MongoDB. Les deux exposent le même type d'interface aux contrôleurs, ce qui garde le code homogène malgré les deux technologies de stockage.</w:t>
      </w:r>
    </w:p>
    <w:p>
      <w:pPr>
        <w:shd w:fill="F1F8FC" w:val="clear"/>
        <w:spacing w:after="120"/>
      </w:pPr>
      <w:r>
        <w:rPr>
          <w:sz w:val="20"/>
          <w:szCs w:val="20"/>
          <w:rFonts w:ascii="Consolas" w:cs="Consolas" w:eastAsia="Consolas" w:hAnsi="Consolas"/>
        </w:rPr>
        <w:t xml:space="preserve">// Acces SQL (Sequelize) - liste filtree des artisans</w:t>
      </w:r>
      <w:r>
        <w:rPr>
          <w:sz w:val="20"/>
          <w:szCs w:val="20"/>
          <w:rFonts w:ascii="Consolas" w:cs="Consolas" w:eastAsia="Consolas" w:hAnsi="Consolas"/>
        </w:rPr>
        <w:br/>
        <w:t xml:space="preserve">const results = await Artisan.findAll({</w:t>
      </w:r>
      <w:r>
        <w:rPr>
          <w:sz w:val="20"/>
          <w:szCs w:val="20"/>
          <w:rFonts w:ascii="Consolas" w:cs="Consolas" w:eastAsia="Consolas" w:hAnsi="Consolas"/>
        </w:rPr>
        <w:br/>
        <w:t xml:space="preserve">  where,</w:t>
      </w:r>
      <w:r>
        <w:rPr>
          <w:sz w:val="20"/>
          <w:szCs w:val="20"/>
          <w:rFonts w:ascii="Consolas" w:cs="Consolas" w:eastAsia="Consolas" w:hAnsi="Consolas"/>
        </w:rPr>
        <w:br/>
        <w:t xml:space="preserve">  include: fullInclude,</w:t>
      </w:r>
      <w:r>
        <w:rPr>
          <w:sz w:val="20"/>
          <w:szCs w:val="20"/>
          <w:rFonts w:ascii="Consolas" w:cs="Consolas" w:eastAsia="Consolas" w:hAnsi="Consolas"/>
        </w:rPr>
        <w:br/>
        <w:t xml:space="preserve">  order: [['rating', 'DESC'], ['name', 'ASC']],</w:t>
      </w:r>
      <w:r>
        <w:rPr>
          <w:sz w:val="20"/>
          <w:szCs w:val="20"/>
          <w:rFonts w:ascii="Consolas" w:cs="Consolas" w:eastAsia="Consolas" w:hAnsi="Consolas"/>
        </w:rPr>
        <w:br/>
        <w:t xml:space="preserve">});</w:t>
      </w:r>
    </w:p>
    <w:p>
      <w:pPr>
        <w:shd w:fill="F1F8FC" w:val="clear"/>
        <w:spacing w:after="120"/>
      </w:pPr>
      <w:r>
        <w:rPr>
          <w:sz w:val="20"/>
          <w:szCs w:val="20"/>
          <w:rFonts w:ascii="Consolas" w:cs="Consolas" w:eastAsia="Consolas" w:hAnsi="Consolas"/>
        </w:rPr>
        <w:t xml:space="preserve">// Acces NoSQL (Mongoose) - avis d'un artisan + moyenne par agregation</w:t>
      </w:r>
      <w:r>
        <w:rPr>
          <w:sz w:val="20"/>
          <w:szCs w:val="20"/>
          <w:rFonts w:ascii="Consolas" w:cs="Consolas" w:eastAsia="Consolas" w:hAnsi="Consolas"/>
        </w:rPr>
        <w:br/>
        <w:t xml:space="preserve">const items = await Review.find({ artisanId }).sort({ createdAt: -1 }).lean();</w:t>
      </w:r>
      <w:r>
        <w:rPr>
          <w:sz w:val="20"/>
          <w:szCs w:val="20"/>
          <w:rFonts w:ascii="Consolas" w:cs="Consolas" w:eastAsia="Consolas" w:hAnsi="Consolas"/>
        </w:rPr>
        <w:br/>
        <w:t xml:space="preserve">const [stats] = await Review.aggregate([</w:t>
      </w:r>
      <w:r>
        <w:rPr>
          <w:sz w:val="20"/>
          <w:szCs w:val="20"/>
          <w:rFonts w:ascii="Consolas" w:cs="Consolas" w:eastAsia="Consolas" w:hAnsi="Consolas"/>
        </w:rPr>
        <w:br/>
        <w:t xml:space="preserve">  { $match: { artisanId } },</w:t>
      </w:r>
      <w:r>
        <w:rPr>
          <w:sz w:val="20"/>
          <w:szCs w:val="20"/>
          <w:rFonts w:ascii="Consolas" w:cs="Consolas" w:eastAsia="Consolas" w:hAnsi="Consolas"/>
        </w:rPr>
        <w:br/>
        <w:t xml:space="preserve">  { $group: { _id: '$artisanId', average: { $avg: '$rating' }, count: { $sum: 1 } } },</w:t>
      </w:r>
      <w:r>
        <w:rPr>
          <w:sz w:val="20"/>
          <w:szCs w:val="20"/>
          <w:rFonts w:ascii="Consolas" w:cs="Consolas" w:eastAsia="Consolas" w:hAnsi="Consolas"/>
        </w:rPr>
        <w:br/>
        <w:t xml:space="preserve">]);</w:t>
      </w:r>
    </w:p>
    <w:p>
      <w:pPr>
        <w:pStyle w:val="Heading2"/>
        <w:spacing w:before="240" w:after="120"/>
      </w:pPr>
      <w:r>
        <w:rPr>
          <w:b/>
          <w:bCs/>
        </w:rPr>
        <w:t xml:space="preserve">3.9 Composants métier côté serveur</w:t>
      </w:r>
    </w:p>
    <w:p>
      <w:pPr>
        <w:spacing w:after="120"/>
        <w:jc w:val="both"/>
      </w:pPr>
      <w:r>
        <w:t xml:space="preserve">La logique métier est portée par les services, jamais par les contrôleurs, qui se contentent de lire la requête et de mettre en forme la réponse. La création d'un avis illustre la collaboration des deux bases : le service vérifie d'abord, côté relationnel, que l'artisan existe, avant d'enregistrer l'avis côté MongoDB.</w:t>
      </w:r>
    </w:p>
    <w:p>
      <w:pPr>
        <w:shd w:fill="F1F8FC" w:val="clear"/>
        <w:spacing w:after="120"/>
      </w:pPr>
      <w:r>
        <w:rPr>
          <w:sz w:val="20"/>
          <w:szCs w:val="20"/>
          <w:rFonts w:ascii="Consolas" w:cs="Consolas" w:eastAsia="Consolas" w:hAnsi="Consolas"/>
        </w:rPr>
        <w:t xml:space="preserve">async function createReview(artisanId, { authorName, rating, comment }) {</w:t>
      </w:r>
      <w:r>
        <w:rPr>
          <w:sz w:val="20"/>
          <w:szCs w:val="20"/>
          <w:rFonts w:ascii="Consolas" w:cs="Consolas" w:eastAsia="Consolas" w:hAnsi="Consolas"/>
        </w:rPr>
        <w:br/>
        <w:t xml:space="preserve">  const artisan = await Artisan.findByPk(artisanId);   // verification cote SQL</w:t>
      </w:r>
      <w:r>
        <w:rPr>
          <w:sz w:val="20"/>
          <w:szCs w:val="20"/>
          <w:rFonts w:ascii="Consolas" w:cs="Consolas" w:eastAsia="Consolas" w:hAnsi="Consolas"/>
        </w:rPr>
        <w:br/>
        <w:t xml:space="preserve">  if (!artisan) return { notFound: true };</w:t>
      </w:r>
      <w:r>
        <w:rPr>
          <w:sz w:val="20"/>
          <w:szCs w:val="20"/>
          <w:rFonts w:ascii="Consolas" w:cs="Consolas" w:eastAsia="Consolas" w:hAnsi="Consolas"/>
        </w:rPr>
        <w:br/>
        <w:t xml:space="preserve">  const review = await Review.create({ artisanId, authorName, rating, comment }); // ecriture NoSQL</w:t>
      </w:r>
      <w:r>
        <w:rPr>
          <w:sz w:val="20"/>
          <w:szCs w:val="20"/>
          <w:rFonts w:ascii="Consolas" w:cs="Consolas" w:eastAsia="Consolas" w:hAnsi="Consolas"/>
        </w:rPr>
        <w:br/>
        <w:t xml:space="preserve">  return { review };</w:t>
      </w:r>
      <w:r>
        <w:rPr>
          <w:sz w:val="20"/>
          <w:szCs w:val="20"/>
          <w:rFonts w:ascii="Consolas" w:cs="Consolas" w:eastAsia="Consolas" w:hAnsi="Consolas"/>
        </w:rPr>
        <w:br/>
        <w:t xml:space="preserve">}</w:t>
      </w:r>
    </w:p>
    <w:p>
      <w:pPr>
        <w:pStyle w:val="Heading2"/>
        <w:spacing w:before="240" w:after="120"/>
      </w:pPr>
      <w:r>
        <w:rPr>
          <w:b/>
          <w:bCs/>
        </w:rPr>
        <w:t xml:space="preserve">3.10 Jeu d'essai de la fonctionnalité la plus représentative</w:t>
      </w:r>
    </w:p>
    <w:p>
      <w:pPr>
        <w:spacing w:after="120"/>
        <w:jc w:val="both"/>
      </w:pPr>
      <w:r>
        <w:t xml:space="preserve">La fonctionnalité retenue est le dépôt d'un avis sur la fiche d'un artisan, suivi de sa relecture. Elle a été choisie parce qu'elle traverse toute l'application : le formulaire React en front-end, la validation et la logique métier en back-end, puis les deux bases de données — lecture de l'artisan en SQL, écriture puis relecture de l'avis en NoSQL.</w:t>
      </w:r>
    </w:p>
    <w:p>
      <w:pPr>
        <w:spacing w:after="120"/>
        <w:jc w:val="both"/>
      </w:pPr>
      <w:r>
        <w:t xml:space="preserve">L'objectif est de vérifier le parcours nominal (un avis bien enregistré et la note moyenne recalculée) ainsi que la robustesse de l'API face à deux cas limites.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60"/>
        <w:gridCol w:w="2400"/>
        <w:gridCol w:w="2200"/>
      </w:tblGrid>
      <w:tr>
        <w:trPr>
          <w:tblHeader/>
        </w:trPr>
        <w:tc>
          <w:tcPr>
            <w:tcW w:type="dxa" w:w="17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Cas</w:t>
            </w:r>
          </w:p>
        </w:tc>
        <w:tc>
          <w:tcPr>
            <w:tcW w:type="dxa" w:w="30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Données en entrée</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Attendu</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Obtenu</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Nominal</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Deux avis sur l'artisan 1 : Claire (5/5) puis Marc (3/5).</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201 à chaque dépôt ; le GET renvoie count 2 et average 4.</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(count 2, average 4).</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Saisie invalide</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Un avis avec une note de 9 et un commentaire trop court.</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400 — erreur de validation.</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(400, ValidationError).</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Base NoSQL indisponible</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Dépôt d'un avis alors que MongoDB est arrêté.</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503 — service indisponible.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(503).</w:t>
            </w:r>
          </w:p>
        </w:tc>
      </w:tr>
    </w:tbl>
    <w:p>
      <w:pPr>
        <w:spacing w:after="120"/>
        <w:jc w:val="both"/>
      </w:pPr>
      <w:r>
        <w:t xml:space="preserve">Aucun écart entre l'attendu et l'obtenu. Le cas nominal et la saisie invalide sont couverts par la suite de tests automatisée (commande npm test) ; l'indisponibilité de MongoDB a été vérifiée manuellement en arrêtant la base.</w:t>
      </w:r>
    </w:p>
    <w:p>
      <w:pPr>
        <w:pStyle w:val="Heading2"/>
        <w:spacing w:before="240" w:after="120"/>
      </w:pPr>
      <w:r>
        <w:rPr>
          <w:b/>
          <w:bCs/>
        </w:rPr>
        <w:t xml:space="preserve">3.11 Tests automatisés</w:t>
      </w:r>
    </w:p>
    <w:p>
      <w:pPr>
        <w:spacing w:after="120"/>
        <w:jc w:val="both"/>
      </w:pPr>
      <w:r>
        <w:t xml:space="preserve">Au-delà des tests de sécurité manuels (détaillés dans la veille), l'API est couverte par une suite de tests automatisés, exécutée avec Mocha, Chai et Supertest. La base relationnelle de test utilise SQLite en mémoire et la base NoSQL un serveur MongoDB éphémère : les tests sont ainsi rapides et isolés, sans toucher à aucune base réelle. La suite couvre les trois volets du projet.</w:t>
      </w:r>
    </w:p>
    <w:p>
      <w:pPr>
        <w:pStyle w:val="ListParagraph"/>
        <w:numPr>
          <w:ilvl w:val="0"/>
          <w:numId w:val="2"/>
        </w:numPr>
        <w:spacing w:after="80"/>
      </w:pPr>
      <w:r>
        <w:t xml:space="preserve">Artisans (SQL) : liste, fiche détaillée, artisan introuvable, recherche sans résultat.</w:t>
      </w:r>
    </w:p>
    <w:p>
      <w:pPr>
        <w:pStyle w:val="ListParagraph"/>
        <w:numPr>
          <w:ilvl w:val="0"/>
          <w:numId w:val="2"/>
        </w:numPr>
        <w:spacing w:after="80"/>
      </w:pPr>
      <w:r>
        <w:t xml:space="preserve">Avis (NoSQL) : liste vide au départ, dépôt d'un avis, recalcul de la note moyenne, artisan inexistant.</w:t>
      </w:r>
    </w:p>
    <w:p>
      <w:pPr>
        <w:pStyle w:val="ListParagraph"/>
        <w:numPr>
          <w:ilvl w:val="0"/>
          <w:numId w:val="2"/>
        </w:numPr>
        <w:spacing w:after="80"/>
      </w:pPr>
      <w:r>
        <w:t xml:space="preserve">Sécurité : accès refusé sans clé d'API ou avec une mauvaise clé, validation des entrées, route de santé publique.</w:t>
      </w:r>
    </w:p>
    <w:p>
      <w:pPr>
        <w:spacing w:after="120"/>
        <w:jc w:val="both"/>
      </w:pPr>
      <w:r>
        <w:t xml:space="preserve">La suite compte onze tests, tous au vert (commande npm test).</w:t>
      </w:r>
    </w:p>
    <w:p>
      <w:r>
        <w:br w:type="page"/>
      </w:r>
    </w:p>
    <w:p>
      <w:pPr>
        <w:pStyle w:val="Heading1"/>
        <w:spacing w:before="360" w:after="180"/>
      </w:pPr>
      <w:r>
        <w:rPr>
          <w:b/>
          <w:bCs/>
        </w:rPr>
        <w:t xml:space="preserve">4. Sécurité</w:t>
      </w:r>
    </w:p>
    <w:p>
      <w:pPr>
        <w:spacing w:after="120"/>
        <w:jc w:val="both"/>
      </w:pPr>
      <w:r>
        <w:t xml:space="preserve">La sécurité est une exigence majeure de la région (collectivité publique). Plusieurs couches ont été mises en place, depuis l’accès réseau jusqu’à la base de données, en suivant les recommandations de l’OWASP Top 10 (2021).</w:t>
      </w:r>
    </w:p>
    <w:p>
      <w:pPr>
        <w:pStyle w:val="Heading2"/>
        <w:spacing w:before="240" w:after="120"/>
      </w:pPr>
      <w:r>
        <w:rPr>
          <w:b/>
          <w:bCs/>
        </w:rPr>
        <w:t xml:space="preserve">4.1 Synthèse des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w:t>
            </w:r>
          </w:p>
        </w:tc>
        <w:tc>
          <w:tcPr>
            <w:tcW w:type="dxa" w:w="36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Intérêt</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partagée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Express vérifiant l’en-tête x-api-key (comparaison à temps constant via crypto.timingSafeEqual).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Restreint l’accès de l’API à la seule application web (exigence du brief).</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CORS allowlist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Politique CORS limitée aux origines listées dans CORS_ORIGIN ; méthodes restreintes à GET et POST.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tout site tiers d’appeler l’API depuis un navigateur.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En-têtes HTTP : nosniff, no-referrer, HSTS, X-Frame-Options…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Bouche les défauts de configuration HTTP courants (sniffing MIME, downgrade TLS, fuite de referer).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Rate limiting</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express-rate-limit : 100 req/15 min global, 5 req/15 min sur le formulaire de contact.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le spam et la force brute sur la clé d’API.</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Validation des entrées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express-validator côté serveur + validation HTML5/JS côté client.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Évite les données malformées, prépare le terrain contre XSS et injection.</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Anti-injection SQL</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Accès BDD via Sequelize (requêtes paramétrées). Aucun assemblage manuel.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l’injection SQL (OWASP A03).</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Privilèges BDD minimaux</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Compte applicatif (ttartisan_app) limité à SELECT/INSERT/UPDATE/DELETE.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Limite l’impact d’une compromission de la couche applicative.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Secrets en variables d’env.</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dotenv + .env hors du dépôt (.gitignore).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secret dans le code, rotation facile.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obligatoire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TLS terminé par l’hébergeur ; HSTS via Helmet.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Confidentialité et intégrité des échanges (notamment du formulaire).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Taille des requêtes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express.json({ limit: '32kb' }).</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Protection basique contre les payloads abusifs.</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Gestion d’erreurs centralisée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errorHandler qui masque les détails techniques en production.</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fuite de stack trace ou de schéma BDD.</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Traçabilité</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Table contact_messages : enregistrement systématique des messages envoyés.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Auditabilité en cas d’incident (spam, réclamation).</w:t>
            </w:r>
          </w:p>
        </w:tc>
      </w:tr>
    </w:tbl>
    <w:p>
      <w:pPr>
        <w:pStyle w:val="Heading2"/>
        <w:spacing w:before="240" w:after="120"/>
      </w:pPr>
      <w:r>
        <w:rPr>
          <w:b/>
          <w:bCs/>
        </w:rPr>
        <w:t xml:space="preserve">4.2 Détail des principales mesures</w:t>
      </w:r>
    </w:p>
    <w:p>
      <w:pPr>
        <w:pStyle w:val="Heading3"/>
        <w:spacing w:before="200" w:after="100"/>
      </w:pPr>
      <w:r>
        <w:rPr>
          <w:b/>
          <w:bCs/>
        </w:rPr>
        <w:t xml:space="preserve">4.2.1 Authentification de l’application par clé d’API</w:t>
      </w:r>
    </w:p>
    <w:p>
      <w:pPr>
        <w:spacing w:after="120"/>
        <w:jc w:val="both"/>
      </w:pPr>
      <w:r>
        <w:t xml:space="preserve">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pPr>
        <w:pStyle w:val="Heading3"/>
        <w:spacing w:before="200" w:after="100"/>
      </w:pPr>
      <w:r>
        <w:rPr>
          <w:b/>
          <w:bCs/>
        </w:rPr>
        <w:t xml:space="preserve">4.2.2 Politique CORS restrictive</w:t>
      </w:r>
    </w:p>
    <w:p>
      <w:pPr>
        <w:spacing w:after="120"/>
        <w:jc w:val="both"/>
      </w:pPr>
      <w:r>
        <w:t xml:space="preserve">Les requêtes XHR/Fetch sont autorisées uniquement depuis les origines listées dans la variable CORS_ORIGIN (le domaine du frontend en production et localhost en développement). Toute autre origine reçoit une erreur CORS du navigateur.</w:t>
      </w:r>
    </w:p>
    <w:p>
      <w:pPr>
        <w:pStyle w:val="Heading3"/>
        <w:spacing w:before="200" w:after="100"/>
      </w:pPr>
      <w:r>
        <w:rPr>
          <w:b/>
          <w:bCs/>
        </w:rPr>
        <w:t xml:space="preserve">4.2.3 Protection des données utilisateur</w:t>
      </w:r>
    </w:p>
    <w:p>
      <w:pPr>
        <w:spacing w:after="120"/>
        <w:jc w:val="both"/>
      </w:pPr>
      <w:r>
        <w:t xml:space="preserve">Le formulaire de contact collecte le strict minimum (nom, e-mail, objet, message), et la table contact_messages les enregistre pour traçabilité. Une mention d'information accompagne le formulaire : finalité (transmettre la demande à l'artisan), destinataire (l'artisan concerné), durée de conservation (12 mois) et droits d'accès, de rectification et de suppression, exerçables via la page « Données personnelles ». Aucune donnée n'est utilisée à des fins commerciales.</w:t>
      </w:r>
    </w:p>
    <w:p>
      <w:pPr>
        <w:pStyle w:val="Heading3"/>
        <w:spacing w:before="200" w:after="100"/>
      </w:pPr>
      <w:r>
        <w:rPr>
          <w:b/>
          <w:bCs/>
        </w:rPr>
        <w:t xml:space="preserve">4.2.4 Limitation du débit et anti-spam</w:t>
      </w:r>
    </w:p>
    <w:p>
      <w:pPr>
        <w:spacing w:after="120"/>
        <w:jc w:val="both"/>
      </w:pPr>
      <w:r>
        <w:t xml:space="preserve">Au-delà du middleware global, la route POST /api/artisans/:id/contact applique une limite plus stricte (5 envois / 15 min / IP). Combinée au caractère obligatoire de la clé d’API, elle décourage les tentatives de spam massif visant les artisans.</w:t>
      </w:r>
    </w:p>
    <w:p>
      <w:r>
        <w:br w:type="page"/>
      </w:r>
    </w:p>
    <w:p>
      <w:pPr>
        <w:pStyle w:val="Heading1"/>
        <w:spacing w:before="360" w:after="180"/>
      </w:pPr>
      <w:r>
        <w:rPr>
          <w:b/>
          <w:bCs/>
        </w:rPr>
        <w:t xml:space="preserve">5. Veille de sécurité</w:t>
      </w:r>
    </w:p>
    <w:p>
      <w:pPr>
        <w:pStyle w:val="Heading2"/>
        <w:spacing w:before="240" w:after="120"/>
      </w:pPr>
      <w:r>
        <w:rPr>
          <w:b/>
          <w:bCs/>
        </w:rPr>
        <w:t xml:space="preserve">5.1 Sources consultées</w:t>
      </w:r>
    </w:p>
    <w:p>
      <w:pPr>
        <w:pStyle w:val="ListParagraph"/>
        <w:numPr>
          <w:ilvl w:val="0"/>
          <w:numId w:val="2"/>
        </w:numPr>
        <w:spacing w:after="80"/>
      </w:pPr>
      <w:r>
        <w:t xml:space="preserve">OWASP Top 10 (2021) — vulnérabilités web et recommandations.</w:t>
      </w:r>
    </w:p>
    <w:p>
      <w:pPr>
        <w:pStyle w:val="ListParagraph"/>
        <w:numPr>
          <w:ilvl w:val="0"/>
          <w:numId w:val="2"/>
        </w:numPr>
        <w:spacing w:after="80"/>
      </w:pPr>
      <w:r>
        <w:t xml:space="preserve">OWASP Cheat Sheets — fiches pratiques.</w:t>
      </w:r>
    </w:p>
    <w:p>
      <w:pPr>
        <w:pStyle w:val="ListParagraph"/>
        <w:numPr>
          <w:ilvl w:val="0"/>
          <w:numId w:val="2"/>
        </w:numPr>
        <w:spacing w:after="80"/>
      </w:pPr>
      <w:r>
        <w:t xml:space="preserve">Snyk Vulnerability DB &amp; GitHub Security Advisories — CVE des paquets npm utilisés.</w:t>
      </w:r>
    </w:p>
    <w:p>
      <w:pPr>
        <w:pStyle w:val="ListParagraph"/>
        <w:numPr>
          <w:ilvl w:val="0"/>
          <w:numId w:val="2"/>
        </w:numPr>
        <w:spacing w:after="80"/>
      </w:pPr>
      <w:r>
        <w:t xml:space="preserve">CNIL — bonnes pratiques RGPD pour les formulaires.</w:t>
      </w:r>
    </w:p>
    <w:p>
      <w:pPr>
        <w:pStyle w:val="ListParagraph"/>
        <w:numPr>
          <w:ilvl w:val="0"/>
          <w:numId w:val="2"/>
        </w:numPr>
        <w:spacing w:after="80"/>
      </w:pPr>
      <w:r>
        <w:t xml:space="preserve">W3C — WCAG 2.1 (accessibilité, imposé par le brief).</w:t>
      </w:r>
    </w:p>
    <w:p>
      <w:pPr>
        <w:pStyle w:val="ListParagraph"/>
        <w:numPr>
          <w:ilvl w:val="0"/>
          <w:numId w:val="2"/>
        </w:numPr>
        <w:spacing w:after="80"/>
      </w:pPr>
      <w:r>
        <w:t xml:space="preserve">MDN Web Docs — détails sur les en-têtes HTTP de sécurité (CSP, HSTS, etc.).</w:t>
      </w:r>
    </w:p>
    <w:p>
      <w:pPr>
        <w:pStyle w:val="Heading2"/>
        <w:spacing w:before="240" w:after="120"/>
      </w:pPr>
      <w:r>
        <w:rPr>
          <w:b/>
          <w:bCs/>
        </w:rPr>
        <w:t xml:space="preserve">5.2 Vulnérabilités OWASP étudiées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Vulnérabilité</w:t>
            </w:r>
          </w:p>
        </w:tc>
        <w:tc>
          <w:tcPr>
            <w:tcW w:type="dxa" w:w="6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 prise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A01 Broken Access Control</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obligatoire, pas de session, pas d’admin exposé.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A02 Cryptographic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 HSTS, secrets en variables d’environnement, comparaison à temps constant.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A03 Injection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Sequelize (paramétré), express-validator, échappement React.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A04 Insecure Design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Modèle simple, contraintes BDD, moindre privilège.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A05 Security Misconfiguration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 x-powered-by désactivé, errorHandler discret en production.</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A06 Vulnerable Components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dépendances à jour, lockfile commité.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A07 Auth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d’espace membre, rate limiting, clé longue et aléatoire.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A08 Software Integrity</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package-lock.json versionné, sources officielles npm.</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A09 Logging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Morgan en logs HTTP, traçabilité des messages.</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A10 SSRF</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requête sortante déclenchée par des données utilisateur.</w:t>
            </w:r>
          </w:p>
        </w:tc>
      </w:tr>
    </w:tbl>
    <w:p>
      <w:pPr>
        <w:pStyle w:val="Heading2"/>
        <w:spacing w:before="240" w:after="120"/>
      </w:pPr>
      <w:r>
        <w:rPr>
          <w:b/>
          <w:bCs/>
        </w:rPr>
        <w:t xml:space="preserve">5.3 Tests effectués sur le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Test</w:t>
            </w:r>
          </w:p>
        </w:tc>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attendu</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obtenu</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Injection SQL via ?q='OR 1=1--</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ligne supplémentaire renvoyée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Sequelize paramétré</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XSS via formulaire de contact</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stocké tel quel, non exécuté</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React échappe automatiquement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Appel sans clé d’API</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401 Unauthorized</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middleware apiKey</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Origine non autorisée</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 CORS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Spam du formulaire (&gt;5/15 min)</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429 Too Many Requests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express-rate-limit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Payload JSON &gt; 32 ko</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Refus 413</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express.json 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(front + back)</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vuln. critique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au moment du rendu</w:t>
            </w:r>
          </w:p>
        </w:tc>
      </w:tr>
    </w:tbl>
    <w:p>
      <w:pPr>
        <w:pStyle w:val="Heading2"/>
        <w:spacing w:before="240" w:after="120"/>
      </w:pPr>
      <w:r>
        <w:rPr>
          <w:b/>
          <w:bCs/>
        </w:rPr>
        <w:t xml:space="preserve">5.4 Vulnérabilités corrigées en cours de développement</w:t>
      </w:r>
    </w:p>
    <w:p>
      <w:pPr>
        <w:pStyle w:val="ListParagraph"/>
        <w:numPr>
          <w:ilvl w:val="0"/>
          <w:numId w:val="2"/>
        </w:numPr>
        <w:spacing w:after="80"/>
      </w:pPr>
      <w:r>
        <w:t xml:space="preserve">Comparaison naïve de la clé d’API remplacée par crypto.timingSafeEqual (anti-timing attack).</w:t>
      </w:r>
    </w:p>
    <w:p>
      <w:pPr>
        <w:pStyle w:val="ListParagraph"/>
        <w:numPr>
          <w:ilvl w:val="0"/>
          <w:numId w:val="2"/>
        </w:numPr>
        <w:spacing w:after="80"/>
      </w:pPr>
      <w:r>
        <w:t xml:space="preserve">Ajout d’un handler explicite pour les 404 API afin d’éviter toute fuite de stack Express.</w:t>
      </w:r>
    </w:p>
    <w:p>
      <w:pPr>
        <w:pStyle w:val="ListParagraph"/>
        <w:numPr>
          <w:ilvl w:val="0"/>
          <w:numId w:val="2"/>
        </w:numPr>
        <w:spacing w:after="80"/>
      </w:pPr>
      <w:r>
        <w:t xml:space="preserve">Désactivation de l’en-tête X-Powered-By d’Express.</w:t>
      </w:r>
    </w:p>
    <w:p>
      <w:pPr>
        <w:pStyle w:val="ListParagraph"/>
        <w:numPr>
          <w:ilvl w:val="0"/>
          <w:numId w:val="2"/>
        </w:numPr>
        <w:spacing w:after="80"/>
      </w:pPr>
      <w:r>
        <w:t xml:space="preserve">Aucun usage de dangerouslySetInnerHTML côté React (XSS stocké/réfléchi).</w:t>
      </w:r>
    </w:p>
    <w:p>
      <w:r>
        <w:br w:type="page"/>
      </w:r>
    </w:p>
    <w:p>
      <w:pPr>
        <w:pStyle w:val="Heading1"/>
        <w:spacing w:before="360" w:after="180"/>
      </w:pPr>
      <w:r>
        <w:rPr>
          <w:b/>
          <w:bCs/>
        </w:rPr>
        <w:t xml:space="preserve">6. Liens du projet</w:t>
      </w:r>
    </w:p>
    <w:p>
      <w:pPr>
        <w:pStyle w:val="Heading2"/>
        <w:spacing w:before="240" w:after="120"/>
      </w:pPr>
      <w:r>
        <w:rPr>
          <w:b/>
          <w:bCs/>
        </w:rPr>
        <w:t xml:space="preserve">6.1 Dépôt GitHub</w:t>
      </w:r>
    </w:p>
    <w:p>
      <w:pPr>
        <w:spacing w:after="120"/>
      </w:pPr>
      <w:r>
        <w:t xml:space="preserve">Le dépôt est public et contient l’intégralité du code, les scripts SQL et le README.md : </w:t>
      </w:r>
      <w:hyperlink w:history="1" r:id="rIdbmn1p_kfae4588kuejvyj">
        <w:r>
          <w:rPr>
            <w:rStyle w:val="Hyperlink"/>
          </w:rPr>
          <w:t xml:space="preserve">https://github.com/Sylvain13bdr/trouve-ton-artisan</w:t>
        </w:r>
      </w:hyperlink>
    </w:p>
    <w:p>
      <w:pPr>
        <w:spacing w:after="120"/>
        <w:jc w:val="both"/>
      </w:pPr>
      <w:r>
        <w:t xml:space="preserve">Contenu du dépôt :</w:t>
      </w:r>
    </w:p>
    <w:p>
      <w:pPr>
        <w:pStyle w:val="ListParagraph"/>
        <w:numPr>
          <w:ilvl w:val="0"/>
          <w:numId w:val="2"/>
        </w:numPr>
        <w:spacing w:after="80"/>
      </w:pPr>
      <w:r>
        <w:t xml:space="preserve">backend/ — API Express + Sequelize.</w:t>
      </w:r>
    </w:p>
    <w:p>
      <w:pPr>
        <w:pStyle w:val="ListParagraph"/>
        <w:numPr>
          <w:ilvl w:val="0"/>
          <w:numId w:val="2"/>
        </w:numPr>
        <w:spacing w:after="80"/>
      </w:pPr>
      <w:r>
        <w:t xml:space="preserve">frontend/ — Application React + Bootstrap + Sass.</w:t>
      </w:r>
    </w:p>
    <w:p>
      <w:pPr>
        <w:pStyle w:val="ListParagraph"/>
        <w:numPr>
          <w:ilvl w:val="0"/>
          <w:numId w:val="2"/>
        </w:numPr>
        <w:spacing w:after="80"/>
      </w:pPr>
      <w:r>
        <w:t xml:space="preserve">database/01_schema.sql — Création de la base de données (version XAMPP locale).</w:t>
      </w:r>
    </w:p>
    <w:p>
      <w:pPr>
        <w:pStyle w:val="ListParagraph"/>
        <w:numPr>
          <w:ilvl w:val="0"/>
          <w:numId w:val="2"/>
        </w:numPr>
        <w:spacing w:after="80"/>
      </w:pPr>
      <w:r>
        <w:t xml:space="preserve">database/02_seed.sql — Alimentation (17 artisans).</w:t>
      </w:r>
    </w:p>
    <w:p>
      <w:pPr>
        <w:pStyle w:val="ListParagraph"/>
        <w:numPr>
          <w:ilvl w:val="0"/>
          <w:numId w:val="2"/>
        </w:numPr>
        <w:spacing w:after="80"/>
      </w:pPr>
      <w:r>
        <w:t xml:space="preserve">database/remote/ — Variantes des scripts SQL pour hébergement distant (AlwaysData).</w:t>
      </w:r>
    </w:p>
    <w:p>
      <w:pPr>
        <w:pStyle w:val="ListParagraph"/>
        <w:numPr>
          <w:ilvl w:val="0"/>
          <w:numId w:val="2"/>
        </w:numPr>
        <w:spacing w:after="80"/>
      </w:pPr>
      <w:r>
        <w:t xml:space="preserve">docs/ — Documentation technique (sécurité, veille, BDD, maquettes).</w:t>
      </w:r>
    </w:p>
    <w:p>
      <w:pPr>
        <w:pStyle w:val="ListParagraph"/>
        <w:numPr>
          <w:ilvl w:val="0"/>
          <w:numId w:val="2"/>
        </w:numPr>
        <w:spacing w:after="80"/>
      </w:pPr>
      <w:r>
        <w:t xml:space="preserve">README.md — Prérequis, installation, lancement.</w:t>
      </w:r>
    </w:p>
    <w:p>
      <w:pPr>
        <w:pStyle w:val="Heading2"/>
        <w:spacing w:before="240" w:after="120"/>
      </w:pPr>
      <w:r>
        <w:rPr>
          <w:b/>
          <w:bCs/>
        </w:rPr>
        <w:t xml:space="preserve">6.2 Site déployé</w:t>
      </w:r>
    </w:p>
    <w:p>
      <w:pPr>
        <w:spacing w:after="120"/>
      </w:pPr>
      <w:r>
        <w:t xml:space="preserve">Frontend (Vercel) : </w:t>
      </w:r>
      <w:hyperlink w:history="1" r:id="rIdoi1lbm2myv1uxcfgrsyxv">
        <w:r>
          <w:rPr>
            <w:rStyle w:val="Hyperlink"/>
          </w:rPr>
          <w:t xml:space="preserve">https://trouve-ton-artisan-rosy.vercel.app/</w:t>
        </w:r>
      </w:hyperlink>
    </w:p>
    <w:p>
      <w:pPr>
        <w:spacing w:after="120"/>
      </w:pPr>
      <w:r>
        <w:t xml:space="preserve">API (Render) : </w:t>
      </w:r>
      <w:hyperlink w:history="1" r:id="rIdkykmnc6_1m7vvj0agfmg-">
        <w:r>
          <w:rPr>
            <w:rStyle w:val="Hyperlink"/>
          </w:rPr>
          <w:t xml:space="preserve">https://trouve-ton-artisan-api-oqmj.onrender.com/api/health</w:t>
        </w:r>
      </w:hyperlink>
    </w:p>
    <w:p>
      <w:pPr>
        <w:spacing w:after="120"/>
        <w:jc w:val="both"/>
      </w:pPr>
      <w:r>
        <w:t xml:space="preserve">Base de données MySQL/MariaDB hébergée sur AlwaysData (hôte mysql-sylvain13bdr.alwaysdata.net), connexion SSL obligatoire.</w:t>
      </w:r>
    </w:p>
    <w:p>
      <w:pPr>
        <w:pStyle w:val="Heading2"/>
        <w:spacing w:before="240" w:after="120"/>
      </w:pPr>
      <w:r>
        <w:rPr>
          <w:b/>
          <w:bCs/>
        </w:rPr>
        <w:t xml:space="preserve">6.3 Maquettes Figma</w:t>
      </w:r>
    </w:p>
    <w:p>
      <w:pPr>
        <w:spacing w:after="120"/>
      </w:pPr>
      <w:r>
        <w:t xml:space="preserve">Fichier de maquettes (lecture publique) : </w:t>
      </w:r>
      <w:hyperlink w:history="1" r:id="rIdbf5doxe2x2cmv3th4lz-b">
        <w:r>
          <w:rPr>
            <w:rStyle w:val="Hyperlink"/>
          </w:rPr>
          <w:t xml:space="preserve">https://www.figma.com/design/vch2TgFsEjaY9O7gjnNakX/Trouve-ton-Artisan</w:t>
        </w:r>
      </w:hyperlink>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tabs>
        <w:tab w:val="right" w:pos="9026"/>
      </w:tabs>
    </w:pPr>
    <w:r>
      <w:rPr>
        <w:color w:val="384050"/>
      </w:rPr>
      <w:t xml:space="preserve">Sylvain Labeye — </w:t>
    </w:r>
    <w:r>
      <w:rPr>
        <w:color w:val="384050"/>
      </w:rPr>
      <w:t xml:space="preserve">19/07/2026</w:t>
    </w:r>
    <w:r>
      <w:rPr>
        <w:color w:val="384050"/>
      </w:rPr>
      <w:t xml:space="preserve">	Page </w:t>
    </w:r>
    <w:r>
      <w:rPr>
        <w:color w:val="384050"/>
      </w:rPr>
      <w:fldChar w:fldCharType="begin"/>
      <w:instrText xml:space="preserve">PAGE</w:instrText>
      <w:fldChar w:fldCharType="separate"/>
      <w:fldChar w:fldCharType="end"/>
    </w:r>
    <w:r>
      <w:rPr>
        <w:color w:val="384050"/>
      </w:rPr>
      <w:t xml:space="preserve"> / </w:t>
    </w:r>
    <w:r>
      <w:rPr>
        <w:color w:val="38405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4C7" w:sz="6" w:space="4"/>
      </w:pBdr>
      <w:tabs>
        <w:tab w:val="right" w:pos="9026"/>
      </w:tabs>
    </w:pPr>
    <w:r>
      <w:rPr>
        <w:b/>
        <w:bCs/>
        <w:color w:val="384050"/>
      </w:rPr>
      <w:t xml:space="preserve">Trouve ton artisan — Dossier de rendu</w:t>
    </w:r>
    <w:r>
      <w:rPr>
        <w:color w:val="0074C7"/>
      </w:rPr>
      <w:t xml:space="preserve">	CEF — Devoir bilan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b/>
      <w:bCs/>
      <w:color w:val="0074C7"/>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384050"/>
      <w:sz w:val="28"/>
      <w:szCs w:val="28"/>
      <w:rFonts w:ascii="Arial" w:cs="Arial" w:eastAsia="Arial" w:hAnsi="Arial"/>
    </w:rPr>
  </w:style>
  <w:style w:type="paragraph" w:styleId="Heading3">
    <w:name w:val="Heading 3"/>
    <w:basedOn w:val="Normal"/>
    <w:next w:val="Normal"/>
    <w:qFormat/>
    <w:pPr>
      <w:spacing w:before="220" w:after="100"/>
      <w:outlineLvl w:val="2"/>
    </w:pPr>
    <w:rPr>
      <w:b/>
      <w:bCs/>
      <w:color w:val="38405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bfxk7upnhrxsbbfrdc6rk" Type="http://schemas.openxmlformats.org/officeDocument/2006/relationships/hyperlink" Target="https://www.figma.com/design/vch2TgFsEjaY9O7gjnNakX/Trouve-ton-Artisan" TargetMode="External"/><Relationship Id="rIdbmn1p_kfae4588kuejvyj" Type="http://schemas.openxmlformats.org/officeDocument/2006/relationships/hyperlink" Target="https://github.com/Sylvain13bdr/trouve-ton-artisan" TargetMode="External"/><Relationship Id="rIdoi1lbm2myv1uxcfgrsyxv" Type="http://schemas.openxmlformats.org/officeDocument/2006/relationships/hyperlink" Target="https://trouve-ton-artisan-rosy.vercel.app/" TargetMode="External"/><Relationship Id="rIdkykmnc6_1m7vvj0agfmg-" Type="http://schemas.openxmlformats.org/officeDocument/2006/relationships/hyperlink" Target="https://trouve-ton-artisan-api-oqmj.onrender.com/api/health" TargetMode="External"/><Relationship Id="rIdbf5doxe2x2cmv3th4lz-b" Type="http://schemas.openxmlformats.org/officeDocument/2006/relationships/hyperlink" Target="https://www.figma.com/design/vch2TgFsEjaY9O7gjnNakX/Trouve-ton-Artisan" TargetMode="External"/><Relationship Id="rId8" Type="http://schemas.openxmlformats.org/officeDocument/2006/relationships/image" Target="media/ec-sfrwh0awmcydk-jxy0.png"/><Relationship Id="rId9" Type="http://schemas.openxmlformats.org/officeDocument/2006/relationships/image" Target="media/s9u8np3ko4fmf24w1-p1u.png"/><Relationship Id="rId10" Type="http://schemas.openxmlformats.org/officeDocument/2006/relationships/image" Target="media/e2yhj84xvpkvlfehc_yng.png"/><Relationship Id="rId11" Type="http://schemas.openxmlformats.org/officeDocument/2006/relationships/image" Target="media/ymh107r9t_u86m0eoei_t.png"/><Relationship Id="rId12" Type="http://schemas.openxmlformats.org/officeDocument/2006/relationships/image" Target="media/t7tur06zg0aq3mhowtord.png"/><Relationship Id="rId13" Type="http://schemas.openxmlformats.org/officeDocument/2006/relationships/image" Target="media/3ghap1ve9gm7sqvprmdzh.png"/><Relationship Id="rId14" Type="http://schemas.openxmlformats.org/officeDocument/2006/relationships/image" Target="media/aui1fta6d6ws9doepnzo7.png"/><Relationship Id="rId15" Type="http://schemas.openxmlformats.org/officeDocument/2006/relationships/image" Target="media/pcg-xl5gfq0r4ykmyd19w.png"/><Relationship Id="rId16" Type="http://schemas.openxmlformats.org/officeDocument/2006/relationships/image" Target="media/i-6mwrxlpqat-wo3axilh.png"/><Relationship Id="rId17" Type="http://schemas.openxmlformats.org/officeDocument/2006/relationships/image" Target="media/b4heloflc2qdtzxxdkuak.png"/><Relationship Id="rId18" Type="http://schemas.openxmlformats.org/officeDocument/2006/relationships/image" Target="media/4wf_vdhcg1g9gt213zo_1.png"/><Relationship Id="rId19" Type="http://schemas.openxmlformats.org/officeDocument/2006/relationships/image" Target="media/4m6ple04zareqn6wyxgbd.png"/><Relationship Id="rId20" Type="http://schemas.openxmlformats.org/officeDocument/2006/relationships/image" Target="media/e6lpume5ylho02chzj3ks.png"/><Relationship Id="rId21" Type="http://schemas.openxmlformats.org/officeDocument/2006/relationships/image" Target="media/4oa7bkhhdzfiauaiyztfv.png"/><Relationship Id="rId22" Type="http://schemas.openxmlformats.org/officeDocument/2006/relationships/image" Target="media/uru7kiqqzbjgq_y4_57j8.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Un-named</cp:lastModifiedBy>
  <cp:revision>1</cp:revision>
  <dcterms:created xsi:type="dcterms:W3CDTF">2026-07-19T19:50:29.470Z</dcterms:created>
  <dcterms:modified xsi:type="dcterms:W3CDTF">2026-07-19T19:50:29.470Z</dcterms:modified>
</cp:coreProperties>
</file>

<file path=docProps/custom.xml><?xml version="1.0" encoding="utf-8"?>
<Properties xmlns="http://schemas.openxmlformats.org/officeDocument/2006/custom-properties" xmlns:vt="http://schemas.openxmlformats.org/officeDocument/2006/docPropsVTypes"/>
</file>