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480"/>
        <w:jc w:val="center"/>
      </w:pPr>
      <w:r>
        <w:rPr>
          <w:b/>
          <w:bCs/>
          <w:color w:val="0074C7"/>
          <w:sz w:val="28"/>
          <w:szCs w:val="28"/>
        </w:rPr>
        <w:t xml:space="preserve">Centre Européen de Formation</w:t>
      </w:r>
    </w:p>
    <w:p>
      <w:pPr>
        <w:spacing w:after="120"/>
        <w:jc w:val="center"/>
      </w:pPr>
      <w:r>
        <w:rPr>
          <w:color w:val="384050"/>
          <w:sz w:val="24"/>
          <w:szCs w:val="24"/>
        </w:rPr>
        <w:t xml:space="preserve">Titre professionnel Développeur Web et Web Mobile (DWWM)</w:t>
      </w:r>
    </w:p>
    <w:p>
      <w:pPr>
        <w:spacing w:after="1200"/>
        <w:jc w:val="center"/>
      </w:pPr>
      <w:r>
        <w:rPr>
          <w:i/>
          <w:iCs/>
          <w:sz w:val="22"/>
          <w:szCs w:val="22"/>
        </w:rPr>
        <w:t xml:space="preserve">Dossier de projet — Préparation à l'examen du titre professionnel</w:t>
      </w:r>
    </w:p>
    <w:p>
      <w:pPr>
        <w:spacing w:after="240"/>
        <w:jc w:val="center"/>
      </w:pPr>
      <w:r>
        <w:rPr>
          <w:b/>
          <w:bCs/>
          <w:color w:val="384050"/>
          <w:sz w:val="64"/>
          <w:szCs w:val="64"/>
        </w:rPr>
        <w:t xml:space="preserve">Trouve ton artisan</w:t>
      </w:r>
    </w:p>
    <w:p>
      <w:pPr>
        <w:spacing w:after="1800"/>
        <w:jc w:val="center"/>
      </w:pPr>
      <w:r>
        <w:rPr>
          <w:color w:val="0074C7"/>
          <w:sz w:val="28"/>
          <w:szCs w:val="28"/>
        </w:rPr>
        <w:t xml:space="preserve">Plateforme web pour la région Auvergne-Rhône-Alpes</w:t>
      </w:r>
    </w:p>
    <w:p>
      <w:pPr>
        <w:spacing w:after="60"/>
        <w:jc w:val="center"/>
      </w:pPr>
      <w:r>
        <w:rPr>
          <w:b/>
          <w:bCs/>
        </w:rPr>
        <w:t xml:space="preserve">Auteur : </w:t>
      </w:r>
      <w:r>
        <w:t xml:space="preserve">Sylvain Labeye</w:t>
      </w:r>
    </w:p>
    <w:p>
      <w:pPr>
        <w:spacing w:after="60"/>
        <w:jc w:val="center"/>
      </w:pPr>
      <w:r>
        <w:rPr>
          <w:b/>
          <w:bCs/>
        </w:rPr>
        <w:t xml:space="preserve">Date de rendu : </w:t>
      </w:r>
      <w:r>
        <w:t xml:space="preserve">17/06/2026</w:t>
      </w:r>
    </w:p>
    <w:p>
      <w:pPr>
        <w:spacing w:after="60"/>
        <w:jc w:val="center"/>
      </w:pPr>
      <w:r>
        <w:rPr>
          <w:b/>
          <w:bCs/>
        </w:rPr>
        <w:t xml:space="preserve">Identifiant CEF : </w:t>
      </w:r>
      <w:r>
        <w:t xml:space="preserve">F516414B</w:t>
      </w:r>
    </w:p>
    <w:p>
      <w:r>
        <w:br w:type="page"/>
      </w:r>
    </w:p>
    <w:p>
      <w:pPr>
        <w:pStyle w:val="Heading1"/>
        <w:spacing w:before="360" w:after="180"/>
      </w:pPr>
      <w:r>
        <w:rPr>
          <w:b/>
          <w:bCs/>
        </w:rPr>
        <w:t xml:space="preserve">Sommaire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180"/>
      </w:pPr>
      <w:r>
        <w:rPr>
          <w:b/>
          <w:bCs/>
        </w:rPr>
        <w:t xml:space="preserve">Introduction — Compétences du référentiel couvertes</w:t>
      </w:r>
    </w:p>
    <w:p>
      <w:pPr>
        <w:spacing w:after="120"/>
        <w:jc w:val="both"/>
      </w:pPr>
      <w:r>
        <w:t xml:space="preserve">Ce dossier présente « Trouve ton artisan », une application web full-stack réalisée dans le cadre de la préparation au titre professionnel Développeur Web et Web Mobile (DWWM). Le projet met en œuvre les compétences obligatoires des deux activités-types du référentiel, côté front-end comme back-end, avec un soin particulier porté à la sécurité, à l'accessibilité et à la couverture des données à la fois relationnelles (MySQL/MariaDB) et NoSQL (MongoDB).</w:t>
      </w:r>
    </w:p>
    <w:p>
      <w:pPr>
        <w:pStyle w:val="Heading2"/>
        <w:spacing w:before="240" w:after="120"/>
      </w:pPr>
      <w:r>
        <w:rPr>
          <w:b/>
          <w:bCs/>
        </w:rPr>
        <w:t xml:space="preserve">Activité-type 1 — Développer la partie front-end d'une application web ou web mobile sécurisée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Compétence</w:t>
            </w:r>
          </w:p>
        </w:tc>
        <w:tc>
          <w:tcPr>
            <w:tcW w:type="dxa" w:w="61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Mise en œuvre dans le projet</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Maquetter des interfaces utilisateur web ou web mobile</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Maquettes Figma en mobile-first pour les trois résolutions (mobile 375 px, tablette 768 px, ordinateur 1280 px), charte graphique respectée, schéma d'enchaînement des écrans.</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Réaliser des interfaces utilisateur statiques web ou web mobile</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Composants React structurés, Bootstrap 5 et Sass, HTML sémantique, mise en page responsive, accessibilité WCAG 2.1 (lien d'évitement, attributs ARIA, focus visible).</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Développer la partie dynamique des interfaces utilisateur web ou web mobile</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React (hooks d'état et d'effet), consommation de l'API REST via un client fetch centralisé, formulaires dynamiques (contact et avis) avec validation côté client.</w:t>
            </w:r>
          </w:p>
        </w:tc>
      </w:tr>
    </w:tbl>
    <w:p>
      <w:pPr>
        <w:pStyle w:val="Heading2"/>
        <w:spacing w:before="240" w:after="120"/>
      </w:pPr>
      <w:r>
        <w:rPr>
          <w:b/>
          <w:bCs/>
        </w:rPr>
        <w:t xml:space="preserve">Activité-type 2 — Développer la partie back-end d'une application web ou web mobile sécurisée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Compétence</w:t>
            </w:r>
          </w:p>
        </w:tc>
        <w:tc>
          <w:tcPr>
            <w:tcW w:type="dxa" w:w="61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Mise en œuvre dans le projet</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Mettre en place une base de données relationnelle</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MySQL/MariaDB : MCD, MLD et modèle physique, respect des trois formes normales, contraintes (clés étrangères, CHECK, UNIQUE), vue de lecture, scripts de création et d'alimentation.</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Développer des composants d'accès aux données SQL et NoSQL</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Couche services dédiée : accès SQL via Sequelize (artisans, catégories, villes) ET accès NoSQL via Mongoose (avis clients stockés dans MongoDB).</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Développer des composants métier côté serveur</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Architecture en couches (routes → contrôleurs → services → modèles), logique métier isolée dans les services, validation, sécurité et gestion centralisée des erreurs.</w:t>
            </w:r>
          </w:p>
        </w:tc>
      </w:tr>
    </w:tbl>
    <w:p>
      <w:pPr>
        <w:spacing w:after="120"/>
        <w:jc w:val="both"/>
      </w:pPr>
      <w:r>
        <w:rPr>
          <w:i/>
          <w:iCs/>
        </w:rPr>
        <w:t xml:space="preserve">Les deux compétences non obligatoires dans le dossier — installer et configurer son environnement de travail, et documenter le déploiement — sont également mises en œuvre (environnement Node.js / VS Code / Git, déploiement Vercel + Render + base de données hébergée) et pourront être détaillées lors de l'entretien technique.</w:t>
      </w:r>
    </w:p>
    <w:p>
      <w:r>
        <w:br w:type="page"/>
      </w:r>
    </w:p>
    <w:p>
      <w:pPr>
        <w:pStyle w:val="Heading1"/>
        <w:spacing w:before="360" w:after="180"/>
      </w:pPr>
      <w:r>
        <w:rPr>
          <w:b/>
          <w:bCs/>
        </w:rPr>
        <w:t xml:space="preserve">1. Contexte du projet</w:t>
      </w:r>
    </w:p>
    <w:p>
      <w:pPr>
        <w:pStyle w:val="Heading2"/>
        <w:spacing w:before="240" w:after="120"/>
      </w:pPr>
      <w:r>
        <w:rPr>
          <w:b/>
          <w:bCs/>
        </w:rPr>
        <w:t xml:space="preserve">1.1 Présentation de l'entreprise</w:t>
      </w:r>
    </w:p>
    <w:p>
      <w:pPr>
        <w:spacing w:after="120"/>
        <w:jc w:val="both"/>
      </w:pPr>
      <w:r>
        <w:t xml:space="preserve">La région Auvergne-Rhône-Alpes couvre 12 départements du quart sud-est de la France. Elle dispose de bureaux à Lyon et à Clermont-Ferrand. Près d’un tiers des entreprises de la région sont des entreprises artisanales : 221 000 entreprises en 2021, ce qui en fait l’une des régions les plus artisanales de France.</w:t>
      </w:r>
    </w:p>
    <w:p>
      <w:pPr>
        <w:spacing w:after="120"/>
        <w:jc w:val="both"/>
      </w:pPr>
      <w:r>
        <w:t xml:space="preserve">Pour entretenir cet engouement, la région souhaite créer une plateforme web mettant directement en relation les particuliers et les artisans locaux. L’interlocuteur du projet se trouve dans les bureaux de Lyon.</w:t>
      </w:r>
    </w:p>
    <w:p>
      <w:pPr>
        <w:pStyle w:val="Heading2"/>
        <w:spacing w:before="240" w:after="120"/>
      </w:pPr>
      <w:r>
        <w:rPr>
          <w:b/>
          <w:bCs/>
        </w:rPr>
        <w:t xml:space="preserve">1.2 Expression des besoins</w:t>
      </w:r>
    </w:p>
    <w:p>
      <w:pPr>
        <w:spacing w:after="120"/>
        <w:jc w:val="both"/>
      </w:pPr>
      <w:r>
        <w:t xml:space="preserve">La plateforme doit permettre :</w:t>
      </w:r>
    </w:p>
    <w:p>
      <w:pPr>
        <w:pStyle w:val="ListParagraph"/>
        <w:numPr>
          <w:ilvl w:val="0"/>
          <w:numId w:val="2"/>
        </w:numPr>
        <w:spacing w:after="80"/>
      </w:pPr>
      <w:r>
        <w:t xml:space="preserve">À un particulier de trouver un artisan par catégorie ou par nom.</w:t>
      </w:r>
    </w:p>
    <w:p>
      <w:pPr>
        <w:pStyle w:val="ListParagraph"/>
        <w:numPr>
          <w:ilvl w:val="0"/>
          <w:numId w:val="2"/>
        </w:numPr>
        <w:spacing w:after="80"/>
      </w:pPr>
      <w:r>
        <w:t xml:space="preserve">De consulter la fiche détaillée d’un artisan (note, spécialité, localisation, à propos, site web).</w:t>
      </w:r>
    </w:p>
    <w:p>
      <w:pPr>
        <w:pStyle w:val="ListParagraph"/>
        <w:numPr>
          <w:ilvl w:val="0"/>
          <w:numId w:val="2"/>
        </w:numPr>
        <w:spacing w:after="80"/>
      </w:pPr>
      <w:r>
        <w:t xml:space="preserve">De contacter directement un artisan via un formulaire de contact (réponse sous 48 h).</w:t>
      </w:r>
    </w:p>
    <w:p>
      <w:pPr>
        <w:pStyle w:val="ListParagraph"/>
        <w:numPr>
          <w:ilvl w:val="0"/>
          <w:numId w:val="2"/>
        </w:numPr>
        <w:spacing w:after="80"/>
      </w:pPr>
      <w:r>
        <w:t xml:space="preserve">De mettre en avant trois « artisans du mois » sur la page d’accueil.</w:t>
      </w:r>
    </w:p>
    <w:p>
      <w:pPr>
        <w:pStyle w:val="Heading2"/>
        <w:spacing w:before="240" w:after="120"/>
      </w:pPr>
      <w:r>
        <w:rPr>
          <w:b/>
          <w:bCs/>
        </w:rPr>
        <w:t xml:space="preserve">1.3 Contraintes</w:t>
      </w:r>
    </w:p>
    <w:p>
      <w:pPr>
        <w:pStyle w:val="ListParagraph"/>
        <w:numPr>
          <w:ilvl w:val="0"/>
          <w:numId w:val="2"/>
        </w:numPr>
        <w:spacing w:after="80"/>
      </w:pPr>
      <w:r>
        <w:t xml:space="preserve">Site accessible à tous (jeunes, personnes âgées, personnes en situation de handicap) : norme WCAG 2.1.</w:t>
      </w:r>
    </w:p>
    <w:p>
      <w:pPr>
        <w:pStyle w:val="ListParagraph"/>
        <w:numPr>
          <w:ilvl w:val="0"/>
          <w:numId w:val="2"/>
        </w:numPr>
        <w:spacing w:after="80"/>
      </w:pPr>
      <w:r>
        <w:t xml:space="preserve">Conception mobile-first, fonctionnement optimal sur mobile, tablette et ordinateur.</w:t>
      </w:r>
    </w:p>
    <w:p>
      <w:pPr>
        <w:pStyle w:val="ListParagraph"/>
        <w:numPr>
          <w:ilvl w:val="0"/>
          <w:numId w:val="2"/>
        </w:numPr>
        <w:spacing w:after="80"/>
      </w:pPr>
      <w:r>
        <w:t xml:space="preserve">Sécurité renforcée (collectivité publique).</w:t>
      </w:r>
    </w:p>
    <w:p>
      <w:pPr>
        <w:pStyle w:val="ListParagraph"/>
        <w:numPr>
          <w:ilvl w:val="0"/>
          <w:numId w:val="2"/>
        </w:numPr>
        <w:spacing w:after="80"/>
      </w:pPr>
      <w:r>
        <w:t xml:space="preserve">Cohérence visuelle avec le site de la région Auvergne-Rhône-Alpes.</w:t>
      </w:r>
    </w:p>
    <w:p>
      <w:pPr>
        <w:pStyle w:val="ListParagraph"/>
        <w:numPr>
          <w:ilvl w:val="0"/>
          <w:numId w:val="2"/>
        </w:numPr>
        <w:spacing w:after="80"/>
      </w:pPr>
      <w:r>
        <w:t xml:space="preserve">Stack : React + Bootstrap + Sass (front) ; Node.js + Express + Sequelize avec MySQL/MariaDB, et MongoDB/Mongoose pour les avis (back).</w:t>
      </w:r>
    </w:p>
    <w:p>
      <w:pPr>
        <w:pStyle w:val="ListParagraph"/>
        <w:numPr>
          <w:ilvl w:val="0"/>
          <w:numId w:val="2"/>
        </w:numPr>
        <w:spacing w:after="80"/>
      </w:pPr>
      <w:r>
        <w:t xml:space="preserve">Versioning sur GitHub, dépôt public.</w:t>
      </w:r>
    </w:p>
    <w:p>
      <w:pPr>
        <w:pStyle w:val="ListParagraph"/>
        <w:numPr>
          <w:ilvl w:val="0"/>
          <w:numId w:val="2"/>
        </w:numPr>
        <w:spacing w:after="80"/>
      </w:pPr>
      <w:r>
        <w:t xml:space="preserve">Accès à l’API restreint à l’application.</w:t>
      </w:r>
    </w:p>
    <w:p>
      <w:pPr>
        <w:pStyle w:val="Heading2"/>
        <w:spacing w:before="240" w:after="120"/>
      </w:pPr>
      <w:r>
        <w:rPr>
          <w:b/>
          <w:bCs/>
        </w:rPr>
        <w:t xml:space="preserve">1.4 Livrables attendus</w:t>
      </w:r>
    </w:p>
    <w:p>
      <w:pPr>
        <w:pStyle w:val="ListParagraph"/>
        <w:numPr>
          <w:ilvl w:val="0"/>
          <w:numId w:val="2"/>
        </w:numPr>
        <w:spacing w:after="80"/>
      </w:pPr>
      <w:r>
        <w:t xml:space="preserve">Dossier PDF (ce document) : contexte, maquettes, BDD, sécurité, veille, liens.</w:t>
      </w:r>
    </w:p>
    <w:p>
      <w:pPr>
        <w:pStyle w:val="ListParagraph"/>
        <w:numPr>
          <w:ilvl w:val="0"/>
          <w:numId w:val="2"/>
        </w:numPr>
        <w:spacing w:after="80"/>
      </w:pPr>
      <w:r>
        <w:t xml:space="preserve">Maquettes Figma pour mobile, tablette et ordinateur.</w:t>
      </w:r>
    </w:p>
    <w:p>
      <w:pPr>
        <w:pStyle w:val="ListParagraph"/>
        <w:numPr>
          <w:ilvl w:val="0"/>
          <w:numId w:val="2"/>
        </w:numPr>
        <w:spacing w:after="80"/>
      </w:pPr>
      <w:r>
        <w:t xml:space="preserve">Lien vers le dépôt GitHub public contenant code + scripts SQL.</w:t>
      </w:r>
    </w:p>
    <w:p>
      <w:pPr>
        <w:pStyle w:val="ListParagraph"/>
        <w:numPr>
          <w:ilvl w:val="0"/>
          <w:numId w:val="2"/>
        </w:numPr>
        <w:spacing w:after="80"/>
      </w:pPr>
      <w:r>
        <w:t xml:space="preserve">Lien vers le site déployé en ligne.</w:t>
      </w:r>
    </w:p>
    <w:p>
      <w:pPr>
        <w:pStyle w:val="ListParagraph"/>
        <w:numPr>
          <w:ilvl w:val="0"/>
          <w:numId w:val="2"/>
        </w:numPr>
        <w:spacing w:after="80"/>
      </w:pPr>
      <w:r>
        <w:t xml:space="preserve">Fichier README.md à la racine du dépôt.</w:t>
      </w:r>
    </w:p>
    <w:p>
      <w:r>
        <w:br w:type="page"/>
      </w:r>
    </w:p>
    <w:p>
      <w:pPr>
        <w:pStyle w:val="Heading1"/>
        <w:spacing w:before="360" w:after="180"/>
      </w:pPr>
      <w:r>
        <w:rPr>
          <w:b/>
          <w:bCs/>
        </w:rPr>
        <w:t xml:space="preserve">2. Réalisations front-end</w:t>
      </w:r>
    </w:p>
    <w:p>
      <w:pPr>
        <w:spacing w:after="120"/>
        <w:jc w:val="both"/>
      </w:pPr>
      <w:r>
        <w:t xml:space="preserve">Les maquettes ont été réalisées sous Figma, en mobile-first, pour les trois résolutions demandées : mobile (375 px), tablette (768 px) et ordinateur (1280 px). La palette de couleurs et la typographie respectent strictement la charte fournie dans le brief.</w:t>
      </w:r>
    </w:p>
    <w:p>
      <w:pPr>
        <w:pStyle w:val="Heading2"/>
        <w:spacing w:before="240" w:after="120"/>
      </w:pPr>
      <w:r>
        <w:rPr>
          <w:b/>
          <w:bCs/>
        </w:rPr>
        <w:t xml:space="preserve">2.1 Charte graphique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400"/>
        <w:gridCol w:w="2560"/>
      </w:tblGrid>
      <w:tr>
        <w:trPr>
          <w:tblHeader/>
        </w:trPr>
        <w:tc>
          <w:tcPr>
            <w:tcW w:type="dxa" w:w="2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Rôle</w:t>
            </w:r>
          </w:p>
        </w:tc>
        <w:tc>
          <w:tcPr>
            <w:tcW w:type="dxa" w:w="2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Couleur</w:t>
            </w:r>
          </w:p>
        </w:tc>
        <w:tc>
          <w:tcPr>
            <w:tcW w:type="dxa" w:w="24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Hex</w:t>
            </w:r>
          </w:p>
        </w:tc>
        <w:tc>
          <w:tcPr>
            <w:tcW w:type="dxa" w:w="25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Usage principal</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Fond clair</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#f1f8fc</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#f1f8fc</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Sections secondaires, hovers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Bleu primaire</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#0074c7</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#0074c7</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Boutons, liens, accents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Bleu foncé</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#00497c</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#00497c</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Hovers et accents forts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Gris bleuté</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#384050</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#384050</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Texte principal, footer</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Rouge</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#cd2c2e</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#cd2c2e</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Erreurs, alertes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Vert</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#82b864</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#82b864</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Succès, validations</w:t>
            </w:r>
          </w:p>
        </w:tc>
      </w:tr>
    </w:tbl>
    <w:p>
      <w:pPr>
        <w:spacing w:after="120"/>
        <w:jc w:val="both"/>
      </w:pPr>
      <w:r>
        <w:rPr>
          <w:i/>
          <w:iCs/>
        </w:rPr>
        <w:t xml:space="preserve">Police : Graphik (fallback Helvetica Neue / Arial).</w:t>
      </w:r>
    </w:p>
    <w:p>
      <w:pPr>
        <w:spacing w:after="120"/>
        <w:jc w:val="both"/>
      </w:pPr>
      <w:r>
        <w:t xml:space="preserve">Graphik étant une police payante, Inter a servi de substitut pour les maquettes Figma. Côté site, la police Graphik n'est utilisée que si elle est déjà installée sur le poste ; sinon le rendu s'appuie sur des polices système, sans téléchargement de fichier de police distant.</w:t>
      </w:r>
    </w:p>
    <w:p>
      <w:pPr>
        <w:pStyle w:val="Heading2"/>
        <w:spacing w:before="240" w:after="120"/>
      </w:pPr>
      <w:r>
        <w:rPr>
          <w:b/>
          <w:bCs/>
        </w:rPr>
        <w:t xml:space="preserve">2.2 Lien Figma</w:t>
      </w:r>
    </w:p>
    <w:p>
      <w:pPr>
        <w:spacing w:after="120"/>
      </w:pPr>
      <w:r>
        <w:t xml:space="preserve">Maquettes complètes (consultation publique) : </w:t>
      </w:r>
      <w:hyperlink w:history="1" r:id="rIdlijnnaehexqs06fvngtzq">
        <w:r>
          <w:rPr>
            <w:rStyle w:val="Hyperlink"/>
          </w:rPr>
          <w:t xml:space="preserve">Ouvrir le fichier Figma</w:t>
        </w:r>
      </w:hyperlink>
    </w:p>
    <w:p>
      <w:pPr>
        <w:pStyle w:val="Heading2"/>
        <w:spacing w:before="240" w:after="120"/>
      </w:pPr>
      <w:r>
        <w:rPr>
          <w:b/>
          <w:bCs/>
        </w:rPr>
        <w:t xml:space="preserve">2.3 Captures d’écran</w:t>
      </w:r>
    </w:p>
    <w:p>
      <w:pPr>
        <w:pStyle w:val="Heading3"/>
        <w:spacing w:before="200" w:after="100"/>
      </w:pPr>
      <w:r>
        <w:rPr>
          <w:b/>
          <w:bCs/>
        </w:rPr>
        <w:t xml:space="preserve">2.3.1 Charte graphique</w:t>
      </w:r>
    </w:p>
    <w:p>
      <w:pPr>
        <w:spacing w:before="100" w:after="60"/>
        <w:jc w:val="center"/>
      </w:pPr>
      <w:r>
        <w:drawing>
          <wp:inline distT="0" distB="0" distL="0" distR="0">
            <wp:extent cx="5143500" cy="3619500"/>
            <wp:effectExtent t="0" r="0" b="0" l="0"/>
            <wp:docPr id="1" name="charte-graphique.png" descr="Charte graphique — logo, favicon, palette, typographie" title="Charte graphique — logo, favicon, palette, typograph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619500"/>
                    </a:xfrm>
                    <a:prstGeom prst="rect">
                      <a:avLst/>
                    </a:prstGeom>
                  </pic:spPr>
                </pic:pic>
              </a:graphicData>
            </a:graphic>
          </wp:inline>
        </w:drawing>
      </w:r>
    </w:p>
    <w:p>
      <w:pPr>
        <w:spacing w:after="180"/>
        <w:jc w:val="center"/>
      </w:pPr>
      <w:r>
        <w:rPr>
          <w:i/>
          <w:iCs/>
          <w:color w:val="384050"/>
          <w:sz w:val="18"/>
          <w:szCs w:val="18"/>
        </w:rPr>
        <w:t xml:space="preserve">Charte graphique — logo, favicon, palette, typographie</w:t>
      </w:r>
    </w:p>
    <w:p>
      <w:pPr>
        <w:pStyle w:val="Heading3"/>
        <w:spacing w:before="200" w:after="100"/>
      </w:pPr>
      <w:r>
        <w:rPr>
          <w:b/>
          <w:bCs/>
        </w:rPr>
        <w:t xml:space="preserve">2.3.2 Accueil</w:t>
      </w:r>
    </w:p>
    <w:p>
      <w:pPr>
        <w:spacing w:before="100" w:after="60"/>
        <w:jc w:val="center"/>
      </w:pPr>
      <w:r>
        <w:drawing>
          <wp:inline distT="0" distB="0" distL="0" distR="0">
            <wp:extent cx="1095375" cy="5715000"/>
            <wp:effectExtent t="0" r="0" b="0" l="0"/>
            <wp:docPr id="1" name="accueil-mobile.png" descr="Accueil — Mobile (375 px)" title="Accueil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5375" cy="5715000"/>
                    </a:xfrm>
                    <a:prstGeom prst="rect">
                      <a:avLst/>
                    </a:prstGeom>
                  </pic:spPr>
                </pic:pic>
              </a:graphicData>
            </a:graphic>
          </wp:inline>
        </w:drawing>
      </w:r>
    </w:p>
    <w:p>
      <w:pPr>
        <w:spacing w:after="180"/>
        <w:jc w:val="center"/>
      </w:pPr>
      <w:r>
        <w:rPr>
          <w:i/>
          <w:iCs/>
          <w:color w:val="384050"/>
          <w:sz w:val="18"/>
          <w:szCs w:val="18"/>
        </w:rPr>
        <w:t xml:space="preserve">Accueil — Mobile (375 px)</w:t>
      </w:r>
    </w:p>
    <w:p>
      <w:pPr>
        <w:spacing w:before="100" w:after="60"/>
        <w:jc w:val="center"/>
      </w:pPr>
      <w:r>
        <w:drawing>
          <wp:inline distT="0" distB="0" distL="0" distR="0">
            <wp:extent cx="2533650" cy="5715000"/>
            <wp:effectExtent t="0" r="0" b="0" l="0"/>
            <wp:docPr id="1" name="accueil-tablette.png" descr="Accueil — Tablette (768 px)" title="Accueil — Tablette (768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533650" cy="5715000"/>
                    </a:xfrm>
                    <a:prstGeom prst="rect">
                      <a:avLst/>
                    </a:prstGeom>
                  </pic:spPr>
                </pic:pic>
              </a:graphicData>
            </a:graphic>
          </wp:inline>
        </w:drawing>
      </w:r>
    </w:p>
    <w:p>
      <w:pPr>
        <w:spacing w:after="180"/>
        <w:jc w:val="center"/>
      </w:pPr>
      <w:r>
        <w:rPr>
          <w:i/>
          <w:iCs/>
          <w:color w:val="384050"/>
          <w:sz w:val="18"/>
          <w:szCs w:val="18"/>
        </w:rPr>
        <w:t xml:space="preserve">Accueil — Tablette (768 px)</w:t>
      </w:r>
    </w:p>
    <w:p>
      <w:pPr>
        <w:spacing w:before="100" w:after="60"/>
        <w:jc w:val="center"/>
      </w:pPr>
      <w:r>
        <w:drawing>
          <wp:inline distT="0" distB="0" distL="0" distR="0">
            <wp:extent cx="5143500" cy="5629275"/>
            <wp:effectExtent t="0" r="0" b="0" l="0"/>
            <wp:docPr id="1" name="accueil-desktop.png" descr="Accueil — Desktop (1280 px)" title="Accueil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5629275"/>
                    </a:xfrm>
                    <a:prstGeom prst="rect">
                      <a:avLst/>
                    </a:prstGeom>
                  </pic:spPr>
                </pic:pic>
              </a:graphicData>
            </a:graphic>
          </wp:inline>
        </w:drawing>
      </w:r>
    </w:p>
    <w:p>
      <w:pPr>
        <w:spacing w:after="180"/>
        <w:jc w:val="center"/>
      </w:pPr>
      <w:r>
        <w:rPr>
          <w:i/>
          <w:iCs/>
          <w:color w:val="384050"/>
          <w:sz w:val="18"/>
          <w:szCs w:val="18"/>
        </w:rPr>
        <w:t xml:space="preserve">Accueil — Desktop (1280 px)</w:t>
      </w:r>
    </w:p>
    <w:p>
      <w:pPr>
        <w:pStyle w:val="Heading3"/>
        <w:spacing w:before="200" w:after="100"/>
      </w:pPr>
      <w:r>
        <w:rPr>
          <w:b/>
          <w:bCs/>
        </w:rPr>
        <w:t xml:space="preserve">2.3.3 Liste des artisans</w:t>
      </w:r>
    </w:p>
    <w:p>
      <w:pPr>
        <w:spacing w:before="100" w:after="60"/>
        <w:jc w:val="center"/>
      </w:pPr>
      <w:r>
        <w:drawing>
          <wp:inline distT="0" distB="0" distL="0" distR="0">
            <wp:extent cx="1276350" cy="5715000"/>
            <wp:effectExtent t="0" r="0" b="0" l="0"/>
            <wp:docPr id="1" name="liste-mobile.png" descr="Liste — catégorie Bâtiment — Mobile (375 px)" title="Liste — catégorie Bâtiment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76350" cy="5715000"/>
                    </a:xfrm>
                    <a:prstGeom prst="rect">
                      <a:avLst/>
                    </a:prstGeom>
                  </pic:spPr>
                </pic:pic>
              </a:graphicData>
            </a:graphic>
          </wp:inline>
        </w:drawing>
      </w:r>
    </w:p>
    <w:p>
      <w:pPr>
        <w:spacing w:after="180"/>
        <w:jc w:val="center"/>
      </w:pPr>
      <w:r>
        <w:rPr>
          <w:i/>
          <w:iCs/>
          <w:color w:val="384050"/>
          <w:sz w:val="18"/>
          <w:szCs w:val="18"/>
        </w:rPr>
        <w:t xml:space="preserve">Liste — catégorie Bâtiment — Mobile (375 px)</w:t>
      </w:r>
    </w:p>
    <w:p>
      <w:pPr>
        <w:spacing w:before="100" w:after="60"/>
        <w:jc w:val="center"/>
      </w:pPr>
      <w:r>
        <w:drawing>
          <wp:inline distT="0" distB="0" distL="0" distR="0">
            <wp:extent cx="3429000" cy="4705350"/>
            <wp:effectExtent t="0" r="0" b="0" l="0"/>
            <wp:docPr id="1" name="liste-tablette.png" descr="Liste — catégorie Bâtiment — Tablette (768 px)" title="Liste — catégorie Bâtiment — Tablette (768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4705350"/>
                    </a:xfrm>
                    <a:prstGeom prst="rect">
                      <a:avLst/>
                    </a:prstGeom>
                  </pic:spPr>
                </pic:pic>
              </a:graphicData>
            </a:graphic>
          </wp:inline>
        </w:drawing>
      </w:r>
    </w:p>
    <w:p>
      <w:pPr>
        <w:spacing w:after="180"/>
        <w:jc w:val="center"/>
      </w:pPr>
      <w:r>
        <w:rPr>
          <w:i/>
          <w:iCs/>
          <w:color w:val="384050"/>
          <w:sz w:val="18"/>
          <w:szCs w:val="18"/>
        </w:rPr>
        <w:t xml:space="preserve">Liste — catégorie Bâtiment — Tablette (768 px)</w:t>
      </w:r>
    </w:p>
    <w:p>
      <w:pPr>
        <w:spacing w:before="100" w:after="60"/>
        <w:jc w:val="center"/>
      </w:pPr>
      <w:r>
        <w:drawing>
          <wp:inline distT="0" distB="0" distL="0" distR="0">
            <wp:extent cx="5143500" cy="4362450"/>
            <wp:effectExtent t="0" r="0" b="0" l="0"/>
            <wp:docPr id="1" name="liste-desktop.png" descr="Liste — catégorie Bâtiment — Desktop (1280 px)" title="Liste — catégorie Bâtiment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4362450"/>
                    </a:xfrm>
                    <a:prstGeom prst="rect">
                      <a:avLst/>
                    </a:prstGeom>
                  </pic:spPr>
                </pic:pic>
              </a:graphicData>
            </a:graphic>
          </wp:inline>
        </w:drawing>
      </w:r>
    </w:p>
    <w:p>
      <w:pPr>
        <w:spacing w:after="180"/>
        <w:jc w:val="center"/>
      </w:pPr>
      <w:r>
        <w:rPr>
          <w:i/>
          <w:iCs/>
          <w:color w:val="384050"/>
          <w:sz w:val="18"/>
          <w:szCs w:val="18"/>
        </w:rPr>
        <w:t xml:space="preserve">Liste — catégorie Bâtiment — Desktop (1280 px)</w:t>
      </w:r>
    </w:p>
    <w:p>
      <w:pPr>
        <w:pStyle w:val="Heading3"/>
        <w:spacing w:before="200" w:after="100"/>
      </w:pPr>
      <w:r>
        <w:rPr>
          <w:b/>
          <w:bCs/>
        </w:rPr>
        <w:t xml:space="preserve">2.3.4 Fiche artisan + formulaire</w:t>
      </w:r>
    </w:p>
    <w:p>
      <w:pPr>
        <w:spacing w:after="120"/>
        <w:jc w:val="both"/>
      </w:pPr>
      <w:r>
        <w:t xml:space="preserve">La fiche d'Orville Salmons sert d'exemple. La même structure est utilisée pour les 17 artisans, seules les données changent.</w:t>
      </w:r>
    </w:p>
    <w:p>
      <w:pPr>
        <w:spacing w:before="100" w:after="60"/>
        <w:jc w:val="center"/>
      </w:pPr>
      <w:r>
        <w:drawing>
          <wp:inline distT="0" distB="0" distL="0" distR="0">
            <wp:extent cx="1704975" cy="5715000"/>
            <wp:effectExtent t="0" r="0" b="0" l="0"/>
            <wp:docPr id="1" name="fiche-mobile.png" descr="Fiche artisan — Mobile (375 px)" title="Fiche artisan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704975" cy="5715000"/>
                    </a:xfrm>
                    <a:prstGeom prst="rect">
                      <a:avLst/>
                    </a:prstGeom>
                  </pic:spPr>
                </pic:pic>
              </a:graphicData>
            </a:graphic>
          </wp:inline>
        </w:drawing>
      </w:r>
    </w:p>
    <w:p>
      <w:pPr>
        <w:spacing w:after="180"/>
        <w:jc w:val="center"/>
      </w:pPr>
      <w:r>
        <w:rPr>
          <w:i/>
          <w:iCs/>
          <w:color w:val="384050"/>
          <w:sz w:val="18"/>
          <w:szCs w:val="18"/>
        </w:rPr>
        <w:t xml:space="preserve">Fiche artisan — Mobile (375 px)</w:t>
      </w:r>
    </w:p>
    <w:p>
      <w:pPr>
        <w:spacing w:before="100" w:after="60"/>
        <w:jc w:val="center"/>
      </w:pPr>
      <w:r>
        <w:drawing>
          <wp:inline distT="0" distB="0" distL="0" distR="0">
            <wp:extent cx="3429000" cy="5695950"/>
            <wp:effectExtent t="0" r="0" b="0" l="0"/>
            <wp:docPr id="1" name="fiche-tablette.png" descr="Fiche artisan — Tablette (768 px)" title="Fiche artisan — Tablette (768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29000" cy="5695950"/>
                    </a:xfrm>
                    <a:prstGeom prst="rect">
                      <a:avLst/>
                    </a:prstGeom>
                  </pic:spPr>
                </pic:pic>
              </a:graphicData>
            </a:graphic>
          </wp:inline>
        </w:drawing>
      </w:r>
    </w:p>
    <w:p>
      <w:pPr>
        <w:spacing w:after="180"/>
        <w:jc w:val="center"/>
      </w:pPr>
      <w:r>
        <w:rPr>
          <w:i/>
          <w:iCs/>
          <w:color w:val="384050"/>
          <w:sz w:val="18"/>
          <w:szCs w:val="18"/>
        </w:rPr>
        <w:t xml:space="preserve">Fiche artisan — Tablette (768 px)</w:t>
      </w:r>
    </w:p>
    <w:p>
      <w:pPr>
        <w:spacing w:before="100" w:after="60"/>
        <w:jc w:val="center"/>
      </w:pPr>
      <w:r>
        <w:drawing>
          <wp:inline distT="0" distB="0" distL="0" distR="0">
            <wp:extent cx="5143500" cy="4191000"/>
            <wp:effectExtent t="0" r="0" b="0" l="0"/>
            <wp:docPr id="1" name="fiche-desktop.png" descr="Fiche artisan — Desktop (1280 px)" title="Fiche artisan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4191000"/>
                    </a:xfrm>
                    <a:prstGeom prst="rect">
                      <a:avLst/>
                    </a:prstGeom>
                  </pic:spPr>
                </pic:pic>
              </a:graphicData>
            </a:graphic>
          </wp:inline>
        </w:drawing>
      </w:r>
    </w:p>
    <w:p>
      <w:pPr>
        <w:spacing w:after="180"/>
        <w:jc w:val="center"/>
      </w:pPr>
      <w:r>
        <w:rPr>
          <w:i/>
          <w:iCs/>
          <w:color w:val="384050"/>
          <w:sz w:val="18"/>
          <w:szCs w:val="18"/>
        </w:rPr>
        <w:t xml:space="preserve">Fiche artisan — Desktop (1280 px)</w:t>
      </w:r>
    </w:p>
    <w:p>
      <w:pPr>
        <w:pStyle w:val="Heading3"/>
        <w:spacing w:before="200" w:after="100"/>
      </w:pPr>
      <w:r>
        <w:rPr>
          <w:b/>
          <w:bCs/>
        </w:rPr>
        <w:t xml:space="preserve">2.3.5 Page 404</w:t>
      </w:r>
    </w:p>
    <w:p>
      <w:pPr>
        <w:spacing w:before="100" w:after="60"/>
        <w:jc w:val="center"/>
      </w:pPr>
      <w:r>
        <w:drawing>
          <wp:inline distT="0" distB="0" distL="0" distR="0">
            <wp:extent cx="1905000" cy="2752725"/>
            <wp:effectExtent t="0" r="0" b="0" l="0"/>
            <wp:docPr id="1" name="404-mobile.png" descr="404 — Mobile (375 px)" title="404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905000" cy="2752725"/>
                    </a:xfrm>
                    <a:prstGeom prst="rect">
                      <a:avLst/>
                    </a:prstGeom>
                  </pic:spPr>
                </pic:pic>
              </a:graphicData>
            </a:graphic>
          </wp:inline>
        </w:drawing>
      </w:r>
    </w:p>
    <w:p>
      <w:pPr>
        <w:spacing w:after="180"/>
        <w:jc w:val="center"/>
      </w:pPr>
      <w:r>
        <w:rPr>
          <w:i/>
          <w:iCs/>
          <w:color w:val="384050"/>
          <w:sz w:val="18"/>
          <w:szCs w:val="18"/>
        </w:rPr>
        <w:t xml:space="preserve">404 — Mobile (375 px)</w:t>
      </w:r>
    </w:p>
    <w:p>
      <w:pPr>
        <w:spacing w:before="100" w:after="60"/>
        <w:jc w:val="center"/>
      </w:pPr>
      <w:r>
        <w:drawing>
          <wp:inline distT="0" distB="0" distL="0" distR="0">
            <wp:extent cx="5143500" cy="2705100"/>
            <wp:effectExtent t="0" r="0" b="0" l="0"/>
            <wp:docPr id="1" name="404-desktop.png" descr="404 — Desktop (1280 px)" title="404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2705100"/>
                    </a:xfrm>
                    <a:prstGeom prst="rect">
                      <a:avLst/>
                    </a:prstGeom>
                  </pic:spPr>
                </pic:pic>
              </a:graphicData>
            </a:graphic>
          </wp:inline>
        </w:drawing>
      </w:r>
    </w:p>
    <w:p>
      <w:pPr>
        <w:spacing w:after="180"/>
        <w:jc w:val="center"/>
      </w:pPr>
      <w:r>
        <w:rPr>
          <w:i/>
          <w:iCs/>
          <w:color w:val="384050"/>
          <w:sz w:val="18"/>
          <w:szCs w:val="18"/>
        </w:rPr>
        <w:t xml:space="preserve">404 — Desktop (1280 px)</w:t>
      </w:r>
    </w:p>
    <w:p>
      <w:pPr>
        <w:pStyle w:val="Heading2"/>
        <w:spacing w:before="240" w:after="120"/>
      </w:pPr>
      <w:r>
        <w:rPr>
          <w:b/>
          <w:bCs/>
        </w:rPr>
        <w:t xml:space="preserve">2.4 Enchaînement des écrans</w:t>
      </w:r>
    </w:p>
    <w:p>
      <w:pPr>
        <w:shd w:fill="F1F8FC" w:val="clear"/>
        <w:spacing w:after="120"/>
      </w:pPr>
      <w:r>
        <w:rPr>
          <w:sz w:val="20"/>
          <w:szCs w:val="20"/>
          <w:rFonts w:ascii="Consolas" w:cs="Consolas" w:eastAsia="Consolas" w:hAnsi="Consolas"/>
        </w:rPr>
        <w:t xml:space="preserve">[Accueil] ─ menu catégorie ────► [Liste filtrée]</w:t>
      </w:r>
      <w:r>
        <w:rPr>
          <w:sz w:val="20"/>
          <w:szCs w:val="20"/>
          <w:rFonts w:ascii="Consolas" w:cs="Consolas" w:eastAsia="Consolas" w:hAnsi="Consolas"/>
        </w:rPr>
        <w:br/>
        <w:t xml:space="preserve">          ─ recherche ─────────► [Liste filtrée]</w:t>
      </w:r>
      <w:r>
        <w:rPr>
          <w:sz w:val="20"/>
          <w:szCs w:val="20"/>
          <w:rFonts w:ascii="Consolas" w:cs="Consolas" w:eastAsia="Consolas" w:hAnsi="Consolas"/>
        </w:rPr>
        <w:br/>
        <w:t xml:space="preserve">          ─ artisan du mois ────► [Fiche artisan]</w:t>
      </w:r>
      <w:r>
        <w:rPr>
          <w:sz w:val="20"/>
          <w:szCs w:val="20"/>
          <w:rFonts w:ascii="Consolas" w:cs="Consolas" w:eastAsia="Consolas" w:hAnsi="Consolas"/>
        </w:rPr>
        <w:br/>
        <w:t xml:space="preserve">                                          │</w:t>
      </w:r>
      <w:r>
        <w:rPr>
          <w:sz w:val="20"/>
          <w:szCs w:val="20"/>
          <w:rFonts w:ascii="Consolas" w:cs="Consolas" w:eastAsia="Consolas" w:hAnsi="Consolas"/>
        </w:rPr>
        <w:br/>
        <w:t xml:space="preserve">                                          ▼</w:t>
      </w:r>
      <w:r>
        <w:rPr>
          <w:sz w:val="20"/>
          <w:szCs w:val="20"/>
          <w:rFonts w:ascii="Consolas" w:cs="Consolas" w:eastAsia="Consolas" w:hAnsi="Consolas"/>
        </w:rPr>
        <w:br/>
        <w:t xml:space="preserve">                                  [Formulaire] ──► confirmation</w:t>
      </w:r>
      <w:r>
        <w:rPr>
          <w:sz w:val="20"/>
          <w:szCs w:val="20"/>
          <w:rFonts w:ascii="Consolas" w:cs="Consolas" w:eastAsia="Consolas" w:hAnsi="Consolas"/>
        </w:rPr>
        <w:br/>
      </w:r>
      <w:r>
        <w:rPr>
          <w:sz w:val="20"/>
          <w:szCs w:val="20"/>
          <w:rFonts w:ascii="Consolas" w:cs="Consolas" w:eastAsia="Consolas" w:hAnsi="Consolas"/>
        </w:rPr>
        <w:br/>
        <w:t xml:space="preserve">[Liste] ─ clic carte ────► [Fiche artisan]</w:t>
      </w:r>
      <w:r>
        <w:rPr>
          <w:sz w:val="20"/>
          <w:szCs w:val="20"/>
          <w:rFonts w:ascii="Consolas" w:cs="Consolas" w:eastAsia="Consolas" w:hAnsi="Consolas"/>
        </w:rPr>
        <w:br/>
        <w:t xml:space="preserve">[Toute URL inconnue] ────► [404] ─ retour ─► [Accueil]</w:t>
      </w:r>
    </w:p>
    <w:p>
      <w:pPr>
        <w:pStyle w:val="Heading2"/>
        <w:spacing w:before="240" w:after="120"/>
      </w:pPr>
      <w:r>
        <w:rPr>
          <w:b/>
          <w:bCs/>
        </w:rPr>
        <w:t xml:space="preserve">2.5 Interfaces utilisateur statiques</w:t>
      </w:r>
    </w:p>
    <w:p>
      <w:pPr>
        <w:spacing w:after="120"/>
        <w:jc w:val="both"/>
      </w:pPr>
      <w:r>
        <w:t xml:space="preserve">Les interfaces sont construites en composants React et mises en forme avec Bootstrap 5 et Sass. Le balisage reste sémantique et accessible. La section d'accueil illustre une structure statique simple : un en-tête de section, un titre principal et un bouton d'appel à l'action.</w:t>
      </w:r>
    </w:p>
    <w:p>
      <w:pPr>
        <w:shd w:fill="F1F8FC" w:val="clear"/>
        <w:spacing w:after="120"/>
      </w:pPr>
      <w:r>
        <w:rPr>
          <w:sz w:val="20"/>
          <w:szCs w:val="20"/>
          <w:rFonts w:ascii="Consolas" w:cs="Consolas" w:eastAsia="Consolas" w:hAnsi="Consolas"/>
        </w:rPr>
        <w:t xml:space="preserve">&lt;section className="hero"&gt;</w:t>
      </w:r>
      <w:r>
        <w:rPr>
          <w:sz w:val="20"/>
          <w:szCs w:val="20"/>
          <w:rFonts w:ascii="Consolas" w:cs="Consolas" w:eastAsia="Consolas" w:hAnsi="Consolas"/>
        </w:rPr>
        <w:br/>
        <w:t xml:space="preserve">  &lt;div className="container"&gt;</w:t>
      </w:r>
      <w:r>
        <w:rPr>
          <w:sz w:val="20"/>
          <w:szCs w:val="20"/>
          <w:rFonts w:ascii="Consolas" w:cs="Consolas" w:eastAsia="Consolas" w:hAnsi="Consolas"/>
        </w:rPr>
        <w:br/>
        <w:t xml:space="preserve">    &lt;h1&gt;Trouvez l'artisan qu'il vous faut, pres de chez vous.&lt;/h1&gt;</w:t>
      </w:r>
      <w:r>
        <w:rPr>
          <w:sz w:val="20"/>
          <w:szCs w:val="20"/>
          <w:rFonts w:ascii="Consolas" w:cs="Consolas" w:eastAsia="Consolas" w:hAnsi="Consolas"/>
        </w:rPr>
        <w:br/>
        <w:t xml:space="preserve">    &lt;p className="lead"&gt;Batiment, alimentation, services, fabrication.&lt;/p&gt;</w:t>
      </w:r>
      <w:r>
        <w:rPr>
          <w:sz w:val="20"/>
          <w:szCs w:val="20"/>
          <w:rFonts w:ascii="Consolas" w:cs="Consolas" w:eastAsia="Consolas" w:hAnsi="Consolas"/>
        </w:rPr>
        <w:br/>
        <w:t xml:space="preserve">    &lt;Link to="/artisans" className="btn btn-primary btn-lg"&gt;</w:t>
      </w:r>
      <w:r>
        <w:rPr>
          <w:sz w:val="20"/>
          <w:szCs w:val="20"/>
          <w:rFonts w:ascii="Consolas" w:cs="Consolas" w:eastAsia="Consolas" w:hAnsi="Consolas"/>
        </w:rPr>
        <w:br/>
        <w:t xml:space="preserve">      Voir tous les artisans</w:t>
      </w:r>
      <w:r>
        <w:rPr>
          <w:sz w:val="20"/>
          <w:szCs w:val="20"/>
          <w:rFonts w:ascii="Consolas" w:cs="Consolas" w:eastAsia="Consolas" w:hAnsi="Consolas"/>
        </w:rPr>
        <w:br/>
        <w:t xml:space="preserve">    &lt;/Link&gt;</w:t>
      </w:r>
      <w:r>
        <w:rPr>
          <w:sz w:val="20"/>
          <w:szCs w:val="20"/>
          <w:rFonts w:ascii="Consolas" w:cs="Consolas" w:eastAsia="Consolas" w:hAnsi="Consolas"/>
        </w:rPr>
        <w:br/>
        <w:t xml:space="preserve">  &lt;/div&gt;</w:t>
      </w:r>
      <w:r>
        <w:rPr>
          <w:sz w:val="20"/>
          <w:szCs w:val="20"/>
          <w:rFonts w:ascii="Consolas" w:cs="Consolas" w:eastAsia="Consolas" w:hAnsi="Consolas"/>
        </w:rPr>
        <w:br/>
        <w:t xml:space="preserve">&lt;/section&gt;</w:t>
      </w:r>
    </w:p>
    <w:p>
      <w:pPr>
        <w:pStyle w:val="Heading2"/>
        <w:spacing w:before="240" w:after="120"/>
      </w:pPr>
      <w:r>
        <w:rPr>
          <w:b/>
          <w:bCs/>
        </w:rPr>
        <w:t xml:space="preserve">2.6 Partie dynamique des interfaces</w:t>
      </w:r>
    </w:p>
    <w:p>
      <w:pPr>
        <w:spacing w:after="120"/>
        <w:jc w:val="both"/>
      </w:pPr>
      <w:r>
        <w:t xml:space="preserve">La partie dynamique repose sur les hooks de React. Le chargement des artisans, par exemple, se déclenche à l'affichage de la page et à chaque changement de filtre ; l'état local gère l'attente, les données reçues et les erreurs éventuelles.</w:t>
      </w:r>
    </w:p>
    <w:p>
      <w:pPr>
        <w:shd w:fill="F1F8FC" w:val="clear"/>
        <w:spacing w:after="120"/>
      </w:pPr>
      <w:r>
        <w:rPr>
          <w:sz w:val="20"/>
          <w:szCs w:val="20"/>
          <w:rFonts w:ascii="Consolas" w:cs="Consolas" w:eastAsia="Consolas" w:hAnsi="Consolas"/>
        </w:rPr>
        <w:t xml:space="preserve">useEffect(() =&gt; {</w:t>
      </w:r>
      <w:r>
        <w:rPr>
          <w:sz w:val="20"/>
          <w:szCs w:val="20"/>
          <w:rFonts w:ascii="Consolas" w:cs="Consolas" w:eastAsia="Consolas" w:hAnsi="Consolas"/>
        </w:rPr>
        <w:br/>
        <w:t xml:space="preserve">  setLoading(true);</w:t>
      </w:r>
      <w:r>
        <w:rPr>
          <w:sz w:val="20"/>
          <w:szCs w:val="20"/>
          <w:rFonts w:ascii="Consolas" w:cs="Consolas" w:eastAsia="Consolas" w:hAnsi="Consolas"/>
        </w:rPr>
        <w:br/>
        <w:t xml:space="preserve">  api.getArtisans({ category, q })</w:t>
      </w:r>
      <w:r>
        <w:rPr>
          <w:sz w:val="20"/>
          <w:szCs w:val="20"/>
          <w:rFonts w:ascii="Consolas" w:cs="Consolas" w:eastAsia="Consolas" w:hAnsi="Consolas"/>
        </w:rPr>
        <w:br/>
        <w:t xml:space="preserve">    .then((data) =&gt; setArtisans(data))</w:t>
      </w:r>
      <w:r>
        <w:rPr>
          <w:sz w:val="20"/>
          <w:szCs w:val="20"/>
          <w:rFonts w:ascii="Consolas" w:cs="Consolas" w:eastAsia="Consolas" w:hAnsi="Consolas"/>
        </w:rPr>
        <w:br/>
        <w:t xml:space="preserve">    .catch((err) =&gt; setError(err.message))</w:t>
      </w:r>
      <w:r>
        <w:rPr>
          <w:sz w:val="20"/>
          <w:szCs w:val="20"/>
          <w:rFonts w:ascii="Consolas" w:cs="Consolas" w:eastAsia="Consolas" w:hAnsi="Consolas"/>
        </w:rPr>
        <w:br/>
        <w:t xml:space="preserve">    .finally(() =&gt; setLoading(false));</w:t>
      </w:r>
      <w:r>
        <w:rPr>
          <w:sz w:val="20"/>
          <w:szCs w:val="20"/>
          <w:rFonts w:ascii="Consolas" w:cs="Consolas" w:eastAsia="Consolas" w:hAnsi="Consolas"/>
        </w:rPr>
        <w:br/>
        <w:t xml:space="preserve">}, [category, q]);</w:t>
      </w:r>
    </w:p>
    <w:p>
      <w:pPr>
        <w:pStyle w:val="Heading2"/>
        <w:spacing w:before="240" w:after="120"/>
      </w:pPr>
      <w:r>
        <w:rPr>
          <w:b/>
          <w:bCs/>
        </w:rPr>
        <w:t xml:space="preserve">2.7 Accessibilité et référencement</w:t>
      </w:r>
    </w:p>
    <w:p>
      <w:pPr>
        <w:spacing w:after="120"/>
        <w:jc w:val="both"/>
      </w:pPr>
      <w:r>
        <w:t xml:space="preserve">Le site vise la conformité WCAG 2.1 : balises sémantiques, lien d'évitement vers le contenu principal, attributs ARIA sur les éléments interactifs, focus visible et navigation au clavier. Le composant de notation expose aussi bien les étoiles que la valeur chiffrée, pour les lecteurs d'écran.</w:t>
      </w:r>
    </w:p>
    <w:p>
      <w:pPr>
        <w:spacing w:after="120"/>
        <w:jc w:val="both"/>
      </w:pPr>
      <w:r>
        <w:t xml:space="preserve">Côté référencement, chaque page définit son titre et sa méta-description grâce aux métadonnées natives de React 19 (composant Seo), ce qui favorise le référencement et le partage sur les réseaux sociaux. Les URL restent propres et lisibles grâce à React Router.</w:t>
      </w:r>
    </w:p>
    <w:p>
      <w:pPr>
        <w:pStyle w:val="Heading2"/>
        <w:spacing w:before="240" w:after="120"/>
      </w:pPr>
      <w:r>
        <w:rPr>
          <w:b/>
          <w:bCs/>
        </w:rPr>
        <w:t xml:space="preserve">2.8 Éco-conception</w:t>
      </w:r>
    </w:p>
    <w:p>
      <w:pPr>
        <w:spacing w:after="120"/>
        <w:jc w:val="both"/>
      </w:pPr>
      <w:r>
        <w:t xml:space="preserve">Quelques principes d'éco-conception ont été pris en compte. Les images des artisans sont chargées en différé (lazy loading), ce qui évite de télécharger des visuels non affichés à l'écran. La typographie s'appuie sur des polices déjà présentes sur le poste, sans téléchargement de fichier de police distant. Côté serveur, l'API ne renvoie que les colonnes utiles (pas de SELECT *) et s'appuie sur une vue SQL qui pré-assemble les jointures, ce qui réduit le volume de données transférées. Enfin, le build de production (Vite) minifie et compresse les fichiers envoyés au navigateur, et les dépendances ont été limitées au nécessaire.</w:t>
      </w:r>
    </w:p>
    <w:p>
      <w:r>
        <w:br w:type="page"/>
      </w:r>
    </w:p>
    <w:p>
      <w:pPr>
        <w:pStyle w:val="Heading1"/>
        <w:spacing w:before="360" w:after="180"/>
      </w:pPr>
      <w:r>
        <w:rPr>
          <w:b/>
          <w:bCs/>
        </w:rPr>
        <w:t xml:space="preserve">3. Base de données et composants serveur</w:t>
      </w:r>
    </w:p>
    <w:p>
      <w:pPr>
        <w:pStyle w:val="Heading2"/>
        <w:spacing w:before="240" w:after="120"/>
      </w:pPr>
      <w:r>
        <w:rPr>
          <w:b/>
          <w:bCs/>
        </w:rPr>
        <w:t xml:space="preserve">3.1 Règles de gestion</w:t>
      </w:r>
    </w:p>
    <w:p>
      <w:pPr>
        <w:pStyle w:val="ListParagraph"/>
        <w:numPr>
          <w:ilvl w:val="0"/>
          <w:numId w:val="2"/>
        </w:numPr>
        <w:spacing w:after="80"/>
      </w:pPr>
      <w:r>
        <w:t xml:space="preserve">Un artisan appartient à une seule spécialité.</w:t>
      </w:r>
    </w:p>
    <w:p>
      <w:pPr>
        <w:pStyle w:val="ListParagraph"/>
        <w:numPr>
          <w:ilvl w:val="0"/>
          <w:numId w:val="2"/>
        </w:numPr>
        <w:spacing w:after="80"/>
      </w:pPr>
      <w:r>
        <w:t xml:space="preserve">Une spécialité est rattachée à une seule catégorie.</w:t>
      </w:r>
    </w:p>
    <w:p>
      <w:pPr>
        <w:pStyle w:val="ListParagraph"/>
        <w:numPr>
          <w:ilvl w:val="0"/>
          <w:numId w:val="2"/>
        </w:numPr>
        <w:spacing w:after="80"/>
      </w:pPr>
      <w:r>
        <w:t xml:space="preserve">Un artisan est localisé dans une seule ville ; une ville regroupe potentiellement plusieurs artisans.</w:t>
      </w:r>
    </w:p>
    <w:p>
      <w:pPr>
        <w:pStyle w:val="ListParagraph"/>
        <w:numPr>
          <w:ilvl w:val="0"/>
          <w:numId w:val="2"/>
        </w:numPr>
        <w:spacing w:after="80"/>
      </w:pPr>
      <w:r>
        <w:t xml:space="preserve">Un artisan peut être marqué « artisan du mois ».</w:t>
      </w:r>
    </w:p>
    <w:p>
      <w:pPr>
        <w:pStyle w:val="ListParagraph"/>
        <w:numPr>
          <w:ilvl w:val="0"/>
          <w:numId w:val="2"/>
        </w:numPr>
        <w:spacing w:after="80"/>
      </w:pPr>
      <w:r>
        <w:t xml:space="preserve">Chaque artisan possède une note décimale entre 0 et 5.</w:t>
      </w:r>
    </w:p>
    <w:p>
      <w:pPr>
        <w:pStyle w:val="ListParagraph"/>
        <w:numPr>
          <w:ilvl w:val="0"/>
          <w:numId w:val="2"/>
        </w:numPr>
        <w:spacing w:after="80"/>
      </w:pPr>
      <w:r>
        <w:t xml:space="preserve">Un message de contact est associé à un seul artisan ; un artisan peut en recevoir plusieurs.</w:t>
      </w:r>
    </w:p>
    <w:p>
      <w:pPr>
        <w:pStyle w:val="Heading2"/>
        <w:spacing w:before="240" w:after="120"/>
      </w:pPr>
      <w:r>
        <w:rPr>
          <w:b/>
          <w:bCs/>
        </w:rPr>
        <w:t xml:space="preserve">3.2 Respect des formes normales</w:t>
      </w:r>
    </w:p>
    <w:p>
      <w:pPr>
        <w:spacing w:after="120"/>
        <w:jc w:val="both"/>
      </w:pPr>
      <w:r>
        <w:t xml:space="preserve">Le schéma respecte les trois premières formes normales (1FN, 2FN, 3FN). En particulier, la ville a été externalisée dans une table dédiée (cities) pour éviter la redondance du nom de ville sur chaque ligne d'artisan (3FN) : si une ville change de nom, une seule ligne est à modifier. Idem pour les catégories et les spécialités, qui sont des tables référentielles distinctes.</w:t>
      </w:r>
    </w:p>
    <w:p>
      <w:pPr>
        <w:pStyle w:val="Heading2"/>
        <w:spacing w:before="240" w:after="120"/>
      </w:pPr>
      <w:r>
        <w:rPr>
          <w:b/>
          <w:bCs/>
        </w:rPr>
        <w:t xml:space="preserve">3.3 Modèle conceptuel de données (MCD)</w:t>
      </w:r>
    </w:p>
    <w:p>
      <w:pPr>
        <w:spacing w:before="100" w:after="60"/>
        <w:jc w:val="center"/>
      </w:pPr>
      <w:r>
        <w:drawing>
          <wp:inline distT="0" distB="0" distL="0" distR="0">
            <wp:extent cx="4572000" cy="2857500"/>
            <wp:effectExtent t="0" r="0" b="0" l="0"/>
            <wp:docPr id="1" name="mcd.png" descr="MCD — 5 entités, cardinalités explicites" title="MCD — 5 entités, cardinalités explici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2857500"/>
                    </a:xfrm>
                    <a:prstGeom prst="rect">
                      <a:avLst/>
                    </a:prstGeom>
                  </pic:spPr>
                </pic:pic>
              </a:graphicData>
            </a:graphic>
          </wp:inline>
        </w:drawing>
      </w:r>
    </w:p>
    <w:p>
      <w:pPr>
        <w:spacing w:after="180"/>
        <w:jc w:val="center"/>
      </w:pPr>
      <w:r>
        <w:rPr>
          <w:i/>
          <w:iCs/>
          <w:color w:val="384050"/>
          <w:sz w:val="18"/>
          <w:szCs w:val="18"/>
        </w:rPr>
        <w:t xml:space="preserve">MCD — 5 entités, cardinalités explicites</w:t>
      </w:r>
    </w:p>
    <w:p>
      <w:pPr>
        <w:pStyle w:val="Heading2"/>
        <w:spacing w:before="240" w:after="120"/>
      </w:pPr>
      <w:r>
        <w:rPr>
          <w:b/>
          <w:bCs/>
        </w:rPr>
        <w:t xml:space="preserve">3.4 Modèle logique de données (MLD)</w:t>
      </w:r>
    </w:p>
    <w:p>
      <w:pPr>
        <w:spacing w:before="100" w:after="60"/>
        <w:jc w:val="center"/>
      </w:pPr>
      <w:r>
        <w:drawing>
          <wp:inline distT="0" distB="0" distL="0" distR="0">
            <wp:extent cx="5143500" cy="3219450"/>
            <wp:effectExtent t="0" r="0" b="0" l="0"/>
            <wp:docPr id="1" name="mld.png" descr="MLD — types SQL, PK / UK / FK identifiés" title="MLD — types SQL, PK / UK / FK identifi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219450"/>
                    </a:xfrm>
                    <a:prstGeom prst="rect">
                      <a:avLst/>
                    </a:prstGeom>
                  </pic:spPr>
                </pic:pic>
              </a:graphicData>
            </a:graphic>
          </wp:inline>
        </w:drawing>
      </w:r>
    </w:p>
    <w:p>
      <w:pPr>
        <w:spacing w:after="180"/>
        <w:jc w:val="center"/>
      </w:pPr>
      <w:r>
        <w:rPr>
          <w:i/>
          <w:iCs/>
          <w:color w:val="384050"/>
          <w:sz w:val="18"/>
          <w:szCs w:val="18"/>
        </w:rPr>
        <w:t xml:space="preserve">MLD — types SQL, PK / UK / FK identifiés</w:t>
      </w:r>
    </w:p>
    <w:p>
      <w:pPr>
        <w:spacing w:after="120"/>
        <w:jc w:val="both"/>
      </w:pPr>
      <w:r>
        <w:t xml:space="preserve">Notation textuelle équivalente (avec PK soulignée et FK préfixées par #) :</w:t>
      </w:r>
    </w:p>
    <w:p>
      <w:pPr>
        <w:shd w:fill="F1F8FC" w:val="clear"/>
        <w:spacing w:after="120"/>
      </w:pPr>
      <w:r>
        <w:rPr>
          <w:sz w:val="20"/>
          <w:szCs w:val="20"/>
          <w:rFonts w:ascii="Consolas" w:cs="Consolas" w:eastAsia="Consolas" w:hAnsi="Consolas"/>
        </w:rPr>
        <w:t xml:space="preserve">categories       (id, name)</w:t>
      </w:r>
      <w:r>
        <w:rPr>
          <w:sz w:val="20"/>
          <w:szCs w:val="20"/>
          <w:rFonts w:ascii="Consolas" w:cs="Consolas" w:eastAsia="Consolas" w:hAnsi="Consolas"/>
        </w:rPr>
        <w:br/>
        <w:t xml:space="preserve">specialties      (id, name, #category_id)</w:t>
      </w:r>
      <w:r>
        <w:rPr>
          <w:sz w:val="20"/>
          <w:szCs w:val="20"/>
          <w:rFonts w:ascii="Consolas" w:cs="Consolas" w:eastAsia="Consolas" w:hAnsi="Consolas"/>
        </w:rPr>
        <w:br/>
        <w:t xml:space="preserve">cities           (id, name)</w:t>
      </w:r>
      <w:r>
        <w:rPr>
          <w:sz w:val="20"/>
          <w:szCs w:val="20"/>
          <w:rFonts w:ascii="Consolas" w:cs="Consolas" w:eastAsia="Consolas" w:hAnsi="Consolas"/>
        </w:rPr>
        <w:br/>
        <w:t xml:space="preserve">artisans         (id, name, rating, about, email, website, image_url,</w:t>
      </w:r>
      <w:r>
        <w:rPr>
          <w:sz w:val="20"/>
          <w:szCs w:val="20"/>
          <w:rFonts w:ascii="Consolas" w:cs="Consolas" w:eastAsia="Consolas" w:hAnsi="Consolas"/>
        </w:rPr>
        <w:br/>
        <w:t xml:space="preserve">                  is_top_of_month, #specialty_id, #city_id)</w:t>
      </w:r>
      <w:r>
        <w:rPr>
          <w:sz w:val="20"/>
          <w:szCs w:val="20"/>
          <w:rFonts w:ascii="Consolas" w:cs="Consolas" w:eastAsia="Consolas" w:hAnsi="Consolas"/>
        </w:rPr>
        <w:br/>
        <w:t xml:space="preserve">contact_messages (id, sender_name, sender_email, subject, message,</w:t>
      </w:r>
      <w:r>
        <w:rPr>
          <w:sz w:val="20"/>
          <w:szCs w:val="20"/>
          <w:rFonts w:ascii="Consolas" w:cs="Consolas" w:eastAsia="Consolas" w:hAnsi="Consolas"/>
        </w:rPr>
        <w:br/>
        <w:t xml:space="preserve">                  created_at, #artisan_id)</w:t>
      </w:r>
    </w:p>
    <w:p>
      <w:pPr>
        <w:pStyle w:val="Heading2"/>
        <w:spacing w:before="240" w:after="120"/>
      </w:pPr>
      <w:r>
        <w:rPr>
          <w:b/>
          <w:bCs/>
        </w:rPr>
        <w:t xml:space="preserve">3.5 Modèle physique de données (extrait)</w:t>
      </w:r>
    </w:p>
    <w:p>
      <w:pPr>
        <w:shd w:fill="F1F8FC" w:val="clear"/>
        <w:spacing w:after="120"/>
      </w:pPr>
      <w:r>
        <w:rPr>
          <w:sz w:val="20"/>
          <w:szCs w:val="20"/>
          <w:rFonts w:ascii="Consolas" w:cs="Consolas" w:eastAsia="Consolas" w:hAnsi="Consolas"/>
        </w:rPr>
        <w:t xml:space="preserve">CREATE TABLE cities (</w:t>
      </w:r>
      <w:r>
        <w:rPr>
          <w:sz w:val="20"/>
          <w:szCs w:val="20"/>
          <w:rFonts w:ascii="Consolas" w:cs="Consolas" w:eastAsia="Consolas" w:hAnsi="Consolas"/>
        </w:rPr>
        <w:br/>
        <w:t xml:space="preserve">  id          INT UNSIGNED AUTO_INCREMENT PRIMARY KEY,</w:t>
      </w:r>
      <w:r>
        <w:rPr>
          <w:sz w:val="20"/>
          <w:szCs w:val="20"/>
          <w:rFonts w:ascii="Consolas" w:cs="Consolas" w:eastAsia="Consolas" w:hAnsi="Consolas"/>
        </w:rPr>
        <w:br/>
        <w:t xml:space="preserve">  name        VARCHAR(120) NOT NULL UNIQUE,</w:t>
      </w:r>
      <w:r>
        <w:rPr>
          <w:sz w:val="20"/>
          <w:szCs w:val="20"/>
          <w:rFonts w:ascii="Consolas" w:cs="Consolas" w:eastAsia="Consolas" w:hAnsi="Consolas"/>
        </w:rPr>
        <w:br/>
        <w:t xml:space="preserve">  created_at  DATETIME NOT NULL DEFAULT CURRENT_TIMESTAMP,</w:t>
      </w:r>
      <w:r>
        <w:rPr>
          <w:sz w:val="20"/>
          <w:szCs w:val="20"/>
          <w:rFonts w:ascii="Consolas" w:cs="Consolas" w:eastAsia="Consolas" w:hAnsi="Consolas"/>
        </w:rPr>
        <w:br/>
        <w:t xml:space="preserve">  updated_at  DATETIME NOT NULL DEFAULT CURRENT_TIMESTAMP</w:t>
      </w:r>
      <w:r>
        <w:rPr>
          <w:sz w:val="20"/>
          <w:szCs w:val="20"/>
          <w:rFonts w:ascii="Consolas" w:cs="Consolas" w:eastAsia="Consolas" w:hAnsi="Consolas"/>
        </w:rPr>
        <w:br/>
        <w:t xml:space="preserve">                       ON UPDATE CURRENT_TIMESTAMP</w:t>
      </w:r>
      <w:r>
        <w:rPr>
          <w:sz w:val="20"/>
          <w:szCs w:val="20"/>
          <w:rFonts w:ascii="Consolas" w:cs="Consolas" w:eastAsia="Consolas" w:hAnsi="Consolas"/>
        </w:rPr>
        <w:br/>
        <w:t xml:space="preserve">) ENGINE=InnoDB CHARSET=utf8mb4 COLLATE=utf8mb4_unicode_ci;</w:t>
      </w:r>
      <w:r>
        <w:rPr>
          <w:sz w:val="20"/>
          <w:szCs w:val="20"/>
          <w:rFonts w:ascii="Consolas" w:cs="Consolas" w:eastAsia="Consolas" w:hAnsi="Consolas"/>
        </w:rPr>
        <w:br/>
      </w:r>
      <w:r>
        <w:rPr>
          <w:sz w:val="20"/>
          <w:szCs w:val="20"/>
          <w:rFonts w:ascii="Consolas" w:cs="Consolas" w:eastAsia="Consolas" w:hAnsi="Consolas"/>
        </w:rPr>
        <w:br/>
        <w:t xml:space="preserve">CREATE TABLE artisans (</w:t>
      </w:r>
      <w:r>
        <w:rPr>
          <w:sz w:val="20"/>
          <w:szCs w:val="20"/>
          <w:rFonts w:ascii="Consolas" w:cs="Consolas" w:eastAsia="Consolas" w:hAnsi="Consolas"/>
        </w:rPr>
        <w:br/>
        <w:t xml:space="preserve">  id              INT UNSIGNED AUTO_INCREMENT PRIMARY KEY,</w:t>
      </w:r>
      <w:r>
        <w:rPr>
          <w:sz w:val="20"/>
          <w:szCs w:val="20"/>
          <w:rFonts w:ascii="Consolas" w:cs="Consolas" w:eastAsia="Consolas" w:hAnsi="Consolas"/>
        </w:rPr>
        <w:br/>
        <w:t xml:space="preserve">  name            VARCHAR(120) NOT NULL,</w:t>
      </w:r>
      <w:r>
        <w:rPr>
          <w:sz w:val="20"/>
          <w:szCs w:val="20"/>
          <w:rFonts w:ascii="Consolas" w:cs="Consolas" w:eastAsia="Consolas" w:hAnsi="Consolas"/>
        </w:rPr>
        <w:br/>
        <w:t xml:space="preserve">  rating          DECIMAL(2,1) NOT NULL DEFAULT 0.0,</w:t>
      </w:r>
      <w:r>
        <w:rPr>
          <w:sz w:val="20"/>
          <w:szCs w:val="20"/>
          <w:rFonts w:ascii="Consolas" w:cs="Consolas" w:eastAsia="Consolas" w:hAnsi="Consolas"/>
        </w:rPr>
        <w:br/>
        <w:t xml:space="preserve">  city_id         INT UNSIGNED NOT NULL,</w:t>
      </w:r>
      <w:r>
        <w:rPr>
          <w:sz w:val="20"/>
          <w:szCs w:val="20"/>
          <w:rFonts w:ascii="Consolas" w:cs="Consolas" w:eastAsia="Consolas" w:hAnsi="Consolas"/>
        </w:rPr>
        <w:br/>
        <w:t xml:space="preserve">  about           TEXT,</w:t>
      </w:r>
      <w:r>
        <w:rPr>
          <w:sz w:val="20"/>
          <w:szCs w:val="20"/>
          <w:rFonts w:ascii="Consolas" w:cs="Consolas" w:eastAsia="Consolas" w:hAnsi="Consolas"/>
        </w:rPr>
        <w:br/>
        <w:t xml:space="preserve">  email           VARCHAR(180) NOT NULL,</w:t>
      </w:r>
      <w:r>
        <w:rPr>
          <w:sz w:val="20"/>
          <w:szCs w:val="20"/>
          <w:rFonts w:ascii="Consolas" w:cs="Consolas" w:eastAsia="Consolas" w:hAnsi="Consolas"/>
        </w:rPr>
        <w:br/>
        <w:t xml:space="preserve">  website         VARCHAR(255),</w:t>
      </w:r>
      <w:r>
        <w:rPr>
          <w:sz w:val="20"/>
          <w:szCs w:val="20"/>
          <w:rFonts w:ascii="Consolas" w:cs="Consolas" w:eastAsia="Consolas" w:hAnsi="Consolas"/>
        </w:rPr>
        <w:br/>
        <w:t xml:space="preserve">  image_url       VARCHAR(255),</w:t>
      </w:r>
      <w:r>
        <w:rPr>
          <w:sz w:val="20"/>
          <w:szCs w:val="20"/>
          <w:rFonts w:ascii="Consolas" w:cs="Consolas" w:eastAsia="Consolas" w:hAnsi="Consolas"/>
        </w:rPr>
        <w:br/>
        <w:t xml:space="preserve">  specialty_id    INT UNSIGNED NOT NULL,</w:t>
      </w:r>
      <w:r>
        <w:rPr>
          <w:sz w:val="20"/>
          <w:szCs w:val="20"/>
          <w:rFonts w:ascii="Consolas" w:cs="Consolas" w:eastAsia="Consolas" w:hAnsi="Consolas"/>
        </w:rPr>
        <w:br/>
        <w:t xml:space="preserve">  is_top_of_month BOOLEAN NOT NULL DEFAULT FALSE,</w:t>
      </w:r>
      <w:r>
        <w:rPr>
          <w:sz w:val="20"/>
          <w:szCs w:val="20"/>
          <w:rFonts w:ascii="Consolas" w:cs="Consolas" w:eastAsia="Consolas" w:hAnsi="Consolas"/>
        </w:rPr>
        <w:br/>
        <w:t xml:space="preserve">  created_at      DATETIME NOT NULL DEFAULT CURRENT_TIMESTAMP,</w:t>
      </w:r>
      <w:r>
        <w:rPr>
          <w:sz w:val="20"/>
          <w:szCs w:val="20"/>
          <w:rFonts w:ascii="Consolas" w:cs="Consolas" w:eastAsia="Consolas" w:hAnsi="Consolas"/>
        </w:rPr>
        <w:br/>
        <w:t xml:space="preserve">  updated_at      DATETIME NOT NULL DEFAULT CURRENT_TIMESTAMP</w:t>
      </w:r>
      <w:r>
        <w:rPr>
          <w:sz w:val="20"/>
          <w:szCs w:val="20"/>
          <w:rFonts w:ascii="Consolas" w:cs="Consolas" w:eastAsia="Consolas" w:hAnsi="Consolas"/>
        </w:rPr>
        <w:br/>
        <w:t xml:space="preserve">                          ON UPDATE CURRENT_TIMESTAMP,</w:t>
      </w:r>
      <w:r>
        <w:rPr>
          <w:sz w:val="20"/>
          <w:szCs w:val="20"/>
          <w:rFonts w:ascii="Consolas" w:cs="Consolas" w:eastAsia="Consolas" w:hAnsi="Consolas"/>
        </w:rPr>
        <w:br/>
        <w:t xml:space="preserve">  CONSTRAINT chk_rating CHECK (rating BETWEEN 0 AND 5),</w:t>
      </w:r>
      <w:r>
        <w:rPr>
          <w:sz w:val="20"/>
          <w:szCs w:val="20"/>
          <w:rFonts w:ascii="Consolas" w:cs="Consolas" w:eastAsia="Consolas" w:hAnsi="Consolas"/>
        </w:rPr>
        <w:br/>
        <w:t xml:space="preserve">  CONSTRAINT fk_artisan_specialty</w:t>
      </w:r>
      <w:r>
        <w:rPr>
          <w:sz w:val="20"/>
          <w:szCs w:val="20"/>
          <w:rFonts w:ascii="Consolas" w:cs="Consolas" w:eastAsia="Consolas" w:hAnsi="Consolas"/>
        </w:rPr>
        <w:br/>
        <w:t xml:space="preserve">    FOREIGN KEY (specialty_id) REFERENCES specialties(id)</w:t>
      </w:r>
      <w:r>
        <w:rPr>
          <w:sz w:val="20"/>
          <w:szCs w:val="20"/>
          <w:rFonts w:ascii="Consolas" w:cs="Consolas" w:eastAsia="Consolas" w:hAnsi="Consolas"/>
        </w:rPr>
        <w:br/>
        <w:t xml:space="preserve">    ON DELETE RESTRICT ON UPDATE CASCADE,</w:t>
      </w:r>
      <w:r>
        <w:rPr>
          <w:sz w:val="20"/>
          <w:szCs w:val="20"/>
          <w:rFonts w:ascii="Consolas" w:cs="Consolas" w:eastAsia="Consolas" w:hAnsi="Consolas"/>
        </w:rPr>
        <w:br/>
        <w:t xml:space="preserve">  CONSTRAINT fk_artisan_city</w:t>
      </w:r>
      <w:r>
        <w:rPr>
          <w:sz w:val="20"/>
          <w:szCs w:val="20"/>
          <w:rFonts w:ascii="Consolas" w:cs="Consolas" w:eastAsia="Consolas" w:hAnsi="Consolas"/>
        </w:rPr>
        <w:br/>
        <w:t xml:space="preserve">    FOREIGN KEY (city_id) REFERENCES cities(id)</w:t>
      </w:r>
      <w:r>
        <w:rPr>
          <w:sz w:val="20"/>
          <w:szCs w:val="20"/>
          <w:rFonts w:ascii="Consolas" w:cs="Consolas" w:eastAsia="Consolas" w:hAnsi="Consolas"/>
        </w:rPr>
        <w:br/>
        <w:t xml:space="preserve">    ON DELETE RESTRICT ON UPDATE CASCADE</w:t>
      </w:r>
      <w:r>
        <w:rPr>
          <w:sz w:val="20"/>
          <w:szCs w:val="20"/>
          <w:rFonts w:ascii="Consolas" w:cs="Consolas" w:eastAsia="Consolas" w:hAnsi="Consolas"/>
        </w:rPr>
        <w:br/>
        <w:t xml:space="preserve">) ENGINE=InnoDB CHARSET=utf8mb4 COLLATE=utf8mb4_unicode_ci;</w:t>
      </w:r>
    </w:p>
    <w:p>
      <w:pPr>
        <w:spacing w:after="120"/>
        <w:jc w:val="both"/>
      </w:pPr>
      <w:r>
        <w:t xml:space="preserve">Les scripts SQL complets se trouvent dans database/01_schema.sql (création) et database/02_seed.sql (jeu d'essai). Une variante adaptée à un hébergement préfixé (AlwaysData) est disponible dans database/remote/.</w:t>
      </w:r>
    </w:p>
    <w:p>
      <w:pPr>
        <w:pStyle w:val="Heading2"/>
        <w:spacing w:before="240" w:after="120"/>
      </w:pPr>
      <w:r>
        <w:rPr>
          <w:b/>
          <w:bCs/>
        </w:rPr>
        <w:t xml:space="preserve">3.6 Jeu d'essai (données initiales)</w:t>
      </w:r>
    </w:p>
    <w:p>
      <w:pPr>
        <w:spacing w:after="120"/>
        <w:jc w:val="both"/>
      </w:pPr>
      <w:r>
        <w:t xml:space="preserve">Issu du fichier data.xlsx fourni avec le brief :</w:t>
      </w:r>
    </w:p>
    <w:p>
      <w:pPr>
        <w:pStyle w:val="ListParagraph"/>
        <w:numPr>
          <w:ilvl w:val="0"/>
          <w:numId w:val="2"/>
        </w:numPr>
        <w:spacing w:after="80"/>
      </w:pPr>
      <w:r>
        <w:t xml:space="preserve">4 catégories : Bâtiment, Services, Fabrication, Alimentation.</w:t>
      </w:r>
    </w:p>
    <w:p>
      <w:pPr>
        <w:pStyle w:val="ListParagraph"/>
        <w:numPr>
          <w:ilvl w:val="0"/>
          <w:numId w:val="2"/>
        </w:numPr>
        <w:spacing w:after="80"/>
      </w:pPr>
      <w:r>
        <w:t xml:space="preserve">15 spécialités réparties dans les 4 catégories.</w:t>
      </w:r>
    </w:p>
    <w:p>
      <w:pPr>
        <w:pStyle w:val="ListParagraph"/>
        <w:numPr>
          <w:ilvl w:val="0"/>
          <w:numId w:val="2"/>
        </w:numPr>
        <w:spacing w:after="80"/>
      </w:pPr>
      <w:r>
        <w:t xml:space="preserve">14 villes uniques (Lyon revient 3 fois, Valence 2 fois, les autres 1 fois).</w:t>
      </w:r>
    </w:p>
    <w:p>
      <w:pPr>
        <w:pStyle w:val="ListParagraph"/>
        <w:numPr>
          <w:ilvl w:val="0"/>
          <w:numId w:val="2"/>
        </w:numPr>
        <w:spacing w:after="80"/>
      </w:pPr>
      <w:r>
        <w:t xml:space="preserve">17 artisans dont 3 mis en avant comme « artisans du mois ».</w:t>
      </w:r>
    </w:p>
    <w:p>
      <w:pPr>
        <w:pStyle w:val="Heading2"/>
        <w:spacing w:before="240" w:after="120"/>
      </w:pPr>
      <w:r>
        <w:rPr>
          <w:b/>
          <w:bCs/>
        </w:rPr>
        <w:t xml:space="preserve">3.7 Données NoSQL : les avis clients (MongoDB)</w:t>
      </w:r>
    </w:p>
    <w:p>
      <w:pPr>
        <w:spacing w:after="120"/>
        <w:jc w:val="both"/>
      </w:pPr>
      <w:r>
        <w:t xml:space="preserve">En complément de la base relationnelle, les avis déposés par les visiteurs sur la fiche d'un artisan sont stockés dans une base MongoDB, via l'ODM Mongoose. Ce choix répond à l'exigence du référentiel — manipuler des données à la fois SQL et NoSQL — et se justifie par la nature des avis : un schéma souple, appelé à évoluer (par exemple pour accueillir une réponse de l'artisan directement imbriquée dans l'avis), des données lues artisan par artisan sans jointure, et un volume amené à grandir. Les deux bases cohabitent : l'artisan reste en relationnel, ses avis en documentaire, le lien étant assuré par l'identifiant de l'artisan.</w:t>
      </w:r>
    </w:p>
    <w:p>
      <w:pPr>
        <w:shd w:fill="F1F8FC" w:val="clear"/>
        <w:spacing w:after="120"/>
      </w:pPr>
      <w:r>
        <w:rPr>
          <w:sz w:val="20"/>
          <w:szCs w:val="20"/>
          <w:rFonts w:ascii="Consolas" w:cs="Consolas" w:eastAsia="Consolas" w:hAnsi="Consolas"/>
        </w:rPr>
        <w:t xml:space="preserve">const reviewSchema = new mongoose.Schema({</w:t>
      </w:r>
      <w:r>
        <w:rPr>
          <w:sz w:val="20"/>
          <w:szCs w:val="20"/>
          <w:rFonts w:ascii="Consolas" w:cs="Consolas" w:eastAsia="Consolas" w:hAnsi="Consolas"/>
        </w:rPr>
        <w:br/>
        <w:t xml:space="preserve">  artisanId:  { type: Number, required: true, index: true },</w:t>
      </w:r>
      <w:r>
        <w:rPr>
          <w:sz w:val="20"/>
          <w:szCs w:val="20"/>
          <w:rFonts w:ascii="Consolas" w:cs="Consolas" w:eastAsia="Consolas" w:hAnsi="Consolas"/>
        </w:rPr>
        <w:br/>
        <w:t xml:space="preserve">  authorName: { type: String, required: true, minlength: 2, maxlength: 120 },</w:t>
      </w:r>
      <w:r>
        <w:rPr>
          <w:sz w:val="20"/>
          <w:szCs w:val="20"/>
          <w:rFonts w:ascii="Consolas" w:cs="Consolas" w:eastAsia="Consolas" w:hAnsi="Consolas"/>
        </w:rPr>
        <w:br/>
        <w:t xml:space="preserve">  rating:     { type: Number, required: true, min: 1, max: 5 },</w:t>
      </w:r>
      <w:r>
        <w:rPr>
          <w:sz w:val="20"/>
          <w:szCs w:val="20"/>
          <w:rFonts w:ascii="Consolas" w:cs="Consolas" w:eastAsia="Consolas" w:hAnsi="Consolas"/>
        </w:rPr>
        <w:br/>
        <w:t xml:space="preserve">  comment:    { type: String, required: true, minlength: 10, maxlength: 2000 },</w:t>
      </w:r>
      <w:r>
        <w:rPr>
          <w:sz w:val="20"/>
          <w:szCs w:val="20"/>
          <w:rFonts w:ascii="Consolas" w:cs="Consolas" w:eastAsia="Consolas" w:hAnsi="Consolas"/>
        </w:rPr>
        <w:br/>
        <w:t xml:space="preserve">  reply: { message: String, repliedAt: Date }, // reponse eventuelle de l'artisan</w:t>
      </w:r>
      <w:r>
        <w:rPr>
          <w:sz w:val="20"/>
          <w:szCs w:val="20"/>
          <w:rFonts w:ascii="Consolas" w:cs="Consolas" w:eastAsia="Consolas" w:hAnsi="Consolas"/>
        </w:rPr>
        <w:br/>
        <w:t xml:space="preserve">}, { timestamps: true });</w:t>
      </w:r>
    </w:p>
    <w:p>
      <w:pPr>
        <w:spacing w:after="120"/>
        <w:jc w:val="both"/>
      </w:pPr>
      <w:r>
        <w:t xml:space="preserve">La connexion à MongoDB est volontairement non bloquante : si la base NoSQL est momentanément indisponible, l'API relationnelle continue de fonctionner et les routes d'avis renvoient un code 503 explicite.</w:t>
      </w:r>
    </w:p>
    <w:p>
      <w:pPr>
        <w:pStyle w:val="Heading2"/>
        <w:spacing w:before="240" w:after="120"/>
      </w:pPr>
      <w:r>
        <w:rPr>
          <w:b/>
          <w:bCs/>
        </w:rPr>
        <w:t xml:space="preserve">3.8 Composants d'accès aux données (SQL et NoSQL)</w:t>
      </w:r>
    </w:p>
    <w:p>
      <w:pPr>
        <w:spacing w:after="120"/>
        <w:jc w:val="both"/>
      </w:pPr>
      <w:r>
        <w:t xml:space="preserve">L'accès aux données est isolé dans une couche de services, séparée des contrôleurs. Côté relationnel, les services s'appuient sur Sequelize, qui génère des requêtes paramétrées. Côté documentaire, un service dédié interroge MongoDB. Les deux exposent le même type d'interface aux contrôleurs, ce qui garde le code homogène malgré les deux technologies de stockage.</w:t>
      </w:r>
    </w:p>
    <w:p>
      <w:pPr>
        <w:shd w:fill="F1F8FC" w:val="clear"/>
        <w:spacing w:after="120"/>
      </w:pPr>
      <w:r>
        <w:rPr>
          <w:sz w:val="20"/>
          <w:szCs w:val="20"/>
          <w:rFonts w:ascii="Consolas" w:cs="Consolas" w:eastAsia="Consolas" w:hAnsi="Consolas"/>
        </w:rPr>
        <w:t xml:space="preserve">// Acces SQL (Sequelize) - liste filtree des artisans</w:t>
      </w:r>
      <w:r>
        <w:rPr>
          <w:sz w:val="20"/>
          <w:szCs w:val="20"/>
          <w:rFonts w:ascii="Consolas" w:cs="Consolas" w:eastAsia="Consolas" w:hAnsi="Consolas"/>
        </w:rPr>
        <w:br/>
        <w:t xml:space="preserve">const results = await Artisan.findAll({</w:t>
      </w:r>
      <w:r>
        <w:rPr>
          <w:sz w:val="20"/>
          <w:szCs w:val="20"/>
          <w:rFonts w:ascii="Consolas" w:cs="Consolas" w:eastAsia="Consolas" w:hAnsi="Consolas"/>
        </w:rPr>
        <w:br/>
        <w:t xml:space="preserve">  where,</w:t>
      </w:r>
      <w:r>
        <w:rPr>
          <w:sz w:val="20"/>
          <w:szCs w:val="20"/>
          <w:rFonts w:ascii="Consolas" w:cs="Consolas" w:eastAsia="Consolas" w:hAnsi="Consolas"/>
        </w:rPr>
        <w:br/>
        <w:t xml:space="preserve">  include: fullInclude,</w:t>
      </w:r>
      <w:r>
        <w:rPr>
          <w:sz w:val="20"/>
          <w:szCs w:val="20"/>
          <w:rFonts w:ascii="Consolas" w:cs="Consolas" w:eastAsia="Consolas" w:hAnsi="Consolas"/>
        </w:rPr>
        <w:br/>
        <w:t xml:space="preserve">  order: [['rating', 'DESC'], ['name', 'ASC']],</w:t>
      </w:r>
      <w:r>
        <w:rPr>
          <w:sz w:val="20"/>
          <w:szCs w:val="20"/>
          <w:rFonts w:ascii="Consolas" w:cs="Consolas" w:eastAsia="Consolas" w:hAnsi="Consolas"/>
        </w:rPr>
        <w:br/>
        <w:t xml:space="preserve">});</w:t>
      </w:r>
    </w:p>
    <w:p>
      <w:pPr>
        <w:shd w:fill="F1F8FC" w:val="clear"/>
        <w:spacing w:after="120"/>
      </w:pPr>
      <w:r>
        <w:rPr>
          <w:sz w:val="20"/>
          <w:szCs w:val="20"/>
          <w:rFonts w:ascii="Consolas" w:cs="Consolas" w:eastAsia="Consolas" w:hAnsi="Consolas"/>
        </w:rPr>
        <w:t xml:space="preserve">// Acces NoSQL (Mongoose) - avis d'un artisan + moyenne par agregation</w:t>
      </w:r>
      <w:r>
        <w:rPr>
          <w:sz w:val="20"/>
          <w:szCs w:val="20"/>
          <w:rFonts w:ascii="Consolas" w:cs="Consolas" w:eastAsia="Consolas" w:hAnsi="Consolas"/>
        </w:rPr>
        <w:br/>
        <w:t xml:space="preserve">const items = await Review.find({ artisanId }).sort({ createdAt: -1 }).lean();</w:t>
      </w:r>
      <w:r>
        <w:rPr>
          <w:sz w:val="20"/>
          <w:szCs w:val="20"/>
          <w:rFonts w:ascii="Consolas" w:cs="Consolas" w:eastAsia="Consolas" w:hAnsi="Consolas"/>
        </w:rPr>
        <w:br/>
        <w:t xml:space="preserve">const [stats] = await Review.aggregate([</w:t>
      </w:r>
      <w:r>
        <w:rPr>
          <w:sz w:val="20"/>
          <w:szCs w:val="20"/>
          <w:rFonts w:ascii="Consolas" w:cs="Consolas" w:eastAsia="Consolas" w:hAnsi="Consolas"/>
        </w:rPr>
        <w:br/>
        <w:t xml:space="preserve">  { $match: { artisanId } },</w:t>
      </w:r>
      <w:r>
        <w:rPr>
          <w:sz w:val="20"/>
          <w:szCs w:val="20"/>
          <w:rFonts w:ascii="Consolas" w:cs="Consolas" w:eastAsia="Consolas" w:hAnsi="Consolas"/>
        </w:rPr>
        <w:br/>
        <w:t xml:space="preserve">  { $group: { _id: '$artisanId', average: { $avg: '$rating' }, count: { $sum: 1 } } },</w:t>
      </w:r>
      <w:r>
        <w:rPr>
          <w:sz w:val="20"/>
          <w:szCs w:val="20"/>
          <w:rFonts w:ascii="Consolas" w:cs="Consolas" w:eastAsia="Consolas" w:hAnsi="Consolas"/>
        </w:rPr>
        <w:br/>
        <w:t xml:space="preserve">]);</w:t>
      </w:r>
    </w:p>
    <w:p>
      <w:pPr>
        <w:pStyle w:val="Heading2"/>
        <w:spacing w:before="240" w:after="120"/>
      </w:pPr>
      <w:r>
        <w:rPr>
          <w:b/>
          <w:bCs/>
        </w:rPr>
        <w:t xml:space="preserve">3.9 Composants métier côté serveur</w:t>
      </w:r>
    </w:p>
    <w:p>
      <w:pPr>
        <w:spacing w:after="120"/>
        <w:jc w:val="both"/>
      </w:pPr>
      <w:r>
        <w:t xml:space="preserve">La logique métier est portée par les services, jamais par les contrôleurs, qui se contentent de lire la requête et de mettre en forme la réponse. La création d'un avis illustre la collaboration des deux bases : le service vérifie d'abord, côté relationnel, que l'artisan existe, avant d'enregistrer l'avis côté MongoDB.</w:t>
      </w:r>
    </w:p>
    <w:p>
      <w:pPr>
        <w:shd w:fill="F1F8FC" w:val="clear"/>
        <w:spacing w:after="120"/>
      </w:pPr>
      <w:r>
        <w:rPr>
          <w:sz w:val="20"/>
          <w:szCs w:val="20"/>
          <w:rFonts w:ascii="Consolas" w:cs="Consolas" w:eastAsia="Consolas" w:hAnsi="Consolas"/>
        </w:rPr>
        <w:t xml:space="preserve">async function createReview(artisanId, { authorName, rating, comment }) {</w:t>
      </w:r>
      <w:r>
        <w:rPr>
          <w:sz w:val="20"/>
          <w:szCs w:val="20"/>
          <w:rFonts w:ascii="Consolas" w:cs="Consolas" w:eastAsia="Consolas" w:hAnsi="Consolas"/>
        </w:rPr>
        <w:br/>
        <w:t xml:space="preserve">  const artisan = await Artisan.findByPk(artisanId);   // verification cote SQL</w:t>
      </w:r>
      <w:r>
        <w:rPr>
          <w:sz w:val="20"/>
          <w:szCs w:val="20"/>
          <w:rFonts w:ascii="Consolas" w:cs="Consolas" w:eastAsia="Consolas" w:hAnsi="Consolas"/>
        </w:rPr>
        <w:br/>
        <w:t xml:space="preserve">  if (!artisan) return { notFound: true };</w:t>
      </w:r>
      <w:r>
        <w:rPr>
          <w:sz w:val="20"/>
          <w:szCs w:val="20"/>
          <w:rFonts w:ascii="Consolas" w:cs="Consolas" w:eastAsia="Consolas" w:hAnsi="Consolas"/>
        </w:rPr>
        <w:br/>
        <w:t xml:space="preserve">  const review = await Review.create({ artisanId, authorName, rating, comment }); // ecriture NoSQL</w:t>
      </w:r>
      <w:r>
        <w:rPr>
          <w:sz w:val="20"/>
          <w:szCs w:val="20"/>
          <w:rFonts w:ascii="Consolas" w:cs="Consolas" w:eastAsia="Consolas" w:hAnsi="Consolas"/>
        </w:rPr>
        <w:br/>
        <w:t xml:space="preserve">  return { review };</w:t>
      </w:r>
      <w:r>
        <w:rPr>
          <w:sz w:val="20"/>
          <w:szCs w:val="20"/>
          <w:rFonts w:ascii="Consolas" w:cs="Consolas" w:eastAsia="Consolas" w:hAnsi="Consolas"/>
        </w:rPr>
        <w:br/>
        <w:t xml:space="preserve">}</w:t>
      </w:r>
    </w:p>
    <w:p>
      <w:pPr>
        <w:pStyle w:val="Heading2"/>
        <w:spacing w:before="240" w:after="120"/>
      </w:pPr>
      <w:r>
        <w:rPr>
          <w:b/>
          <w:bCs/>
        </w:rPr>
        <w:t xml:space="preserve">3.10 Jeu d'essai de la fonctionnalité la plus représentative</w:t>
      </w:r>
    </w:p>
    <w:p>
      <w:pPr>
        <w:spacing w:after="120"/>
        <w:jc w:val="both"/>
      </w:pPr>
      <w:r>
        <w:t xml:space="preserve">La fonctionnalité retenue est le dépôt d'un avis sur la fiche d'un artisan, suivi de sa relecture. Elle est représentative car elle mobilise à la fois le front-end (formulaire React), le back-end (validation, logique métier) et les deux bases de données : lecture de l'artisan en SQL, écriture puis lecture de l'avis en NoSQL.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Rubrique</w:t>
            </w:r>
          </w:p>
        </w:tc>
        <w:tc>
          <w:tcPr>
            <w:tcW w:type="dxa" w:w="69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Détail</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Objectif</w:t>
            </w:r>
          </w:p>
        </w:tc>
        <w:tc>
          <w:tcPr>
            <w:tcW w:type="dxa" w:w="69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Vérifier qu'un avis valide est bien enregistré côté MongoDB et que la note moyenne de l'artisan est recalculée.</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Données en entrée</w:t>
            </w:r>
          </w:p>
        </w:tc>
        <w:tc>
          <w:tcPr>
            <w:tcW w:type="dxa" w:w="69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POST /api/artisans/1/reviews avec authorName « Claire », rating 5, comment « Travail impeccable et très soigné. »</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Données attendues</w:t>
            </w:r>
          </w:p>
        </w:tc>
        <w:tc>
          <w:tcPr>
            <w:tcW w:type="dxa" w:w="69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Réponse 201 et avis créé ; un GET ultérieur renvoie l'avis et une note moyenne cohérente.</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Données obtenues</w:t>
            </w:r>
          </w:p>
        </w:tc>
        <w:tc>
          <w:tcPr>
            <w:tcW w:type="dxa" w:w="69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Réponse 201 { success: true, review: {...} } ; le GET renvoie { count: 1, average: 5 }.</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Analyse des écarts</w:t>
            </w:r>
          </w:p>
        </w:tc>
        <w:tc>
          <w:tcPr>
            <w:tcW w:type="dxa" w:w="69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Aucun écart : le résultat obtenu est conforme à l'attendu. Les cas limites ont aussi été vérifiés (saisie invalide vers 400, base NoSQL indisponible vers 503).</w:t>
            </w:r>
          </w:p>
        </w:tc>
      </w:tr>
    </w:tbl>
    <w:p>
      <w:pPr>
        <w:pStyle w:val="Heading2"/>
        <w:spacing w:before="240" w:after="120"/>
      </w:pPr>
      <w:r>
        <w:rPr>
          <w:b/>
          <w:bCs/>
        </w:rPr>
        <w:t xml:space="preserve">3.11 Tests automatisés</w:t>
      </w:r>
    </w:p>
    <w:p>
      <w:pPr>
        <w:spacing w:after="120"/>
        <w:jc w:val="both"/>
      </w:pPr>
      <w:r>
        <w:t xml:space="preserve">Au-delà des tests de sécurité manuels (détaillés dans la veille), l'API est couverte par une suite de tests automatisés, exécutée avec Mocha, Chai et Supertest. La base relationnelle de test utilise SQLite en mémoire et la base NoSQL un serveur MongoDB éphémère : les tests sont ainsi rapides et isolés, sans toucher à aucune base réelle. La suite couvre les trois volets du projet.</w:t>
      </w:r>
    </w:p>
    <w:p>
      <w:pPr>
        <w:pStyle w:val="ListParagraph"/>
        <w:numPr>
          <w:ilvl w:val="0"/>
          <w:numId w:val="2"/>
        </w:numPr>
        <w:spacing w:after="80"/>
      </w:pPr>
      <w:r>
        <w:t xml:space="preserve">Artisans (SQL) : liste, fiche détaillée, artisan introuvable, recherche sans résultat.</w:t>
      </w:r>
    </w:p>
    <w:p>
      <w:pPr>
        <w:pStyle w:val="ListParagraph"/>
        <w:numPr>
          <w:ilvl w:val="0"/>
          <w:numId w:val="2"/>
        </w:numPr>
        <w:spacing w:after="80"/>
      </w:pPr>
      <w:r>
        <w:t xml:space="preserve">Avis (NoSQL) : liste vide au départ, dépôt d'un avis, recalcul de la note moyenne, artisan inexistant.</w:t>
      </w:r>
    </w:p>
    <w:p>
      <w:pPr>
        <w:pStyle w:val="ListParagraph"/>
        <w:numPr>
          <w:ilvl w:val="0"/>
          <w:numId w:val="2"/>
        </w:numPr>
        <w:spacing w:after="80"/>
      </w:pPr>
      <w:r>
        <w:t xml:space="preserve">Sécurité : accès refusé sans clé d'API ou avec une mauvaise clé, validation des entrées, route de santé publique.</w:t>
      </w:r>
    </w:p>
    <w:p>
      <w:pPr>
        <w:spacing w:after="120"/>
        <w:jc w:val="both"/>
      </w:pPr>
      <w:r>
        <w:t xml:space="preserve">La suite compte onze tests, tous au vert (commande npm test).</w:t>
      </w:r>
    </w:p>
    <w:p>
      <w:r>
        <w:br w:type="page"/>
      </w:r>
    </w:p>
    <w:p>
      <w:pPr>
        <w:pStyle w:val="Heading1"/>
        <w:spacing w:before="360" w:after="180"/>
      </w:pPr>
      <w:r>
        <w:rPr>
          <w:b/>
          <w:bCs/>
        </w:rPr>
        <w:t xml:space="preserve">4. Sécurité</w:t>
      </w:r>
    </w:p>
    <w:p>
      <w:pPr>
        <w:spacing w:after="120"/>
        <w:jc w:val="both"/>
      </w:pPr>
      <w:r>
        <w:t xml:space="preserve">La sécurité est une exigence majeure de la région (collectivité publique). Plusieurs couches ont été mises en place, depuis l’accès réseau jusqu’à la base de données, en suivant les recommandations de l’OWASP Top 10 (2021).</w:t>
      </w:r>
    </w:p>
    <w:p>
      <w:pPr>
        <w:pStyle w:val="Heading2"/>
        <w:spacing w:before="240" w:after="120"/>
      </w:pPr>
      <w:r>
        <w:rPr>
          <w:b/>
          <w:bCs/>
        </w:rPr>
        <w:t xml:space="preserve">4.1 Synthèse des mesures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360"/>
      </w:tblGrid>
      <w:tr>
        <w:trPr>
          <w:tblHeader/>
        </w:trPr>
        <w:tc>
          <w:tcPr>
            <w:tcW w:type="dxa" w:w="24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Mesure</w:t>
            </w:r>
          </w:p>
        </w:tc>
        <w:tc>
          <w:tcPr>
            <w:tcW w:type="dxa" w:w="36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Mise en œuvre</w:t>
            </w:r>
          </w:p>
        </w:tc>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Intérêt</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Clé d’API partagée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Middleware Express vérifiant l’en-tête x-api-key (comparaison à temps constant via crypto.timingSafeEqual).</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Restreint l’accès de l’API à la seule application web (exigence du brief).</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CORS allowlist</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Politique CORS limitée aux origines listées dans CORS_ORIGIN ; méthodes restreintes à GET et POST.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Empêche tout site tiers d’appeler l’API depuis un navigateur.</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Helmet</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En-têtes HTTP : nosniff, no-referrer, HSTS, X-Frame-Options…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Bouche les défauts de configuration HTTP courants (sniffing MIME, downgrade TLS, fuite de referer).</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Rate limiting</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express-rate-limit : 100 req/15 min global, 5 req/15 min sur le formulaire de contact.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Empêche le spam et la force brute sur la clé d’API.</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Validation des entrées</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express-validator côté serveur + validation HTML5/JS côté client.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Évite les données malformées, prépare le terrain contre XSS et injection.</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Anti-injection SQL</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Accès BDD via Sequelize (requêtes paramétrées). Aucun assemblage manuel.</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Empêche l’injection SQL (OWASP A03).</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Privilèges BDD minimaux</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Compte applicatif (ttartisan_app) limité à SELECT/INSERT/UPDATE/DELETE.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Limite l’impact d’une compromission de la couche applicative.</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Secrets en variables d’env.</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dotenv + .env hors du dépôt (.gitignore).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Pas de secret dans le code, rotation facile.</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HTTPS obligatoire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TLS terminé par l’hébergeur ; HSTS via Helmet.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Confidentialité et intégrité des échanges (notamment du formulaire).</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Taille des requêtes</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express.json({ limit: '32kb' }).</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Protection basique contre les payloads abusifs.</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Gestion d’erreurs centralisée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Middleware errorHandler qui masque les détails techniques en production.</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Pas de fuite de stack trace ou de schéma BDD.</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Traçabilité</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Table contact_messages : enregistrement systématique des messages envoyés.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Auditabilité en cas d’incident (spam, réclamation).</w:t>
            </w:r>
          </w:p>
        </w:tc>
      </w:tr>
    </w:tbl>
    <w:p>
      <w:pPr>
        <w:pStyle w:val="Heading2"/>
        <w:spacing w:before="240" w:after="120"/>
      </w:pPr>
      <w:r>
        <w:rPr>
          <w:b/>
          <w:bCs/>
        </w:rPr>
        <w:t xml:space="preserve">4.2 Détail des principales mesures</w:t>
      </w:r>
    </w:p>
    <w:p>
      <w:pPr>
        <w:pStyle w:val="Heading3"/>
        <w:spacing w:before="200" w:after="100"/>
      </w:pPr>
      <w:r>
        <w:rPr>
          <w:b/>
          <w:bCs/>
        </w:rPr>
        <w:t xml:space="preserve">4.2.1 Authentification de l’application par clé d’API</w:t>
      </w:r>
    </w:p>
    <w:p>
      <w:pPr>
        <w:spacing w:after="120"/>
        <w:jc w:val="both"/>
      </w:pPr>
      <w:r>
        <w:t xml:space="preserve">Le brief impose que l’API soit accessible uniquement à l’application. Un middleware Express vérifie l’en-tête x-api-key envoyé par le client. La comparaison est effectuée à temps constant (Node crypto.timingSafeEqual) pour éviter les attaques par mesure de temps de réponse. La clé est stockée côté serveur et côté client uniquement dans des variables d’environnement.</w:t>
      </w:r>
    </w:p>
    <w:p>
      <w:pPr>
        <w:pStyle w:val="Heading3"/>
        <w:spacing w:before="200" w:after="100"/>
      </w:pPr>
      <w:r>
        <w:rPr>
          <w:b/>
          <w:bCs/>
        </w:rPr>
        <w:t xml:space="preserve">4.2.2 Politique CORS restrictive</w:t>
      </w:r>
    </w:p>
    <w:p>
      <w:pPr>
        <w:spacing w:after="120"/>
        <w:jc w:val="both"/>
      </w:pPr>
      <w:r>
        <w:t xml:space="preserve">Les requêtes XHR/Fetch sont autorisées uniquement depuis les origines listées dans la variable CORS_ORIGIN (le domaine du frontend en production et localhost en développement). Toute autre origine reçoit une erreur CORS du navigateur.</w:t>
      </w:r>
    </w:p>
    <w:p>
      <w:pPr>
        <w:pStyle w:val="Heading3"/>
        <w:spacing w:before="200" w:after="100"/>
      </w:pPr>
      <w:r>
        <w:rPr>
          <w:b/>
          <w:bCs/>
        </w:rPr>
        <w:t xml:space="preserve">4.2.3 Protection des données utilisateur</w:t>
      </w:r>
    </w:p>
    <w:p>
      <w:pPr>
        <w:spacing w:after="120"/>
        <w:jc w:val="both"/>
      </w:pPr>
      <w:r>
        <w:t xml:space="preserve">Le formulaire de contact collecte le strict minimum (nom, e-mail, objet, message). La table contact_messages enregistre ces données pour traçabilité. Une politique de purge automatique (par exemple 12 mois glissants) pourra être ajoutée. La page « Données personnelles » sera complétée par un cabinet spécialisé conformément au RGPD.</w:t>
      </w:r>
    </w:p>
    <w:p>
      <w:pPr>
        <w:pStyle w:val="Heading3"/>
        <w:spacing w:before="200" w:after="100"/>
      </w:pPr>
      <w:r>
        <w:rPr>
          <w:b/>
          <w:bCs/>
        </w:rPr>
        <w:t xml:space="preserve">4.2.4 Limitation du débit et anti-spam</w:t>
      </w:r>
    </w:p>
    <w:p>
      <w:pPr>
        <w:spacing w:after="120"/>
        <w:jc w:val="both"/>
      </w:pPr>
      <w:r>
        <w:t xml:space="preserve">Au-delà du middleware global, la route POST /api/artisans/:id/contact applique une limite plus stricte (5 envois / 15 min / IP). Couplé au caractère obligatoire de la clé d’API, cela rend extrêmement coûteuses les tentatives de spam massif des artisans.</w:t>
      </w:r>
    </w:p>
    <w:p>
      <w:r>
        <w:br w:type="page"/>
      </w:r>
    </w:p>
    <w:p>
      <w:pPr>
        <w:pStyle w:val="Heading1"/>
        <w:spacing w:before="360" w:after="180"/>
      </w:pPr>
      <w:r>
        <w:rPr>
          <w:b/>
          <w:bCs/>
        </w:rPr>
        <w:t xml:space="preserve">5. Veille de sécurité</w:t>
      </w:r>
    </w:p>
    <w:p>
      <w:pPr>
        <w:pStyle w:val="Heading2"/>
        <w:spacing w:before="240" w:after="120"/>
      </w:pPr>
      <w:r>
        <w:rPr>
          <w:b/>
          <w:bCs/>
        </w:rPr>
        <w:t xml:space="preserve">5.1 Sources consultées</w:t>
      </w:r>
    </w:p>
    <w:p>
      <w:pPr>
        <w:pStyle w:val="ListParagraph"/>
        <w:numPr>
          <w:ilvl w:val="0"/>
          <w:numId w:val="2"/>
        </w:numPr>
        <w:spacing w:after="80"/>
      </w:pPr>
      <w:r>
        <w:t xml:space="preserve">OWASP Top 10 (2021) — vulnérabilités web et recommandations.</w:t>
      </w:r>
    </w:p>
    <w:p>
      <w:pPr>
        <w:pStyle w:val="ListParagraph"/>
        <w:numPr>
          <w:ilvl w:val="0"/>
          <w:numId w:val="2"/>
        </w:numPr>
        <w:spacing w:after="80"/>
      </w:pPr>
      <w:r>
        <w:t xml:space="preserve">OWASP Cheat Sheets — fiches pratiques.</w:t>
      </w:r>
    </w:p>
    <w:p>
      <w:pPr>
        <w:pStyle w:val="ListParagraph"/>
        <w:numPr>
          <w:ilvl w:val="0"/>
          <w:numId w:val="2"/>
        </w:numPr>
        <w:spacing w:after="80"/>
      </w:pPr>
      <w:r>
        <w:t xml:space="preserve">Snyk Vulnerability DB &amp; GitHub Security Advisories — CVE des paquets npm utilisés.</w:t>
      </w:r>
    </w:p>
    <w:p>
      <w:pPr>
        <w:pStyle w:val="ListParagraph"/>
        <w:numPr>
          <w:ilvl w:val="0"/>
          <w:numId w:val="2"/>
        </w:numPr>
        <w:spacing w:after="80"/>
      </w:pPr>
      <w:r>
        <w:t xml:space="preserve">CNIL — bonnes pratiques RGPD pour les formulaires.</w:t>
      </w:r>
    </w:p>
    <w:p>
      <w:pPr>
        <w:pStyle w:val="ListParagraph"/>
        <w:numPr>
          <w:ilvl w:val="0"/>
          <w:numId w:val="2"/>
        </w:numPr>
        <w:spacing w:after="80"/>
      </w:pPr>
      <w:r>
        <w:t xml:space="preserve">W3C — WCAG 2.1 (accessibilité, imposé par le brief).</w:t>
      </w:r>
    </w:p>
    <w:p>
      <w:pPr>
        <w:pStyle w:val="ListParagraph"/>
        <w:numPr>
          <w:ilvl w:val="0"/>
          <w:numId w:val="2"/>
        </w:numPr>
        <w:spacing w:after="80"/>
      </w:pPr>
      <w:r>
        <w:t xml:space="preserve">MDN Web Docs — détails sur les en-têtes HTTP de sécurité (CSP, HSTS, etc.).</w:t>
      </w:r>
    </w:p>
    <w:p>
      <w:pPr>
        <w:pStyle w:val="Heading2"/>
        <w:spacing w:before="240" w:after="120"/>
      </w:pPr>
      <w:r>
        <w:rPr>
          <w:b/>
          <w:bCs/>
        </w:rPr>
        <w:t xml:space="preserve">5.2 Vulnérabilités OWASP étudiées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Vulnérabilité</w:t>
            </w:r>
          </w:p>
        </w:tc>
        <w:tc>
          <w:tcPr>
            <w:tcW w:type="dxa" w:w="6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Mesure prise</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A01 Broken Access Control</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Clé d’API obligatoire, pas de session, pas d’admin exposé.</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A02 Cryptographic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HTTPS + HSTS, secrets en variables d’environnement, comparaison à temps constant.</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A03 Injection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Sequelize (paramétré), express-validator, échappement React.</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A04 Insecure Design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Modèle simple, contraintes BDD, moindre privilège.</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A05 Security Misconfiguration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Helmet, x-powered-by désactivé, errorHandler discret en production.</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A06 Vulnerable Components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npm audit, dépendances à jour, lockfile commité.</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A07 Auth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Pas d’espace membre, rate limiting, clé longue et aléatoire.</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A08 Software Integrity</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package-lock.json versionné, sources officielles npm.</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A09 Logging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Morgan en logs HTTP, traçabilité des messages.</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A10 SSRF</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Aucune requête sortante déclenchée par des données utilisateur.</w:t>
            </w:r>
          </w:p>
        </w:tc>
      </w:tr>
    </w:tbl>
    <w:p>
      <w:pPr>
        <w:pStyle w:val="Heading2"/>
        <w:spacing w:before="240" w:after="120"/>
      </w:pPr>
      <w:r>
        <w:rPr>
          <w:b/>
          <w:bCs/>
        </w:rPr>
        <w:t xml:space="preserve">5.3 Tests effectués sur le projet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Test</w:t>
            </w:r>
          </w:p>
        </w:tc>
        <w:tc>
          <w:tcPr>
            <w:tcW w:type="dxa" w:w="3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Résultat attendu</w:t>
            </w:r>
          </w:p>
        </w:tc>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Résultat obtenu</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Injection SQL via ?q='OR 1=1--</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Aucune ligne supplémentaire renvoyée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Sequelize paramétré</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XSS via formulaire de contact</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Texte stocké tel quel, non exécuté</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React échappe automatiquement</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Appel sans clé d’API</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401 Unauthorized</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middleware apiKey</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Origine non autorisée</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Erreur CORS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Spam du formulaire (&gt;5/15 min)</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429 Too Many Requests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express-rate-limit</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Payload JSON &gt; 32 ko</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Refus 413</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express.json limit</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npm audit (front + back)</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Aucune vuln. critique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au moment du rendu</w:t>
            </w:r>
          </w:p>
        </w:tc>
      </w:tr>
    </w:tbl>
    <w:p>
      <w:pPr>
        <w:pStyle w:val="Heading2"/>
        <w:spacing w:before="240" w:after="120"/>
      </w:pPr>
      <w:r>
        <w:rPr>
          <w:b/>
          <w:bCs/>
        </w:rPr>
        <w:t xml:space="preserve">5.4 Vulnérabilités corrigées en cours de développement</w:t>
      </w:r>
    </w:p>
    <w:p>
      <w:pPr>
        <w:pStyle w:val="ListParagraph"/>
        <w:numPr>
          <w:ilvl w:val="0"/>
          <w:numId w:val="2"/>
        </w:numPr>
        <w:spacing w:after="80"/>
      </w:pPr>
      <w:r>
        <w:t xml:space="preserve">Comparaison naïve de la clé d’API remplacée par crypto.timingSafeEqual (anti-timing attack).</w:t>
      </w:r>
    </w:p>
    <w:p>
      <w:pPr>
        <w:pStyle w:val="ListParagraph"/>
        <w:numPr>
          <w:ilvl w:val="0"/>
          <w:numId w:val="2"/>
        </w:numPr>
        <w:spacing w:after="80"/>
      </w:pPr>
      <w:r>
        <w:t xml:space="preserve">Ajout d’un handler explicite pour les 404 API afin d’éviter toute fuite de stack Express.</w:t>
      </w:r>
    </w:p>
    <w:p>
      <w:pPr>
        <w:pStyle w:val="ListParagraph"/>
        <w:numPr>
          <w:ilvl w:val="0"/>
          <w:numId w:val="2"/>
        </w:numPr>
        <w:spacing w:after="80"/>
      </w:pPr>
      <w:r>
        <w:t xml:space="preserve">Désactivation de l’en-tête X-Powered-By d’Express.</w:t>
      </w:r>
    </w:p>
    <w:p>
      <w:pPr>
        <w:pStyle w:val="ListParagraph"/>
        <w:numPr>
          <w:ilvl w:val="0"/>
          <w:numId w:val="2"/>
        </w:numPr>
        <w:spacing w:after="80"/>
      </w:pPr>
      <w:r>
        <w:t xml:space="preserve">Aucun usage de dangerouslySetInnerHTML côté React (XSS stocké/réfléchi).</w:t>
      </w:r>
    </w:p>
    <w:p>
      <w:r>
        <w:br w:type="page"/>
      </w:r>
    </w:p>
    <w:p>
      <w:pPr>
        <w:pStyle w:val="Heading1"/>
        <w:spacing w:before="360" w:after="180"/>
      </w:pPr>
      <w:r>
        <w:rPr>
          <w:b/>
          <w:bCs/>
        </w:rPr>
        <w:t xml:space="preserve">6. Liens du projet</w:t>
      </w:r>
    </w:p>
    <w:p>
      <w:pPr>
        <w:pStyle w:val="Heading2"/>
        <w:spacing w:before="240" w:after="120"/>
      </w:pPr>
      <w:r>
        <w:rPr>
          <w:b/>
          <w:bCs/>
        </w:rPr>
        <w:t xml:space="preserve">6.1 Dépôt GitHub</w:t>
      </w:r>
    </w:p>
    <w:p>
      <w:pPr>
        <w:spacing w:after="120"/>
      </w:pPr>
      <w:r>
        <w:t xml:space="preserve">Le dépôt est public et contient l’intégralité du code, les scripts SQL et le README.md : </w:t>
      </w:r>
      <w:hyperlink w:history="1" r:id="rIddy1e204hmbxpfconzga5q">
        <w:r>
          <w:rPr>
            <w:rStyle w:val="Hyperlink"/>
          </w:rPr>
          <w:t xml:space="preserve">https://github.com/Sylvain13bdr/trouve-ton-artisan</w:t>
        </w:r>
      </w:hyperlink>
    </w:p>
    <w:p>
      <w:pPr>
        <w:spacing w:after="120"/>
        <w:jc w:val="both"/>
      </w:pPr>
      <w:r>
        <w:t xml:space="preserve">Contenu du dépôt :</w:t>
      </w:r>
    </w:p>
    <w:p>
      <w:pPr>
        <w:pStyle w:val="ListParagraph"/>
        <w:numPr>
          <w:ilvl w:val="0"/>
          <w:numId w:val="2"/>
        </w:numPr>
        <w:spacing w:after="80"/>
      </w:pPr>
      <w:r>
        <w:t xml:space="preserve">backend/ — API Express + Sequelize.</w:t>
      </w:r>
    </w:p>
    <w:p>
      <w:pPr>
        <w:pStyle w:val="ListParagraph"/>
        <w:numPr>
          <w:ilvl w:val="0"/>
          <w:numId w:val="2"/>
        </w:numPr>
        <w:spacing w:after="80"/>
      </w:pPr>
      <w:r>
        <w:t xml:space="preserve">frontend/ — Application React + Bootstrap + Sass.</w:t>
      </w:r>
    </w:p>
    <w:p>
      <w:pPr>
        <w:pStyle w:val="ListParagraph"/>
        <w:numPr>
          <w:ilvl w:val="0"/>
          <w:numId w:val="2"/>
        </w:numPr>
        <w:spacing w:after="80"/>
      </w:pPr>
      <w:r>
        <w:t xml:space="preserve">database/01_schema.sql — Création de la base de données (version XAMPP locale).</w:t>
      </w:r>
    </w:p>
    <w:p>
      <w:pPr>
        <w:pStyle w:val="ListParagraph"/>
        <w:numPr>
          <w:ilvl w:val="0"/>
          <w:numId w:val="2"/>
        </w:numPr>
        <w:spacing w:after="80"/>
      </w:pPr>
      <w:r>
        <w:t xml:space="preserve">database/02_seed.sql — Alimentation (17 artisans).</w:t>
      </w:r>
    </w:p>
    <w:p>
      <w:pPr>
        <w:pStyle w:val="ListParagraph"/>
        <w:numPr>
          <w:ilvl w:val="0"/>
          <w:numId w:val="2"/>
        </w:numPr>
        <w:spacing w:after="80"/>
      </w:pPr>
      <w:r>
        <w:t xml:space="preserve">database/remote/ — Variantes des scripts SQL pour hébergement distant (AlwaysData).</w:t>
      </w:r>
    </w:p>
    <w:p>
      <w:pPr>
        <w:pStyle w:val="ListParagraph"/>
        <w:numPr>
          <w:ilvl w:val="0"/>
          <w:numId w:val="2"/>
        </w:numPr>
        <w:spacing w:after="80"/>
      </w:pPr>
      <w:r>
        <w:t xml:space="preserve">docs/ — Documentation technique (sécurité, veille, BDD, maquettes).</w:t>
      </w:r>
    </w:p>
    <w:p>
      <w:pPr>
        <w:pStyle w:val="ListParagraph"/>
        <w:numPr>
          <w:ilvl w:val="0"/>
          <w:numId w:val="2"/>
        </w:numPr>
        <w:spacing w:after="80"/>
      </w:pPr>
      <w:r>
        <w:t xml:space="preserve">README.md — Prérequis, installation, lancement.</w:t>
      </w:r>
    </w:p>
    <w:p>
      <w:pPr>
        <w:pStyle w:val="Heading2"/>
        <w:spacing w:before="240" w:after="120"/>
      </w:pPr>
      <w:r>
        <w:rPr>
          <w:b/>
          <w:bCs/>
        </w:rPr>
        <w:t xml:space="preserve">6.2 Site déployé</w:t>
      </w:r>
    </w:p>
    <w:p>
      <w:pPr>
        <w:spacing w:after="120"/>
      </w:pPr>
      <w:r>
        <w:t xml:space="preserve">Frontend (Vercel) : </w:t>
      </w:r>
      <w:hyperlink w:history="1" r:id="rIdvsk30t2dwjyoaw1cidaxc">
        <w:r>
          <w:rPr>
            <w:rStyle w:val="Hyperlink"/>
          </w:rPr>
          <w:t xml:space="preserve">https://trouve-ton-artisan-rosy.vercel.app/</w:t>
        </w:r>
      </w:hyperlink>
    </w:p>
    <w:p>
      <w:pPr>
        <w:spacing w:after="120"/>
      </w:pPr>
      <w:r>
        <w:t xml:space="preserve">API (Render) : </w:t>
      </w:r>
      <w:hyperlink w:history="1" r:id="rIdkzwxlvflqpff2mm8nrvpd">
        <w:r>
          <w:rPr>
            <w:rStyle w:val="Hyperlink"/>
          </w:rPr>
          <w:t xml:space="preserve">https://trouve-ton-artisan-api-oqmj.onrender.com/api/health</w:t>
        </w:r>
      </w:hyperlink>
    </w:p>
    <w:p>
      <w:pPr>
        <w:spacing w:after="120"/>
        <w:jc w:val="both"/>
      </w:pPr>
      <w:r>
        <w:t xml:space="preserve">Base de données MySQL/MariaDB hébergée sur AlwaysData (hôte mysql-sylvain13bdr.alwaysdata.net), connexion SSL obligatoire.</w:t>
      </w:r>
    </w:p>
    <w:p>
      <w:pPr>
        <w:pStyle w:val="Heading2"/>
        <w:spacing w:before="240" w:after="120"/>
      </w:pPr>
      <w:r>
        <w:rPr>
          <w:b/>
          <w:bCs/>
        </w:rPr>
        <w:t xml:space="preserve">6.3 Maquettes Figma</w:t>
      </w:r>
    </w:p>
    <w:p>
      <w:pPr>
        <w:spacing w:after="120"/>
      </w:pPr>
      <w:r>
        <w:t xml:space="preserve">Fichier de maquettes (lecture publique) : </w:t>
      </w:r>
      <w:hyperlink w:history="1" r:id="rIddmcysfjendv9rt4p5phz5">
        <w:r>
          <w:rPr>
            <w:rStyle w:val="Hyperlink"/>
          </w:rPr>
          <w:t xml:space="preserve">https://www.figma.com/design/vch2TgFsEjaY9O7gjnNakX/Trouve-ton-Artisan</w:t>
        </w:r>
      </w:hyperlink>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7DE" w:sz="4" w:space="4"/>
      </w:pBdr>
      <w:tabs>
        <w:tab w:val="right" w:pos="9026"/>
      </w:tabs>
    </w:pPr>
    <w:r>
      <w:rPr>
        <w:color w:val="384050"/>
      </w:rPr>
      <w:t xml:space="preserve">Sylvain Labeye — </w:t>
    </w:r>
    <w:r>
      <w:rPr>
        <w:color w:val="384050"/>
      </w:rPr>
      <w:t xml:space="preserve">17/06/2026</w:t>
    </w:r>
    <w:r>
      <w:rPr>
        <w:color w:val="384050"/>
      </w:rPr>
      <w:t xml:space="preserve">	Page </w:t>
    </w:r>
    <w:r>
      <w:rPr>
        <w:color w:val="384050"/>
      </w:rPr>
      <w:fldChar w:fldCharType="begin"/>
      <w:instrText xml:space="preserve">PAGE</w:instrText>
      <w:fldChar w:fldCharType="separate"/>
      <w:fldChar w:fldCharType="end"/>
    </w:r>
    <w:r>
      <w:rPr>
        <w:color w:val="384050"/>
      </w:rPr>
      <w:t xml:space="preserve"> / </w:t>
    </w:r>
    <w:r>
      <w:rPr>
        <w:color w:val="38405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74C7" w:sz="6" w:space="4"/>
      </w:pBdr>
      <w:tabs>
        <w:tab w:val="right" w:pos="9026"/>
      </w:tabs>
    </w:pPr>
    <w:r>
      <w:rPr>
        <w:b/>
        <w:bCs/>
        <w:color w:val="384050"/>
      </w:rPr>
      <w:t xml:space="preserve">Trouve ton artisan — Dossier de rendu</w:t>
    </w:r>
    <w:r>
      <w:rPr>
        <w:color w:val="0074C7"/>
      </w:rPr>
      <w:t xml:space="preserve">	CEF — Devoir bilan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80"/>
      <w:outlineLvl w:val="0"/>
    </w:pPr>
    <w:rPr>
      <w:b/>
      <w:bCs/>
      <w:color w:val="0074C7"/>
      <w:sz w:val="36"/>
      <w:szCs w:val="36"/>
      <w:rFonts w:ascii="Arial" w:cs="Arial" w:eastAsia="Arial" w:hAnsi="Arial"/>
    </w:rPr>
  </w:style>
  <w:style w:type="paragraph" w:styleId="Heading2">
    <w:name w:val="Heading 2"/>
    <w:basedOn w:val="Normal"/>
    <w:next w:val="Normal"/>
    <w:qFormat/>
    <w:pPr>
      <w:spacing w:before="280" w:after="140"/>
      <w:outlineLvl w:val="1"/>
    </w:pPr>
    <w:rPr>
      <w:b/>
      <w:bCs/>
      <w:color w:val="384050"/>
      <w:sz w:val="28"/>
      <w:szCs w:val="28"/>
      <w:rFonts w:ascii="Arial" w:cs="Arial" w:eastAsia="Arial" w:hAnsi="Arial"/>
    </w:rPr>
  </w:style>
  <w:style w:type="paragraph" w:styleId="Heading3">
    <w:name w:val="Heading 3"/>
    <w:basedOn w:val="Normal"/>
    <w:next w:val="Normal"/>
    <w:qFormat/>
    <w:pPr>
      <w:spacing w:before="220" w:after="100"/>
      <w:outlineLvl w:val="2"/>
    </w:pPr>
    <w:rPr>
      <w:b/>
      <w:bCs/>
      <w:color w:val="384050"/>
      <w:sz w:val="24"/>
      <w:szCs w:val="24"/>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lijnnaehexqs06fvngtzq" Type="http://schemas.openxmlformats.org/officeDocument/2006/relationships/hyperlink" Target="https://www.figma.com/design/vch2TgFsEjaY9O7gjnNakX/Trouve-ton-Artisan" TargetMode="External"/><Relationship Id="rIddy1e204hmbxpfconzga5q" Type="http://schemas.openxmlformats.org/officeDocument/2006/relationships/hyperlink" Target="https://github.com/Sylvain13bdr/trouve-ton-artisan" TargetMode="External"/><Relationship Id="rIdvsk30t2dwjyoaw1cidaxc" Type="http://schemas.openxmlformats.org/officeDocument/2006/relationships/hyperlink" Target="https://trouve-ton-artisan-rosy.vercel.app/" TargetMode="External"/><Relationship Id="rIdkzwxlvflqpff2mm8nrvpd" Type="http://schemas.openxmlformats.org/officeDocument/2006/relationships/hyperlink" Target="https://trouve-ton-artisan-api-oqmj.onrender.com/api/health" TargetMode="External"/><Relationship Id="rIddmcysfjendv9rt4p5phz5" Type="http://schemas.openxmlformats.org/officeDocument/2006/relationships/hyperlink" Target="https://www.figma.com/design/vch2TgFsEjaY9O7gjnNakX/Trouve-ton-Artisan" TargetMode="External"/><Relationship Id="rId8" Type="http://schemas.openxmlformats.org/officeDocument/2006/relationships/image" Target="media/97ks9wdeqyp8vlvwe-yvq.png"/><Relationship Id="rId9" Type="http://schemas.openxmlformats.org/officeDocument/2006/relationships/image" Target="media/-hk_jnaloaqizim4i0s39.png"/><Relationship Id="rId10" Type="http://schemas.openxmlformats.org/officeDocument/2006/relationships/image" Target="media/-dwpvx-uif92jy9oaefji.png"/><Relationship Id="rId11" Type="http://schemas.openxmlformats.org/officeDocument/2006/relationships/image" Target="media/o8zojrfgert65qvrohokh.png"/><Relationship Id="rId12" Type="http://schemas.openxmlformats.org/officeDocument/2006/relationships/image" Target="media/lte97igkw3jltli1ygzow.png"/><Relationship Id="rId13" Type="http://schemas.openxmlformats.org/officeDocument/2006/relationships/image" Target="media/fjin2_t72kr-iqhwvm74v.png"/><Relationship Id="rId14" Type="http://schemas.openxmlformats.org/officeDocument/2006/relationships/image" Target="media/xv3z815kbxlqudx5kbofy.png"/><Relationship Id="rId15" Type="http://schemas.openxmlformats.org/officeDocument/2006/relationships/image" Target="media/28gtqh-abiwnpi5vaedwc.png"/><Relationship Id="rId16" Type="http://schemas.openxmlformats.org/officeDocument/2006/relationships/image" Target="media/p_mp5mzb3vf23pbgx7fbw.png"/><Relationship Id="rId17" Type="http://schemas.openxmlformats.org/officeDocument/2006/relationships/image" Target="media/hv1e3dezhvitajg3off1y.png"/><Relationship Id="rId18" Type="http://schemas.openxmlformats.org/officeDocument/2006/relationships/image" Target="media/ukgbyeqjltwzjakrqv6wq.png"/><Relationship Id="rId19" Type="http://schemas.openxmlformats.org/officeDocument/2006/relationships/image" Target="media/ppvxjgdkonhqf9vevnxg6.png"/><Relationship Id="rId20" Type="http://schemas.openxmlformats.org/officeDocument/2006/relationships/image" Target="media/jdev1e-2okhdokotugjdg.png"/><Relationship Id="rId21" Type="http://schemas.openxmlformats.org/officeDocument/2006/relationships/image" Target="media/puygsskopgsdu-qxgk0oj.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Trouve ton artisan — Dossier de rendu</dc:title>
  <dc:creator>Sylvain Labeye</dc:creator>
  <dc:description>Devoir bilan CEF — Trouve ton artisan</dc:description>
  <cp:lastModifiedBy>Un-named</cp:lastModifiedBy>
  <cp:revision>1</cp:revision>
  <dcterms:created xsi:type="dcterms:W3CDTF">2026-06-17T20:14:32.929Z</dcterms:created>
  <dcterms:modified xsi:type="dcterms:W3CDTF">2026-06-17T20:14:32.929Z</dcterms:modified>
</cp:coreProperties>
</file>

<file path=docProps/custom.xml><?xml version="1.0" encoding="utf-8"?>
<Properties xmlns="http://schemas.openxmlformats.org/officeDocument/2006/custom-properties" xmlns:vt="http://schemas.openxmlformats.org/officeDocument/2006/docPropsVTypes"/>
</file>