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19/07/2026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Introduction — Compétences du référentiel couvertes</w:t>
      </w:r>
    </w:p>
    <w:p>
      <w:pPr>
        <w:spacing w:after="120"/>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Maquettes Figma en mobile-first pour les trois résolutions (mobile 375 px, tablette 768 px, ordinateur 1280 px), charte graphique respectée, schéma d'enchaînement des écrans.</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Composants React structurés, Bootstrap 5 et Sass, HTML sémantique, mise en page responsive, accessibilité WCAG 2.1 (lien d'évitement, attributs ARIA, focus visible).</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React (hooks d'état et d'effet), consommation de l'API REST via un client fetch centralisé, formulaires dynamiques (contact et avis) avec validation côté client.</w:t>
            </w:r>
          </w:p>
        </w:tc>
      </w:tr>
    </w:tbl>
    <w:p>
      <w:pPr>
        <w:pStyle w:val="Heading2"/>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MySQL/MariaDB : MCD, MLD et modèle physique, respect des trois formes normales, contraintes (clés étrangères, CHECK, UNIQUE), vue de lecture, scripts de création et d'alimentation.</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Couche services dédiée : accès SQL via Sequelize (artisans, catégories, villes) ET accès NoSQL via Mongoose (avis clients stockés dans MongoDB).</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Architecture en couches (routes → contrôleurs → services → modèles), logique métier isolée dans les services, validation, sécurité et gestion centralisée des erreurs.</w:t>
            </w:r>
          </w:p>
        </w:tc>
      </w:tr>
    </w:tbl>
    <w:p>
      <w:pPr>
        <w:spacing w:after="120"/>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valoriser ce tissu artisanal,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 React + Bootstrap + Sass (front) ; Node.js + Express + Sequelize avec MySQL/MariaDB, et MongoDB/Mongoose pour les avis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pPr>
        <w:pStyle w:val="Heading2"/>
        <w:spacing w:before="240" w:after="120"/>
      </w:pPr>
      <w:r>
        <w:rPr>
          <w:b/>
          <w:bCs/>
        </w:rPr>
        <w:t xml:space="preserve">1.5 Environnement humain et technique, objectifs de qualité</w:t>
      </w:r>
    </w:p>
    <w:p>
      <w:pPr>
        <w:spacing w:after="120"/>
        <w:jc w:val="both"/>
      </w:pPr>
      <w:r>
        <w:t xml:space="preserve">Le projet a été mené en autonomie complète, du maquettage au déploiement, dans le cadre de la formation Développeur Web et Web Mobile du Centre Européen de Formation. L'interlocuteur métier est le service de la région situé à Lyon, qui a fourni le brief, la charte graphique et les données des artisans.</w:t>
      </w:r>
    </w:p>
    <w:p>
      <w:pPr>
        <w:spacing w:after="120"/>
        <w:jc w:val="both"/>
      </w:pPr>
      <w:r>
        <w:t xml:space="preserve">Côté technique, le développement s'est fait sous Windows 11 avec VS Code et Node.js, Git pour le versioning (dépôt GitHub public, travail par branches et pull requests), XAMPP (MySQL/MariaDB) et MongoDB en local, puis un hébergement Vercel pour le frontend, Render pour l'API et AlwaysData pour la base de données.</w:t>
      </w:r>
    </w:p>
    <w:p>
      <w:pPr>
        <w:spacing w:after="120"/>
        <w:jc w:val="both"/>
      </w:pPr>
      <w:r>
        <w:t xml:space="preserve">Les objectifs de qualité fixés en début de projet : accessibilité conforme WCAG 2.1 / RGAA, fonctionnement mobile, tablette et ordinateur (approche mobile-first), sécurité alignée sur les recommandations de l'OWASP, tests automatisés de l'API (Mocha) et documentation complète du projet (README, scripts SQL, dossier technique).</w:t>
      </w:r>
    </w:p>
    <w:p>
      <w:r>
        <w:br w:type="page"/>
      </w:r>
    </w:p>
    <w:p>
      <w:pPr>
        <w:pStyle w:val="Heading1"/>
        <w:spacing w:before="360" w:after="180"/>
      </w:pPr>
      <w:r>
        <w:rPr>
          <w:b/>
          <w:bCs/>
        </w:rPr>
        <w:t xml:space="preserve">2. Réalisations front-end</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sous licence, Inter a servi de substitut pour les maquettes Figma. Côté site, la police Graphik (version d'essai) est désormais auto-hébergée au format woff2 et chargée via @font-face : le rendu reprend ainsi fidèlement la charte, avec repli sur des polices système en cas de besoin.</w:t>
      </w:r>
    </w:p>
    <w:p>
      <w:pPr>
        <w:pStyle w:val="Heading2"/>
        <w:spacing w:before="240" w:after="120"/>
      </w:pPr>
      <w:r>
        <w:rPr>
          <w:b/>
          <w:bCs/>
        </w:rPr>
        <w:t xml:space="preserve">2.2 Lien Figma</w:t>
      </w:r>
    </w:p>
    <w:p>
      <w:pPr>
        <w:spacing w:after="120"/>
      </w:pPr>
      <w:r>
        <w:t xml:space="preserve">Maquettes complètes (consultation publique) : </w:t>
      </w:r>
      <w:hyperlink w:history="1" r:id="rIdvqfpmmhilp1a4n08o3_26">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pacing w:after="120"/>
        <w:jc w:val="both"/>
      </w:pPr>
      <w:r>
        <w:t xml:space="preserve">Le schéma ci-dessous résume la navigation entre les écrans du site : depuis la page d'accueil vers la liste (par catégorie ou recherche) ou une fiche (artisan du mois), puis le formulaire de contact et sa confirmation. Toute URL inconnue mène à la page 404, qui ramène à l'accueil.</w:t>
      </w:r>
    </w:p>
    <w:p>
      <w:pPr>
        <w:spacing w:before="100" w:after="60"/>
        <w:jc w:val="center"/>
      </w:pPr>
      <w:r>
        <w:drawing>
          <wp:inline distT="0" distB="0" distL="0" distR="0">
            <wp:extent cx="3905250" cy="5495925"/>
            <wp:effectExtent t="0" r="0" b="0" l="0"/>
            <wp:docPr id="1" name="enchainement.png" descr="enchainement.png" title="enchain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05250" cy="5495925"/>
                    </a:xfrm>
                    <a:prstGeom prst="rect">
                      <a:avLst/>
                    </a:prstGeom>
                  </pic:spPr>
                </pic:pic>
              </a:graphicData>
            </a:graphic>
          </wp:inline>
        </w:drawing>
      </w:r>
    </w:p>
    <w:p>
      <w:pPr>
        <w:pStyle w:val="Heading2"/>
        <w:spacing w:before="240" w:after="120"/>
      </w:pPr>
      <w:r>
        <w:rPr>
          <w:b/>
          <w:bCs/>
        </w:rPr>
        <w:t xml:space="preserve">2.5 Interfaces utilisateur statiques</w:t>
      </w:r>
    </w:p>
    <w:p>
      <w:pPr>
        <w:spacing w:after="120"/>
        <w:jc w:val="both"/>
      </w:pPr>
      <w:r>
        <w:t xml:space="preserve">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pPr>
        <w:shd w:fill="F1F8FC" w:val="clear"/>
        <w:spacing w:after="120"/>
      </w:pPr>
      <w:r>
        <w:rPr>
          <w:sz w:val="20"/>
          <w:szCs w:val="20"/>
          <w:rFonts w:ascii="Consolas" w:cs="Consolas" w:eastAsia="Consolas" w:hAnsi="Consolas"/>
        </w:rPr>
        <w:t xml:space="preserve">&lt;section className="hero"&gt;</w:t>
      </w:r>
      <w:r>
        <w:rPr>
          <w:sz w:val="20"/>
          <w:szCs w:val="20"/>
          <w:rFonts w:ascii="Consolas" w:cs="Consolas" w:eastAsia="Consolas" w:hAnsi="Consolas"/>
        </w:rPr>
        <w:br/>
        <w:t xml:space="preserve">  &lt;div className="container"&gt;</w:t>
      </w:r>
      <w:r>
        <w:rPr>
          <w:sz w:val="20"/>
          <w:szCs w:val="20"/>
          <w:rFonts w:ascii="Consolas" w:cs="Consolas" w:eastAsia="Consolas" w:hAnsi="Consolas"/>
        </w:rPr>
        <w:br/>
        <w:t xml:space="preserve">    &lt;h1&gt;Trouvez l'artisan qu'il vous faut, pres de chez vous.&lt;/h1&gt;</w:t>
      </w:r>
      <w:r>
        <w:rPr>
          <w:sz w:val="20"/>
          <w:szCs w:val="20"/>
          <w:rFonts w:ascii="Consolas" w:cs="Consolas" w:eastAsia="Consolas" w:hAnsi="Consolas"/>
        </w:rPr>
        <w:br/>
        <w:t xml:space="preserve">    &lt;p className="lead"&gt;Batiment, alimentation, services, fabrication.&lt;/p&gt;</w:t>
      </w:r>
      <w:r>
        <w:rPr>
          <w:sz w:val="20"/>
          <w:szCs w:val="20"/>
          <w:rFonts w:ascii="Consolas" w:cs="Consolas" w:eastAsia="Consolas" w:hAnsi="Consolas"/>
        </w:rPr>
        <w:br/>
        <w:t xml:space="preserve">    &lt;Link to="/artisans" className="btn btn-primary btn-lg"&gt;</w:t>
      </w:r>
      <w:r>
        <w:rPr>
          <w:sz w:val="20"/>
          <w:szCs w:val="20"/>
          <w:rFonts w:ascii="Consolas" w:cs="Consolas" w:eastAsia="Consolas" w:hAnsi="Consolas"/>
        </w:rPr>
        <w:br/>
        <w:t xml:space="preserve">      Voir tous les artisans</w:t>
      </w:r>
      <w:r>
        <w:rPr>
          <w:sz w:val="20"/>
          <w:szCs w:val="20"/>
          <w:rFonts w:ascii="Consolas" w:cs="Consolas" w:eastAsia="Consolas" w:hAnsi="Consolas"/>
        </w:rPr>
        <w:br/>
        <w:t xml:space="preserve">    &lt;/Link&gt;</w:t>
      </w:r>
      <w:r>
        <w:rPr>
          <w:sz w:val="20"/>
          <w:szCs w:val="20"/>
          <w:rFonts w:ascii="Consolas" w:cs="Consolas" w:eastAsia="Consolas" w:hAnsi="Consolas"/>
        </w:rPr>
        <w:br/>
        <w:t xml:space="preserve">  &lt;/div&gt;</w:t>
      </w:r>
      <w:r>
        <w:rPr>
          <w:sz w:val="20"/>
          <w:szCs w:val="20"/>
          <w:rFonts w:ascii="Consolas" w:cs="Consolas" w:eastAsia="Consolas" w:hAnsi="Consolas"/>
        </w:rPr>
        <w:br/>
        <w:t xml:space="preserve">&lt;/section&gt;</w:t>
      </w:r>
    </w:p>
    <w:p>
      <w:pPr>
        <w:pStyle w:val="Heading2"/>
        <w:spacing w:before="240" w:after="120"/>
      </w:pPr>
      <w:r>
        <w:rPr>
          <w:b/>
          <w:bCs/>
        </w:rPr>
        <w:t xml:space="preserve">2.6 Partie dynamique des interfaces</w:t>
      </w:r>
    </w:p>
    <w:p>
      <w:pPr>
        <w:spacing w:after="120"/>
        <w:jc w:val="both"/>
      </w:pPr>
      <w:r>
        <w:t xml:space="preserve">La partie dynamique repose sur les hooks de React. Le chargement des artisans, par exemple, se déclenche à l'affichage de la page et à chaque changement de filtre ; l'état local gère l'attente, les données reçues et les erreurs éventuelles.</w:t>
      </w:r>
    </w:p>
    <w:p>
      <w:pPr>
        <w:shd w:fill="F1F8FC" w:val="clear"/>
        <w:spacing w:after="120"/>
      </w:pPr>
      <w:r>
        <w:rPr>
          <w:sz w:val="20"/>
          <w:szCs w:val="20"/>
          <w:rFonts w:ascii="Consolas" w:cs="Consolas" w:eastAsia="Consolas" w:hAnsi="Consolas"/>
        </w:rPr>
        <w:t xml:space="preserve">useEffect(() =&gt; {</w:t>
      </w:r>
      <w:r>
        <w:rPr>
          <w:sz w:val="20"/>
          <w:szCs w:val="20"/>
          <w:rFonts w:ascii="Consolas" w:cs="Consolas" w:eastAsia="Consolas" w:hAnsi="Consolas"/>
        </w:rPr>
        <w:br/>
        <w:t xml:space="preserve">  setLoading(true);</w:t>
      </w:r>
      <w:r>
        <w:rPr>
          <w:sz w:val="20"/>
          <w:szCs w:val="20"/>
          <w:rFonts w:ascii="Consolas" w:cs="Consolas" w:eastAsia="Consolas" w:hAnsi="Consolas"/>
        </w:rPr>
        <w:br/>
        <w:t xml:space="preserve">  api.getArtisans({ category, q })</w:t>
      </w:r>
      <w:r>
        <w:rPr>
          <w:sz w:val="20"/>
          <w:szCs w:val="20"/>
          <w:rFonts w:ascii="Consolas" w:cs="Consolas" w:eastAsia="Consolas" w:hAnsi="Consolas"/>
        </w:rPr>
        <w:br/>
        <w:t xml:space="preserve">    .then((data) =&gt; setArtisans(data))</w:t>
      </w:r>
      <w:r>
        <w:rPr>
          <w:sz w:val="20"/>
          <w:szCs w:val="20"/>
          <w:rFonts w:ascii="Consolas" w:cs="Consolas" w:eastAsia="Consolas" w:hAnsi="Consolas"/>
        </w:rPr>
        <w:br/>
        <w:t xml:space="preserve">    .catch((err) =&gt; setError(err.message))</w:t>
      </w:r>
      <w:r>
        <w:rPr>
          <w:sz w:val="20"/>
          <w:szCs w:val="20"/>
          <w:rFonts w:ascii="Consolas" w:cs="Consolas" w:eastAsia="Consolas" w:hAnsi="Consolas"/>
        </w:rPr>
        <w:br/>
        <w:t xml:space="preserve">    .finally(() =&gt; setLoading(false));</w:t>
      </w:r>
      <w:r>
        <w:rPr>
          <w:sz w:val="20"/>
          <w:szCs w:val="20"/>
          <w:rFonts w:ascii="Consolas" w:cs="Consolas" w:eastAsia="Consolas" w:hAnsi="Consolas"/>
        </w:rPr>
        <w:br/>
        <w:t xml:space="preserve">}, [category, q]);</w:t>
      </w:r>
    </w:p>
    <w:p>
      <w:pPr>
        <w:pStyle w:val="Heading2"/>
        <w:spacing w:before="240" w:after="120"/>
      </w:pPr>
      <w:r>
        <w:rPr>
          <w:b/>
          <w:bCs/>
        </w:rPr>
        <w:t xml:space="preserve">2.7 Accessibilité et référencement</w:t>
      </w:r>
    </w:p>
    <w:p>
      <w:pPr>
        <w:spacing w:after="120"/>
        <w:jc w:val="both"/>
      </w:pPr>
      <w:r>
        <w:t xml:space="preserve">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pPr>
        <w:spacing w:after="120"/>
        <w:jc w:val="both"/>
      </w:pPr>
      <w:r>
        <w:t xml:space="preserve">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pPr>
        <w:pStyle w:val="Heading2"/>
        <w:spacing w:before="240" w:after="120"/>
      </w:pPr>
      <w:r>
        <w:rPr>
          <w:b/>
          <w:bCs/>
        </w:rPr>
        <w:t xml:space="preserve">2.8 Éco-conception</w:t>
      </w:r>
    </w:p>
    <w:p>
      <w:pPr>
        <w:spacing w:after="120"/>
        <w:jc w:val="both"/>
      </w:pPr>
      <w:r>
        <w:t xml:space="preserve">Quelques principes d'éco-conception ont été pris en compte. Les images des artisans sont chargées en différé (lazy loading), ce qui évite de télécharger des visuels non affichés à l'écran. La typographie est auto-hébergée au format woff2 (compressé), ce qui évite toute requête vers un service tiers de polices.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r>
        <w:br w:type="page"/>
      </w:r>
    </w:p>
    <w:p>
      <w:pPr>
        <w:pStyle w:val="Heading1"/>
        <w:spacing w:before="360" w:after="180"/>
      </w:pPr>
      <w:r>
        <w:rPr>
          <w:b/>
          <w:bCs/>
        </w:rPr>
        <w:t xml:space="preserve">3. Base de données et composants serveur</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chk_artisan_rating CHECK (rating &gt;= 0.0 AND rating &lt;= 5.0),</w:t>
      </w:r>
      <w:r>
        <w:rPr>
          <w:sz w:val="20"/>
          <w:szCs w:val="20"/>
          <w:rFonts w:ascii="Consolas" w:cs="Consolas" w:eastAsia="Consolas" w:hAnsi="Consolas"/>
        </w:rPr>
        <w:br/>
        <w:t xml:space="preserve">  CONSTRAINT chk_artisan_email  CHECK (email LIKE '%_@_%.__%'),</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 (données initiales)</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pPr>
        <w:pStyle w:val="Heading2"/>
        <w:spacing w:before="240" w:after="120"/>
      </w:pPr>
      <w:r>
        <w:rPr>
          <w:b/>
          <w:bCs/>
        </w:rPr>
        <w:t xml:space="preserve">3.7 Données NoSQL : les avis clients (MongoDB)</w:t>
      </w:r>
    </w:p>
    <w:p>
      <w:pPr>
        <w:spacing w:after="120"/>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spacing w:after="120"/>
        <w:jc w:val="both"/>
      </w:pPr>
      <w:r>
        <w:t xml:space="preserve">La connexion à MongoDB est volontairement non bloquante : si la base NoSQL est momentanément indisponible, l'API relationnelle continue de fonctionner et les routes d'avis renvoient un code 503 explicite.</w:t>
      </w:r>
    </w:p>
    <w:p>
      <w:pPr>
        <w:spacing w:after="120"/>
        <w:jc w:val="both"/>
      </w:pPr>
      <w:r>
        <w:t xml:space="preserve">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pPr>
        <w:pStyle w:val="Heading2"/>
        <w:spacing w:before="240" w:after="120"/>
      </w:pPr>
      <w:r>
        <w:rPr>
          <w:b/>
          <w:bCs/>
        </w:rPr>
        <w:t xml:space="preserve">3.8 Composants d'accès aux données (SQL et NoSQL)</w:t>
      </w:r>
    </w:p>
    <w:p>
      <w:pPr>
        <w:spacing w:after="120"/>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spacing w:before="240" w:after="120"/>
      </w:pPr>
      <w:r>
        <w:rPr>
          <w:b/>
          <w:bCs/>
        </w:rPr>
        <w:t xml:space="preserve">3.9 Composants métier côté serveur</w:t>
      </w:r>
    </w:p>
    <w:p>
      <w:pPr>
        <w:spacing w:after="120"/>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spacing w:before="240" w:after="120"/>
      </w:pPr>
      <w:r>
        <w:rPr>
          <w:b/>
          <w:bCs/>
        </w:rPr>
        <w:t xml:space="preserve">3.10 Jeu d'essai de la fonctionnalité la plus représentative</w:t>
      </w:r>
    </w:p>
    <w:p>
      <w:pPr>
        <w:spacing w:after="120"/>
        <w:jc w:val="both"/>
      </w:pPr>
      <w:r>
        <w:t xml:space="preserve">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pPr>
        <w:spacing w:after="120"/>
        <w:jc w:val="both"/>
      </w:pPr>
      <w:r>
        <w:t xml:space="preserve">L'objectif est de vérifier le parcours nominal (un avis bien enregistré et la note moyenne recalculée) ainsi que la robustesse de l'API face à deux cas limites.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400"/>
        <w:gridCol w:w="2200"/>
      </w:tblGrid>
      <w:tr>
        <w:trPr>
          <w:tblHeader/>
        </w:trPr>
        <w:tc>
          <w:tcPr>
            <w:tcW w:type="dxa" w:w="17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Cas</w:t>
            </w:r>
          </w:p>
        </w:tc>
        <w:tc>
          <w:tcPr>
            <w:tcW w:type="dxa" w:w="30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Données en entrée</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Attendu</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Obtenu</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Nominal</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Deux avis sur l'artisan 1 : Claire (5/5) puis Marc (3/5).</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201 à chaque dépôt ; le GET renvoie count 2 et average 4.</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(count 2, average 4).</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Saisie invalide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Un avis avec une note de 9 et un commentaire trop court.</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400 — erreur de validation.</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(400, ValidationError).</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Base NoSQL indisponible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Dépôt d'un avis alors que MongoDB est arrêté.</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503 — service indisponible.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(503).</w:t>
            </w:r>
          </w:p>
        </w:tc>
      </w:tr>
    </w:tbl>
    <w:p>
      <w:pPr>
        <w:spacing w:after="120"/>
        <w:jc w:val="both"/>
      </w:pPr>
      <w:r>
        <w:t xml:space="preserve">Aucun écart entre l'attendu et l'obtenu. Le cas nominal et la saisie invalide sont couverts par la suite de tests automatisée (commande npm test) ; l'indisponibilité de MongoDB a été vérifiée manuellement en arrêtant la base.</w:t>
      </w:r>
    </w:p>
    <w:p>
      <w:pPr>
        <w:pStyle w:val="Heading2"/>
        <w:spacing w:before="240" w:after="120"/>
      </w:pPr>
      <w:r>
        <w:rPr>
          <w:b/>
          <w:bCs/>
        </w:rPr>
        <w:t xml:space="preserve">3.11 Tests automatisés</w:t>
      </w:r>
    </w:p>
    <w:p>
      <w:pPr>
        <w:spacing w:after="120"/>
        <w:jc w:val="both"/>
      </w:pPr>
      <w:r>
        <w:t xml:space="preserve">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pPr>
        <w:pStyle w:val="ListParagraph"/>
        <w:numPr>
          <w:ilvl w:val="0"/>
          <w:numId w:val="2"/>
        </w:numPr>
        <w:spacing w:after="80"/>
      </w:pPr>
      <w:r>
        <w:t xml:space="preserve">Artisans (SQL) : liste, fiche détaillée, artisan introuvable, recherche sans résultat.</w:t>
      </w:r>
    </w:p>
    <w:p>
      <w:pPr>
        <w:pStyle w:val="ListParagraph"/>
        <w:numPr>
          <w:ilvl w:val="0"/>
          <w:numId w:val="2"/>
        </w:numPr>
        <w:spacing w:after="80"/>
      </w:pPr>
      <w:r>
        <w:t xml:space="preserve">Avis (NoSQL) : liste vide au départ, dépôt d'un avis, recalcul de la note moyenne, artisan inexistant.</w:t>
      </w:r>
    </w:p>
    <w:p>
      <w:pPr>
        <w:pStyle w:val="ListParagraph"/>
        <w:numPr>
          <w:ilvl w:val="0"/>
          <w:numId w:val="2"/>
        </w:numPr>
        <w:spacing w:after="80"/>
      </w:pPr>
      <w:r>
        <w:t xml:space="preserve">Sécurité : accès refusé sans clé d'API ou avec une mauvaise clé, validation des entrées, route de santé publique.</w:t>
      </w:r>
    </w:p>
    <w:p>
      <w:pPr>
        <w:spacing w:after="120"/>
        <w:jc w:val="both"/>
      </w:pPr>
      <w:r>
        <w:t xml:space="preserve">La suite compte onze tests, tous au vert (commande npm test).</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(12 mois) et droits d'accès, de rectification et de suppression, exerçables via la page « Données personnelles ». Aucune donnée n'est utilisée à des fins commerciales.</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Combinée au caractère obligatoire de la clé d’API, elle décourage les tentatives de spam massif visant les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csl1tge6jlw4wz3l-sqn1">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cwkwzrrithk56_2kt5uuw">
        <w:r>
          <w:rPr>
            <w:rStyle w:val="Hyperlink"/>
          </w:rPr>
          <w:t xml:space="preserve">https://trouve-ton-artisan-rosy.vercel.app/</w:t>
        </w:r>
      </w:hyperlink>
    </w:p>
    <w:p>
      <w:pPr>
        <w:spacing w:after="120"/>
      </w:pPr>
      <w:r>
        <w:t xml:space="preserve">API (Render) : </w:t>
      </w:r>
      <w:hyperlink w:history="1" r:id="rId3w4uyac59cy4qbf94ttaz">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nitn9ow7gpknouarknbpi">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19/07/2026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vqfpmmhilp1a4n08o3_26" Type="http://schemas.openxmlformats.org/officeDocument/2006/relationships/hyperlink" Target="https://www.figma.com/design/vch2TgFsEjaY9O7gjnNakX/Trouve-ton-Artisan" TargetMode="External"/><Relationship Id="rIdcsl1tge6jlw4wz3l-sqn1" Type="http://schemas.openxmlformats.org/officeDocument/2006/relationships/hyperlink" Target="https://github.com/Sylvain13bdr/trouve-ton-artisan" TargetMode="External"/><Relationship Id="rIdcwkwzrrithk56_2kt5uuw" Type="http://schemas.openxmlformats.org/officeDocument/2006/relationships/hyperlink" Target="https://trouve-ton-artisan-rosy.vercel.app/" TargetMode="External"/><Relationship Id="rId3w4uyac59cy4qbf94ttaz" Type="http://schemas.openxmlformats.org/officeDocument/2006/relationships/hyperlink" Target="https://trouve-ton-artisan-api-oqmj.onrender.com/api/health" TargetMode="External"/><Relationship Id="rIdnitn9ow7gpknouarknbpi" Type="http://schemas.openxmlformats.org/officeDocument/2006/relationships/hyperlink" Target="https://www.figma.com/design/vch2TgFsEjaY9O7gjnNakX/Trouve-ton-Artisan" TargetMode="External"/><Relationship Id="rId8" Type="http://schemas.openxmlformats.org/officeDocument/2006/relationships/image" Target="media/uf_ao8a0anhze9vax-ybs.png"/><Relationship Id="rId9" Type="http://schemas.openxmlformats.org/officeDocument/2006/relationships/image" Target="media/z1tmjlskog6j_-k9fz96x.png"/><Relationship Id="rId10" Type="http://schemas.openxmlformats.org/officeDocument/2006/relationships/image" Target="media/euqfzkg8qaim0d1n5w_ub.png"/><Relationship Id="rId11" Type="http://schemas.openxmlformats.org/officeDocument/2006/relationships/image" Target="media/sfldzx6glk5gtjyj6agl4.png"/><Relationship Id="rId12" Type="http://schemas.openxmlformats.org/officeDocument/2006/relationships/image" Target="media/fwrpbdehatyd6s9ris1el.png"/><Relationship Id="rId13" Type="http://schemas.openxmlformats.org/officeDocument/2006/relationships/image" Target="media/azbnycrb8exh3nrzfbktb.png"/><Relationship Id="rId14" Type="http://schemas.openxmlformats.org/officeDocument/2006/relationships/image" Target="media/smbmvevyiouxvpo37wtof.png"/><Relationship Id="rId15" Type="http://schemas.openxmlformats.org/officeDocument/2006/relationships/image" Target="media/-lk_p0wmhzmkize_lsdqe.png"/><Relationship Id="rId16" Type="http://schemas.openxmlformats.org/officeDocument/2006/relationships/image" Target="media/fegaa4dfu70ifn6p3lhns.png"/><Relationship Id="rId17" Type="http://schemas.openxmlformats.org/officeDocument/2006/relationships/image" Target="media/muzqgbtugmrzluaotbjkx.png"/><Relationship Id="rId18" Type="http://schemas.openxmlformats.org/officeDocument/2006/relationships/image" Target="media/u_tqpmxeu2-ftnx5lybfr.png"/><Relationship Id="rId19" Type="http://schemas.openxmlformats.org/officeDocument/2006/relationships/image" Target="media/yhbhbi02irzdcsjoefovq.png"/><Relationship Id="rId20" Type="http://schemas.openxmlformats.org/officeDocument/2006/relationships/image" Target="media/64nq6utrrbi73tomka5og.png"/><Relationship Id="rId21" Type="http://schemas.openxmlformats.org/officeDocument/2006/relationships/image" Target="media/f-2oxkiqg1arrpbrstxab.png"/><Relationship Id="rId22" Type="http://schemas.openxmlformats.org/officeDocument/2006/relationships/image" Target="media/n6cyhv2fvxrfhwmvjq5n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2026-07-19T20:03:14.991Z</dcterms:created>
  <dcterms:modified xsi:type="dcterms:W3CDTF">2026-07-19T20:03:14.991Z</dcterms:modified>
</cp:coreProperties>
</file>

<file path=docProps/custom.xml><?xml version="1.0" encoding="utf-8"?>
<Properties xmlns="http://schemas.openxmlformats.org/officeDocument/2006/custom-properties" xmlns:vt="http://schemas.openxmlformats.org/officeDocument/2006/docPropsVTypes"/>
</file>