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widowControl/>
        <w:spacing w:before="0" w:after="30" w:line="480" w:lineRule="exact"/>
      </w:pPr>
      <w:r>
        <w:rPr>
          <w:rFonts w:ascii="微软雅黑" w:hAnsi="微软雅黑" w:eastAsia="微软雅黑" w:cs="微软雅黑"/>
          <w:b/>
          <w:color w:val="1F3864"/>
          <w:sz w:val="41"/>
        </w:rPr>
        <w:t>吴枫</w:t>
      </w:r>
    </w:p>
    <w:p>
      <w:pPr>
        <w:widowControl/>
        <w:spacing w:before="0" w:after="40" w:line="252" w:lineRule="exact"/>
      </w:pPr>
      <w:r>
        <w:rPr>
          <w:rFonts w:ascii="微软雅黑" w:hAnsi="微软雅黑" w:eastAsia="微软雅黑" w:cs="微软雅黑"/>
          <w:b w:val="0"/>
          <w:color w:val="595959"/>
          <w:sz w:val="18"/>
        </w:rPr>
        <w:t>Java 后端开发 ｜ 电话 17338701320 ｜ 8 年经验</w:t>
      </w:r>
    </w:p>
    <w:p>
      <w:pPr>
        <w:keepNext/>
        <w:widowControl/>
        <w:spacing w:before="0" w:after="90" w:line="310" w:lineRule="exact"/>
      </w:pPr>
      <w:r>
        <w:rPr>
          <w:rFonts w:ascii="微软雅黑" w:hAnsi="微软雅黑" w:eastAsia="微软雅黑" w:cs="微软雅黑"/>
          <w:b/>
          <w:color w:val="1F3864"/>
          <w:sz w:val="25"/>
        </w:rPr>
        <w:t>教育背景</w:t>
      </w:r>
    </w:p>
    <w:p>
      <w:pPr>
        <w:widowControl/>
        <w:spacing w:before="0" w:after="40" w:line="260" w:lineRule="exact"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>2014.09 - 2018.07 ｜ 泉州师范学院 ｜ 软件工程 ｜ 本科</w:t>
      </w:r>
    </w:p>
    <w:p>
      <w:pPr>
        <w:keepNext/>
        <w:widowControl/>
        <w:spacing w:before="170" w:after="90" w:line="310" w:lineRule="exact"/>
      </w:pPr>
      <w:r>
        <w:rPr>
          <w:rFonts w:ascii="微软雅黑" w:hAnsi="微软雅黑" w:eastAsia="微软雅黑" w:cs="微软雅黑"/>
          <w:b/>
          <w:color w:val="1F3864"/>
          <w:sz w:val="25"/>
        </w:rPr>
        <w:t>专业技能</w:t>
      </w:r>
    </w:p>
    <w:p>
      <w:pPr>
        <w:widowControl/>
        <w:spacing w:before="0" w:after="48" w:line="260" w:lineRule="exact"/>
      </w:pPr>
      <w:r>
        <w:rPr>
          <w:rFonts w:ascii="微软雅黑" w:hAnsi="微软雅黑" w:eastAsia="微软雅黑" w:cs="微软雅黑"/>
          <w:b/>
          <w:color w:val="2E5C8A"/>
          <w:sz w:val="18"/>
        </w:rPr>
        <w:t>并发与锁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：能独立完成接口聚合场景的并发调用与超时降级；能定位并改造共享资源上的锁粒度问题</w:t>
      </w:r>
    </w:p>
    <w:p>
      <w:pPr>
        <w:widowControl/>
        <w:spacing w:before="0" w:after="48" w:line="260" w:lineRule="exact"/>
      </w:pPr>
      <w:r>
        <w:rPr>
          <w:rFonts w:ascii="微软雅黑" w:hAnsi="微软雅黑" w:eastAsia="微软雅黑" w:cs="微软雅黑"/>
          <w:b/>
          <w:color w:val="2E5C8A"/>
          <w:sz w:val="18"/>
        </w:rPr>
        <w:t>缓存与 Redis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：token 与热点数据的周期复用与过期策略；SETNX 原子占位 + TTL 防止重复提交与重复推送；了解穿透 / 击穿 / 雪崩的区别与对策</w:t>
      </w:r>
    </w:p>
    <w:p>
      <w:pPr>
        <w:widowControl/>
        <w:spacing w:before="0" w:after="48" w:line="260" w:lineRule="exact"/>
      </w:pPr>
      <w:r>
        <w:rPr>
          <w:rFonts w:ascii="微软雅黑" w:hAnsi="微软雅黑" w:eastAsia="微软雅黑" w:cs="微软雅黑"/>
          <w:b/>
          <w:color w:val="2E5C8A"/>
          <w:sz w:val="18"/>
        </w:rPr>
        <w:t>数据库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：MySQL / Oracle / SQL Server；熟悉 MySQL 索引原理与慢 SQL 优化</w:t>
      </w:r>
    </w:p>
    <w:p>
      <w:pPr>
        <w:widowControl/>
        <w:spacing w:before="0" w:after="48" w:line="260" w:lineRule="exact"/>
      </w:pPr>
      <w:r>
        <w:rPr>
          <w:rFonts w:ascii="微软雅黑" w:hAnsi="微软雅黑" w:eastAsia="微软雅黑" w:cs="微软雅黑"/>
          <w:b/>
          <w:color w:val="2E5C8A"/>
          <w:sz w:val="18"/>
        </w:rPr>
        <w:t>框架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：Spring Boot / Spring MVC / MyBatis / Hibernate</w:t>
      </w:r>
    </w:p>
    <w:p>
      <w:pPr>
        <w:widowControl/>
        <w:spacing w:before="0" w:after="48" w:line="260" w:lineRule="exact"/>
      </w:pPr>
      <w:r>
        <w:rPr>
          <w:rFonts w:ascii="微软雅黑" w:hAnsi="微软雅黑" w:eastAsia="微软雅黑" w:cs="微软雅黑"/>
          <w:b/>
          <w:color w:val="2E5C8A"/>
          <w:sz w:val="18"/>
        </w:rPr>
        <w:t>接口集成与故障处理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：能独立完成异构系统接口对接，处理超时、重试与失败降级；能设计接口幂等与对账方案，处理重复提交与漏推</w:t>
      </w:r>
    </w:p>
    <w:p>
      <w:pPr>
        <w:widowControl/>
        <w:spacing w:before="0" w:after="48" w:line="260" w:lineRule="exact"/>
      </w:pPr>
      <w:r>
        <w:rPr>
          <w:rFonts w:ascii="微软雅黑" w:hAnsi="微软雅黑" w:eastAsia="微软雅黑" w:cs="微软雅黑"/>
          <w:b/>
          <w:color w:val="2E5C8A"/>
          <w:sz w:val="18"/>
        </w:rPr>
        <w:t>企业系统集成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：OAuth2 单点登录（授权码流程 + 过滤器拦截 + 票据校验与会话建立）、金蝶 sHR、致远 A8、CRM、SAP（XML 凭证 + SFTP + 回执轮询）、钉钉开放平台（待办推送与状态回调）、EOP 供应商主数据同步</w:t>
      </w:r>
    </w:p>
    <w:p>
      <w:pPr>
        <w:widowControl/>
        <w:spacing w:before="0" w:after="48" w:line="260" w:lineRule="exact"/>
      </w:pPr>
      <w:r>
        <w:rPr>
          <w:rFonts w:ascii="微软雅黑" w:hAnsi="微软雅黑" w:eastAsia="微软雅黑" w:cs="微软雅黑"/>
          <w:b/>
          <w:color w:val="2E5C8A"/>
          <w:sz w:val="18"/>
        </w:rPr>
        <w:t>工程与交付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：Linux、Git、Maven、Docker；版本发布与补丁包交付；需求说明书、开发说明文档、工作量评估与验收交付物输出</w:t>
      </w:r>
    </w:p>
    <w:p>
      <w:pPr>
        <w:keepNext/>
        <w:widowControl/>
        <w:spacing w:before="170" w:after="90" w:line="310" w:lineRule="exact"/>
      </w:pPr>
      <w:r>
        <w:rPr>
          <w:rFonts w:ascii="微软雅黑" w:hAnsi="微软雅黑" w:eastAsia="微软雅黑" w:cs="微软雅黑"/>
          <w:b/>
          <w:color w:val="1F3864"/>
          <w:sz w:val="25"/>
        </w:rPr>
        <w:t>工作经历</w:t>
      </w:r>
    </w:p>
    <w:p>
      <w:pPr>
        <w:keepNext/>
        <w:widowControl/>
        <w:tabs>
          <w:tab w:pos="10318" w:val="right"/>
        </w:tabs>
        <w:spacing w:before="0" w:after="0" w:line="256" w:lineRule="exact"/>
      </w:pPr>
      <w:r>
        <w:rPr>
          <w:rFonts w:ascii="微软雅黑" w:hAnsi="微软雅黑" w:eastAsia="微软雅黑" w:cs="微软雅黑"/>
          <w:b/>
          <w:color w:val="000000"/>
          <w:sz w:val="19"/>
        </w:rPr>
        <w:t>外包交付开发（承接蓝凌生态交付项目）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  <w:t>2024.09 - 至今</w:t>
      </w:r>
    </w:p>
    <w:p>
      <w:pPr>
        <w:widowControl/>
        <w:spacing w:before="0" w:after="80" w:line="248" w:lineRule="exact"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>承接国企与大型集团客户的协同办公与系统集成交付，独立完成需求评估、开发、部署联调与交付文档输出。客户包括深圳巴士集团、深圳市融资租赁（集团）、罗格朗（惠州）、飞的数字化。</w:t>
      </w:r>
    </w:p>
    <w:p>
      <w:pPr>
        <w:keepNext/>
        <w:widowControl/>
        <w:tabs>
          <w:tab w:pos="10318" w:val="right"/>
        </w:tabs>
        <w:spacing w:before="0" w:after="0" w:line="256" w:lineRule="exact"/>
      </w:pPr>
      <w:r>
        <w:rPr>
          <w:rFonts w:ascii="微软雅黑" w:hAnsi="微软雅黑" w:eastAsia="微软雅黑" w:cs="微软雅黑"/>
          <w:b/>
          <w:color w:val="000000"/>
          <w:sz w:val="19"/>
        </w:rPr>
        <w:t>深圳市蓝凌软件股份有限公司 · 交付部 ｜ Java 交付开发工程师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  <w:t>2020.06 - 2024.09</w:t>
      </w:r>
    </w:p>
    <w:p>
      <w:pPr>
        <w:widowControl/>
        <w:spacing w:before="0" w:after="80" w:line="248" w:lineRule="exact"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>负责蓝凌 EKP 协同办公平台的国企与大型集团交付项目，覆盖模块开发、跨系统联调与上线支持。客户包括深圳能源集团、康佳集团、深圳巴士集团、深圳市融资租赁公司。</w:t>
      </w:r>
    </w:p>
    <w:p>
      <w:pPr>
        <w:keepNext/>
        <w:widowControl/>
        <w:tabs>
          <w:tab w:pos="10318" w:val="right"/>
        </w:tabs>
        <w:spacing w:before="0" w:after="0" w:line="256" w:lineRule="exact"/>
      </w:pPr>
      <w:r>
        <w:rPr>
          <w:rFonts w:ascii="微软雅黑" w:hAnsi="微软雅黑" w:eastAsia="微软雅黑" w:cs="微软雅黑"/>
          <w:b/>
          <w:color w:val="000000"/>
          <w:sz w:val="19"/>
        </w:rPr>
        <w:t>中软国际（华为外包）｜ Java 开发工程师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  <w:t>2019.07 - 2020.05</w:t>
      </w:r>
    </w:p>
    <w:p>
      <w:pPr>
        <w:widowControl/>
        <w:spacing w:before="0" w:after="80" w:line="248" w:lineRule="exact"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>中国移动音频彩铃 USDP 平台纯后端开发，使用 Oracle 存储过程完成十余个 Story。</w:t>
      </w:r>
    </w:p>
    <w:p>
      <w:pPr>
        <w:keepNext/>
        <w:widowControl/>
        <w:tabs>
          <w:tab w:pos="10318" w:val="right"/>
        </w:tabs>
        <w:spacing w:before="0" w:after="0" w:line="256" w:lineRule="exact"/>
      </w:pPr>
      <w:r>
        <w:rPr>
          <w:rFonts w:ascii="微软雅黑" w:hAnsi="微软雅黑" w:eastAsia="微软雅黑" w:cs="微软雅黑"/>
          <w:b/>
          <w:color w:val="000000"/>
          <w:sz w:val="19"/>
        </w:rPr>
        <w:t>厦门同创空间信息技术有限公司 ｜ Java 开发工程师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  <w:t>2018.03 - 2019.06</w:t>
      </w:r>
    </w:p>
    <w:p>
      <w:pPr>
        <w:widowControl/>
        <w:spacing w:before="0" w:after="80" w:line="248" w:lineRule="exact"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>开思时代小马物流平台，参与两个后端服务开发，负责甲方信息附件接口对接与联调。</w:t>
      </w:r>
    </w:p>
    <w:p>
      <w:pPr>
        <w:keepNext/>
        <w:widowControl/>
        <w:spacing w:before="170" w:after="90" w:line="310" w:lineRule="exact"/>
      </w:pPr>
      <w:r>
        <w:rPr>
          <w:rFonts w:ascii="微软雅黑" w:hAnsi="微软雅黑" w:eastAsia="微软雅黑" w:cs="微软雅黑"/>
          <w:b/>
          <w:color w:val="1F3864"/>
          <w:sz w:val="25"/>
        </w:rPr>
        <w:t>项目经历</w:t>
      </w:r>
    </w:p>
    <w:p>
      <w:pPr>
        <w:keepNext/>
        <w:widowControl/>
        <w:spacing w:before="90" w:after="60" w:line="260" w:lineRule="exact"/>
      </w:pPr>
      <w:r>
        <w:rPr>
          <w:rFonts w:ascii="微软雅黑" w:hAnsi="微软雅黑" w:eastAsia="微软雅黑" w:cs="微软雅黑"/>
          <w:b/>
          <w:color w:val="000000"/>
          <w:sz w:val="20"/>
        </w:rPr>
        <w:t>2024.09 - 至今 ｜ 外包交付（承接蓝凌生态交付项目）</w:t>
      </w:r>
    </w:p>
    <w:p>
      <w:pPr>
        <w:keepNext/>
        <w:widowControl/>
        <w:tabs>
          <w:tab w:pos="10318" w:val="right"/>
        </w:tabs>
        <w:spacing w:before="0" w:after="0" w:line="256" w:lineRule="exact"/>
      </w:pPr>
      <w:r>
        <w:rPr>
          <w:rFonts w:ascii="微软雅黑" w:hAnsi="微软雅黑" w:eastAsia="微软雅黑" w:cs="微软雅黑"/>
          <w:b/>
          <w:color w:val="000000"/>
          <w:sz w:val="19"/>
        </w:rPr>
        <w:t>深圳市融资租赁（集团） ｜ 智慧办公系统二期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改造</w:t>
      </w:r>
      <w:r>
        <w:rPr>
          <w:rFonts w:ascii="微软雅黑" w:hAnsi="微软雅黑" w:eastAsia="微软雅黑" w:cs="微软雅黑"/>
          <w:b/>
          <w:color w:val="000000"/>
          <w:sz w:val="18"/>
        </w:rPr>
        <w:t>会议通知功能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：单场会议参会人可达上百人，改为线程池并发下发通知（有界队列 + 拒绝策略 + 单条失败隔离重试），替代原串行逐个推送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/>
          <w:color w:val="000000"/>
          <w:sz w:val="18"/>
        </w:rPr>
        <w:t>门户模块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开发：实现工作安排与上会安排的门户展示、领导批示定制与公文报表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/>
          <w:color w:val="000000"/>
          <w:sz w:val="18"/>
        </w:rPr>
        <w:t>议题管理模块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：实现议题申请、上会安排与公文纪要的跨模块数据联动；议题列表按「状态 + 时间」分页查询走联合索引，消除原全表扫描与额外排序</w:t>
      </w:r>
    </w:p>
    <w:p>
      <w:pPr>
        <w:widowControl/>
        <w:spacing w:before="0" w:after="0" w:line="20" w:lineRule="exact"/>
      </w:pPr>
      <w:r>
        <w:rPr>
          <w:rFonts w:ascii="微软雅黑" w:hAnsi="微软雅黑" w:eastAsia="微软雅黑" w:cs="微软雅黑"/>
          <w:b w:val="0"/>
          <w:color w:val="000000"/>
          <w:sz w:val="2"/>
        </w:rPr>
      </w:r>
    </w:p>
    <w:p>
      <w:pPr>
        <w:keepNext/>
        <w:widowControl/>
        <w:tabs>
          <w:tab w:pos="10318" w:val="right"/>
        </w:tabs>
        <w:spacing w:before="0" w:after="0" w:line="256" w:lineRule="exact"/>
      </w:pPr>
      <w:r>
        <w:rPr>
          <w:rFonts w:ascii="微软雅黑" w:hAnsi="微软雅黑" w:eastAsia="微软雅黑" w:cs="微软雅黑"/>
          <w:b/>
          <w:color w:val="000000"/>
          <w:sz w:val="19"/>
        </w:rPr>
        <w:t>深圳市融资租赁（集团） ｜ OA 待办推送钉钉工作台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/>
          <w:color w:val="000000"/>
          <w:sz w:val="18"/>
        </w:rPr>
        <w:t>IDaaS 单点登录（OAuth2 授权码）对接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：基于过滤器拦截未登录请求，302 跳转 IDaaS 授权端点并携带 state 防 CSRF；用户认证后回跳带 code，由后端用 code + client_secret 换取 token 并取回用户身份，完成 IDaaS 账号到 OA 本地账号的映射与本地会话建立；回调地址走白名单校验，票据一次性消费防重放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/>
          <w:color w:val="000000"/>
          <w:sz w:val="18"/>
        </w:rPr>
        <w:t>OA 待办与钉钉工作台集成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：基于钉钉开放平台待办推送与审批完成状态回调，实现待办推送、点击跳转 OA 原审批表单、审批完成后回调同步 OA，解决用户在钉钉内无法处理 OA 审批的问题。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基于幂等键校验避免同一待办重复推送，降低钉钉侧重复待办与用户投诉。</w:t>
      </w:r>
    </w:p>
    <w:p>
      <w:pPr>
        <w:widowControl/>
        <w:spacing w:before="0" w:after="0" w:line="20" w:lineRule="exact"/>
      </w:pPr>
      <w:r>
        <w:rPr>
          <w:rFonts w:ascii="微软雅黑" w:hAnsi="微软雅黑" w:eastAsia="微软雅黑" w:cs="微软雅黑"/>
          <w:b w:val="0"/>
          <w:color w:val="000000"/>
          <w:sz w:val="2"/>
        </w:rPr>
      </w:r>
    </w:p>
    <w:p>
      <w:pPr>
        <w:keepNext/>
        <w:widowControl/>
        <w:tabs>
          <w:tab w:pos="10318" w:val="right"/>
        </w:tabs>
        <w:spacing w:before="0" w:after="0" w:line="256" w:lineRule="exact"/>
      </w:pPr>
      <w:r>
        <w:rPr>
          <w:rFonts w:ascii="微软雅黑" w:hAnsi="微软雅黑" w:eastAsia="微软雅黑" w:cs="微软雅黑"/>
          <w:b/>
          <w:color w:val="000000"/>
          <w:sz w:val="19"/>
        </w:rPr>
        <w:t>罗格朗（惠州） ｜ OA 预算与事前费用申请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/>
          <w:color w:val="000000"/>
          <w:sz w:val="18"/>
        </w:rPr>
        <w:t>成本中心模块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：成本中心模块开发、包括页面与后端，并设计大 / 小管理员二级权限。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/>
          <w:color w:val="000000"/>
          <w:sz w:val="18"/>
        </w:rPr>
        <w:t>费用事前申请单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：按经办人带出成本中心与预算数据，并实现批准金额不高于申请金额、报销金额不高于批准金额的逐级约束校验。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/>
          <w:color w:val="000000"/>
          <w:sz w:val="18"/>
        </w:rPr>
        <w:t>预算占用与释放的跨系统协同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：审批通过时本地记录预算占用并推送预算系统，推送失败回滚本地占用；驳回与废弃状态分别触发对应释放调用；释放调用失败落表，由定时任务扫描未成功的记录补偿重推，超阈值转人工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/>
          <w:color w:val="000000"/>
          <w:sz w:val="18"/>
        </w:rPr>
        <w:t>报销凭证归档链路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：流程结束监听器生成 XML 凭证文件，经自研 SFTP 工具上传至指定服务器。</w:t>
      </w:r>
    </w:p>
    <w:p>
      <w:pPr>
        <w:widowControl/>
        <w:spacing w:before="0" w:after="0" w:line="20" w:lineRule="exact"/>
      </w:pPr>
      <w:r>
        <w:rPr>
          <w:rFonts w:ascii="微软雅黑" w:hAnsi="微软雅黑" w:eastAsia="微软雅黑" w:cs="微软雅黑"/>
          <w:b w:val="0"/>
          <w:color w:val="000000"/>
          <w:sz w:val="2"/>
        </w:rPr>
      </w:r>
    </w:p>
    <w:p>
      <w:pPr>
        <w:keepNext/>
        <w:widowControl/>
        <w:tabs>
          <w:tab w:pos="10318" w:val="right"/>
        </w:tabs>
        <w:spacing w:before="0" w:after="0" w:line="256" w:lineRule="exact"/>
      </w:pPr>
      <w:r>
        <w:rPr>
          <w:rFonts w:ascii="微软雅黑" w:hAnsi="微软雅黑" w:eastAsia="微软雅黑" w:cs="微软雅黑"/>
          <w:b/>
          <w:color w:val="000000"/>
          <w:sz w:val="19"/>
        </w:rPr>
        <w:t>其他交付项目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/>
          <w:color w:val="000000"/>
          <w:sz w:val="18"/>
        </w:rPr>
        <w:t>飞的数字化 · 费控与相对方模块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：合同变更带入费控台账、付款权限过滤与金额校验、通用付款关联采购事前申请、相对方变更与 EOP 同步、费控与财务工作台页面组件开发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/>
          <w:color w:val="000000"/>
          <w:sz w:val="18"/>
        </w:rPr>
        <w:t>深圳地铁运营 · 组织架构与人员同步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：组织与人员主数据由大数据平台统一维护，基于分页拉取 + 按 lastUpdateTime 增量同步拉到 OA；全量初始化改为分片 + 线程池并发同步，单分片失败只重跑该片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/>
          <w:color w:val="000000"/>
          <w:sz w:val="18"/>
        </w:rPr>
        <w:t>深圳巴士集团 · 督办模块优化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：引入 sys/task 产品包定制至 ekp/task，定位并修复平台二开引入流程后重复调用 save 引发的数据库锁冲突，改造 DAO 层 update 解决；同时修复定时任务死循环问题。</w:t>
      </w:r>
    </w:p>
    <w:p>
      <w:pPr>
        <w:widowControl/>
        <w:spacing w:before="0" w:after="0" w:line="20" w:lineRule="exact"/>
      </w:pPr>
      <w:r>
        <w:rPr>
          <w:rFonts w:ascii="微软雅黑" w:hAnsi="微软雅黑" w:eastAsia="微软雅黑" w:cs="微软雅黑"/>
          <w:b w:val="0"/>
          <w:color w:val="000000"/>
          <w:sz w:val="2"/>
        </w:rPr>
      </w:r>
    </w:p>
    <w:p>
      <w:pPr>
        <w:keepNext/>
        <w:widowControl/>
        <w:spacing w:before="90" w:after="60" w:line="260" w:lineRule="exact"/>
      </w:pPr>
      <w:r>
        <w:rPr>
          <w:rFonts w:ascii="微软雅黑" w:hAnsi="微软雅黑" w:eastAsia="微软雅黑" w:cs="微软雅黑"/>
          <w:b/>
          <w:color w:val="000000"/>
          <w:sz w:val="20"/>
        </w:rPr>
        <w:t>2020.06 - 2024.09 ｜ 蓝凌软件交付部</w:t>
      </w:r>
    </w:p>
    <w:p>
      <w:pPr>
        <w:keepNext/>
        <w:widowControl/>
        <w:tabs>
          <w:tab w:pos="10318" w:val="right"/>
        </w:tabs>
        <w:spacing w:before="0" w:after="0" w:line="256" w:lineRule="exact"/>
      </w:pPr>
      <w:r>
        <w:rPr>
          <w:rFonts w:ascii="微软雅黑" w:hAnsi="微软雅黑" w:eastAsia="微软雅黑" w:cs="微软雅黑"/>
          <w:b/>
          <w:color w:val="000000"/>
          <w:sz w:val="19"/>
        </w:rPr>
        <w:t>康佳集团 ｜ 集团门户与多系统集成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</w:r>
    </w:p>
    <w:p>
      <w:pPr>
        <w:widowControl/>
        <w:spacing w:before="0" w:after="0" w:line="20" w:lineRule="exact"/>
      </w:pPr>
      <w:r>
        <w:rPr>
          <w:rFonts w:ascii="微软雅黑" w:hAnsi="微软雅黑" w:eastAsia="微软雅黑" w:cs="微软雅黑"/>
          <w:b w:val="0"/>
          <w:color w:val="000000"/>
          <w:sz w:val="2"/>
        </w:rPr>
      </w:r>
    </w:p>
    <w:p>
      <w:pPr>
        <w:keepNext/>
        <w:widowControl/>
        <w:tabs>
          <w:tab w:pos="10318" w:val="right"/>
        </w:tabs>
        <w:spacing w:before="0" w:after="0" w:line="256" w:lineRule="exact"/>
      </w:pPr>
      <w:r>
        <w:rPr>
          <w:rFonts w:ascii="微软雅黑" w:hAnsi="微软雅黑" w:eastAsia="微软雅黑" w:cs="微软雅黑"/>
          <w:b/>
          <w:color w:val="000000"/>
          <w:sz w:val="19"/>
        </w:rPr>
        <w:t>深圳能源集团 ｜ 驻场二开交付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/>
          <w:color w:val="000000"/>
          <w:sz w:val="18"/>
        </w:rPr>
        <w:t>版本发布与现场部署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：日常迭代走增量发布，按源码目录结构把变更的代码发版成补丁包，上传到现场 Linux 服务器后直接替换对应文件，再执行启动脚本重启中间件，使改动生效，不再整包重发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/>
          <w:color w:val="000000"/>
          <w:sz w:val="18"/>
        </w:rPr>
        <w:t>人员异动处理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：入职、调动、转正、离职等异动的表单与流程定制，一笔异动要同时写入人员主数据、岗位与部门关系、异动记录，服务层用 Spring 声明式事务包住整笔操作，中途任一步失败整体回滚，避免出现「人已调动、岗位没变」的半套数据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/>
          <w:color w:val="000000"/>
          <w:sz w:val="18"/>
        </w:rPr>
        <w:t>操作日志与异常追溯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：基于 Spring AOP 自定义注解 + 环绕通知做统一日志切面，自动记录操作人、业务对象、入参摘要与执行结果，异常时记下失败原因并把异常原样抛出，交给事务代理回滚，替代原先在每个 Service 方法里手写日志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/>
          <w:color w:val="000000"/>
          <w:sz w:val="18"/>
        </w:rPr>
        <w:t>人员与预算数据批量导入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：按 Excel 模板批量导入人员信息与预算数据，逐行校验后入库、失败行连同原因汇总回显；人员基础数据与历史预算台账由导入完成初始化</w:t>
      </w:r>
    </w:p>
    <w:p>
      <w:pPr>
        <w:widowControl/>
        <w:spacing w:before="0" w:after="0" w:line="20" w:lineRule="exact"/>
      </w:pPr>
      <w:r>
        <w:rPr>
          <w:rFonts w:ascii="微软雅黑" w:hAnsi="微软雅黑" w:eastAsia="微软雅黑" w:cs="微软雅黑"/>
          <w:b w:val="0"/>
          <w:color w:val="000000"/>
          <w:sz w:val="2"/>
        </w:rPr>
      </w:r>
    </w:p>
    <w:p>
      <w:pPr>
        <w:keepNext/>
        <w:widowControl/>
        <w:tabs>
          <w:tab w:pos="10318" w:val="right"/>
        </w:tabs>
        <w:spacing w:before="0" w:after="0" w:line="256" w:lineRule="exact"/>
      </w:pPr>
      <w:r>
        <w:rPr>
          <w:rFonts w:ascii="微软雅黑" w:hAnsi="微软雅黑" w:eastAsia="微软雅黑" w:cs="微软雅黑"/>
          <w:b/>
          <w:color w:val="000000"/>
          <w:sz w:val="19"/>
        </w:rPr>
        <w:t>深圳市融资租赁（集团） ｜ 智慧办公系统一期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/>
          <w:color w:val="000000"/>
          <w:sz w:val="18"/>
        </w:rPr>
        <w:t>跳转流程接入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：第三方业务系统（租前）发起的审批流程接入 OA，新建 third/process 插件包，按 EKP 规范分层实现 Action / Service / DAO / Model / Form 与 hibernate、spring、plugin 配置，承接项目名称、客户名称、金额与币种、业务经理、信审经理、流程节点名称等业务字段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/>
          <w:color w:val="000000"/>
          <w:sz w:val="18"/>
        </w:rPr>
        <w:t>跳转流程配置与移动端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：跳转流程与 OA 流程的关联配置、列表与编辑页、默认角色与后台设置角色；中集集成阶段补充移动端视图，支持移动端查看与办理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/>
          <w:color w:val="000000"/>
          <w:sz w:val="18"/>
        </w:rPr>
        <w:t>企业公文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：企业公文发文拟稿、拟稿时间可编辑与公文管理标签，并参与公文管理与永中在线预览的集成升级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/>
          <w:color w:val="000000"/>
          <w:sz w:val="18"/>
        </w:rPr>
        <w:t>Excel 批量导入导出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：基于 POI 封装通用导入导出工具类，实现模板生成、表头样式与行级校验，支撑业务数据批量导入与台账导出</w:t>
      </w:r>
    </w:p>
    <w:p>
      <w:pPr>
        <w:widowControl/>
        <w:spacing w:before="0" w:after="0" w:line="20" w:lineRule="exact"/>
      </w:pPr>
      <w:r>
        <w:rPr>
          <w:rFonts w:ascii="微软雅黑" w:hAnsi="微软雅黑" w:eastAsia="微软雅黑" w:cs="微软雅黑"/>
          <w:b w:val="0"/>
          <w:color w:val="000000"/>
          <w:sz w:val="2"/>
        </w:rPr>
      </w:r>
    </w:p>
    <w:p>
      <w:pPr>
        <w:keepNext/>
        <w:widowControl/>
        <w:tabs>
          <w:tab w:pos="10318" w:val="right"/>
        </w:tabs>
        <w:spacing w:before="0" w:after="0" w:line="256" w:lineRule="exact"/>
      </w:pPr>
      <w:r>
        <w:rPr>
          <w:rFonts w:ascii="微软雅黑" w:hAnsi="微软雅黑" w:eastAsia="微软雅黑" w:cs="微软雅黑"/>
          <w:b/>
          <w:color w:val="000000"/>
          <w:sz w:val="19"/>
        </w:rPr>
        <w:t>深圳巴士集团 ｜ 标准模块二开定制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/>
          <w:color w:val="000000"/>
          <w:sz w:val="18"/>
        </w:rPr>
        <w:t>合同管理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：合同起草表单与流程定制、合同变更、合同台账查询与详情页、合同附件上传下载，并参与台账历史数据迁移与数据修复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/>
          <w:color w:val="000000"/>
          <w:sz w:val="18"/>
        </w:rPr>
        <w:t>评审管理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：评审数据汇总（迭代了四版）、评审暂存、评分统计与评分异常追踪，以及评审数据的 Excel 导出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/>
          <w:color w:val="000000"/>
          <w:sz w:val="18"/>
        </w:rPr>
        <w:t>督办管理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：督办数据导入、督办统计报表、督办待办定制；后续参与新版督办管理的开发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/>
          <w:color w:val="000000"/>
          <w:sz w:val="18"/>
        </w:rPr>
        <w:t>网上通知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：通知发布与展示功能的 PC 端、移动端开发与缺陷修复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/>
          <w:color w:val="000000"/>
          <w:sz w:val="18"/>
        </w:rPr>
        <w:t>档案集成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：归档流程挂接与归档中间表写入，以及归档附件下载问题修复</w:t>
      </w:r>
    </w:p>
    <w:p>
      <w:pPr>
        <w:widowControl/>
        <w:spacing w:before="0" w:after="0" w:line="20" w:lineRule="exact"/>
      </w:pPr>
      <w:r>
        <w:rPr>
          <w:rFonts w:ascii="微软雅黑" w:hAnsi="微软雅黑" w:eastAsia="微软雅黑" w:cs="微软雅黑"/>
          <w:b w:val="0"/>
          <w:color w:val="000000"/>
          <w:sz w:val="2"/>
        </w:rPr>
      </w:r>
    </w:p>
    <w:sectPr w:rsidR="00FC693F" w:rsidRPr="0006063C" w:rsidSect="00034616">
      <w:pgSz w:w="11906" w:h="16838"/>
      <w:pgMar w:top="624" w:right="794" w:bottom="624" w:left="79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 w:cs="微软雅黑"/>
      <w:color w:val="000000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吴枫 - Java 后端开发 - 个人简历 v27</dc:title>
  <dc:subject/>
  <dc:creator>吴枫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