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事件扩展（IEventListener + EndedTaskEvent）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，在会议节点结束时触发平台通知，实现会议通知自动下发。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负责门户组件 </w:t>
      </w:r>
      <w:r>
        <w:rPr>
          <w:rFonts w:ascii="微软雅黑" w:hAnsi="微软雅黑" w:eastAsia="微软雅黑" w:cs="微软雅黑"/>
          <w:b/>
          <w:color w:val="000000"/>
          <w:sz w:val="18"/>
        </w:rPr>
        <w:t>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议题申请表字段与审批走向联动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上会安排 + 会议议题与公文纪要联动，解决议题、会议与公文数据割裂的问题。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会议室保管者字段由单值改为 List 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、会议信息传阅与会议室预约优化。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避免同一待办重复推送，降低钉钉侧重复待办与用户投诉；日均推送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{待补：条数}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负责单点登录侧改造：基于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OAuth 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拦截未登录请求，完成票据校验与本地会话建立。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XML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上传至指定服务器，并</w:t>
      </w:r>
      <w:r>
        <w:rPr>
          <w:rFonts w:ascii="微软雅黑" w:hAnsi="微软雅黑" w:eastAsia="微软雅黑" w:cs="微软雅黑"/>
          <w:b/>
          <w:color w:val="000000"/>
          <w:sz w:val="18"/>
        </w:rPr>
        <w:t>轮询对方返回状态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后再决定流程是否继续流转，解决跨系统状态不一致；日均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{待补：笔数}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，上传成功率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 组织架构与成本中心对照映射（大 / 小 / 吴忠</w:t>
      </w:r>
      <w:r>
        <w:rPr>
          <w:rFonts w:ascii="微软雅黑" w:hAnsi="微软雅黑" w:eastAsia="微软雅黑" w:cs="微软雅黑"/>
          <w:b/>
          <w:color w:val="000000"/>
          <w:sz w:val="18"/>
        </w:rPr>
        <w:t>三套成本中心并存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）、中间库（SQL Server）数据读取与公司关联，并设计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小管理员二级权限模型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：驳回与废弃状态分别触发对应释放调用并做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，避免重复占用。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致远 A8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HttpURLConnection + MD5 签名 + Base64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换取并复用 token，同步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资产台账与折旧报表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CRM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fastjson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解析，同步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渠道账户与经销商主数据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EOP 主数据与合同费控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EOP 主数据集成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EOP 主数据导入引擎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，抽象「导入列 / 导入上下文 / 校验器 / 强弱关联」的通用模型，支撑 </w:t>
      </w:r>
      <w:r>
        <w:rPr>
          <w:rFonts w:ascii="微软雅黑" w:hAnsi="微软雅黑" w:eastAsia="微软雅黑" w:cs="微软雅黑"/>
          <w:b/>
          <w:color w:val="000000"/>
          <w:sz w:val="18"/>
        </w:rPr>
        <w:t>100+ 个主数据服务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的批量导入与校验；并对接</w:t>
      </w:r>
      <w:r>
        <w:rPr>
          <w:rFonts w:ascii="微软雅黑" w:hAnsi="微软雅黑" w:eastAsia="微软雅黑" w:cs="微软雅黑"/>
          <w:b/>
          <w:color w:val="000000"/>
          <w:sz w:val="18"/>
        </w:rPr>
        <w:t>百望发票查验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i 人事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数据同步。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合同归档与采购附件对接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流程结束事件监听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</w:t>
      </w:r>
      <w:r>
        <w:rPr>
          <w:rFonts w:ascii="微软雅黑" w:hAnsi="微软雅黑" w:eastAsia="微软雅黑" w:cs="微软雅黑"/>
          <w:b/>
          <w:color w:val="000000"/>
          <w:sz w:val="18"/>
        </w:rPr>
        <w:t>IEventListener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EventExecutionContext），为合同申请、合同变更、合同付款、班子会议、董事会议、党委会议议题、法人授权委托、借查阅共 </w:t>
      </w:r>
      <w:r>
        <w:rPr>
          <w:rFonts w:ascii="微软雅黑" w:hAnsi="微软雅黑" w:eastAsia="微软雅黑" w:cs="微软雅黑"/>
          <w:b/>
          <w:color w:val="000000"/>
          <w:sz w:val="18"/>
        </w:rPr>
        <w:t>8 类流程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各实现一个事件监听器，统一归档至</w:t>
      </w:r>
      <w:r>
        <w:rPr>
          <w:rFonts w:ascii="微软雅黑" w:hAnsi="微软雅黑" w:eastAsia="微软雅黑" w:cs="微软雅黑"/>
          <w:b/>
          <w:color w:val="000000"/>
          <w:sz w:val="18"/>
        </w:rPr>
        <w:t>归档中间表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，解决归档口径不一致、人工归档遗漏的问题。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无纸化会议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：基于会议单据</w:t>
      </w:r>
      <w:r>
        <w:rPr>
          <w:rFonts w:ascii="微软雅黑" w:hAnsi="微软雅黑" w:eastAsia="微软雅黑" w:cs="微软雅黑"/>
          <w:b/>
          <w:color w:val="000000"/>
          <w:sz w:val="18"/>
        </w:rPr>
        <w:t>新增 / 修改 / 删除 / 废弃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四类事件监听，同步会议数据与会务信息。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采购合同附件接收接口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JSON 表单解析，解决采购侧合同附件无法进入 OA 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组织架构同步接口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与合同权限申请公文流程定制。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v11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