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年龄 30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个人概述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等异构系统的接口对接；并用 </w:t>
      </w:r>
      <w:r>
        <w:rPr>
          <w:rFonts w:ascii="微软雅黑" w:hAnsi="微软雅黑" w:eastAsia="微软雅黑" w:cs="微软雅黑"/>
          <w:b/>
          <w:color w:val="000000"/>
          <w:sz w:val="18"/>
        </w:rPr>
        <w:t>Spring Boot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自建工程验证过跨系统接口的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并发聚合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方案。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Java 并发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：ThreadPoolExecutor 七大参数（核心线程数、最大线程数、空闲存活时间、工作队列、线程工厂、拒绝策略）与任务提交执行流程；有界队列与拒绝策略选型；Future 超时控制与单系统失败降级；synchronized 锁粒度与锁对象分析；ConcurrentHashMap 与 AtomicLong 计数；了解 CompletableFuture 并行编排、CountDownLatch 与 AQS 原理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与字典缓存的周期复用与过期策略；SETNX 原子占位 + TTL 防止重复提交与重复推送；Lua 脚本保证「比对 + 删除」原子性、避免 TOCTOU 误删；空值缓存防穿透；了解穿透 / 击穿 / 雪崩的区别与对策、分布式锁续期机制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Server；覆盖索引与最左匹配、会用 EXPLAIN 看 type/key/rows/Extra；多表 JOIN 去重、外键改软关联；事务隔离级别与行锁 / 间隙锁基础；批量插入与更新、中间库多数据源配置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Spring 体系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MyBatis（XML Mapper、#{} 与 ${} 的区别）；@Transactional 事务边界与失效场景（自调用、异常被吞、非 public 方法）；Bean 生命周期与循环依赖；JSP 与 JSTL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定时任务与批处理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：Quartz 与平台定时任务配置；多实例部署下重复执行的防重；失败重试、补偿与告警；批处理任务幂等与断点续跑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：HTTP 客户端连接超时与读超时设置；异常翻译（可重试 / 不可重试分类）；有限重试与退避；熔断与降级；回执状态轮询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接口幂等与数据一致性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：业务单号贯穿全链路作为幂等键与对账键；Redis 占位 + 数据库唯一索引两层防重；超时按未知状态处理、先查单再决定是否重试；对账任务兜底漏推数据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：金蝶云星瀚（REST 接口、multipart/form-data 多附件上传、token 周期性缓存与鉴权）、SAP（XML 凭证生成、SFTP 上传、回执状态轮询）、钉钉开放平台（待办推送与审批状态回调）、IDaaS 单点登录（过滤器拦截与 token 解析）、HTTP Basic 认证、EOP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：表单建模、LBPM 流程引擎事件扩展（IEventListener / EndedTaskEvent）、门户组件 Portlet、组织架构与权限模型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：Linux、Git、Maven、SFTP、Docker 基础使用；版本发布与补丁包交付；需求说明书、开发说明文档、工作量评估与验收交付物输出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OA 合同管理与档案归档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2024.09 - 2025.02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流程结束事件监听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</w:t>
      </w:r>
      <w:r>
        <w:rPr>
          <w:rFonts w:ascii="微软雅黑" w:hAnsi="微软雅黑" w:eastAsia="微软雅黑" w:cs="微软雅黑"/>
          <w:b/>
          <w:color w:val="000000"/>
          <w:sz w:val="18"/>
        </w:rPr>
        <w:t>IEventListener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EventExecutionContext），为合同申请、合同变更、合同付款、班子会议、董事会议、党委会议议题、法人授权委托、借查阅共 </w:t>
      </w:r>
      <w:r>
        <w:rPr>
          <w:rFonts w:ascii="微软雅黑" w:hAnsi="微软雅黑" w:eastAsia="微软雅黑" w:cs="微软雅黑"/>
          <w:b/>
          <w:color w:val="000000"/>
          <w:sz w:val="18"/>
        </w:rPr>
        <w:t>8 类流程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各实现一个事件监听器，统一归档至</w:t>
      </w:r>
      <w:r>
        <w:rPr>
          <w:rFonts w:ascii="微软雅黑" w:hAnsi="微软雅黑" w:eastAsia="微软雅黑" w:cs="微软雅黑"/>
          <w:b/>
          <w:color w:val="000000"/>
          <w:sz w:val="18"/>
        </w:rPr>
        <w:t>归档中间表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，解决归档口径不一致、人工归档遗漏的问题。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无纸化会议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：基于会议单据</w:t>
      </w:r>
      <w:r>
        <w:rPr>
          <w:rFonts w:ascii="微软雅黑" w:hAnsi="微软雅黑" w:eastAsia="微软雅黑" w:cs="微软雅黑"/>
          <w:b/>
          <w:color w:val="000000"/>
          <w:sz w:val="18"/>
        </w:rPr>
        <w:t>新增 / 修改 / 删除 / 废弃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四类事件监听，同步会议数据与会务信息。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采购合同附件接收接口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</w:t>
      </w:r>
      <w:r>
        <w:rPr>
          <w:rFonts w:ascii="微软雅黑" w:hAnsi="微软雅黑" w:eastAsia="微软雅黑" w:cs="微软雅黑"/>
          <w:b/>
          <w:color w:val="000000"/>
          <w:sz w:val="18"/>
        </w:rPr>
        <w:t>multipart/form-data 多附件上传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JSON 表单解析，解决采购侧合同附件无法进入 OA 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组织架构同步接口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与合同权限申请公文流程定制。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2025.01 - 2025.09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开发会议通知监听器，基于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事件扩展（IEventListener + EndedTaskEvent）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，在会议节点结束时触发平台通知，实现会议通知自动下发。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负责门户组件 </w:t>
      </w:r>
      <w:r>
        <w:rPr>
          <w:rFonts w:ascii="微软雅黑" w:hAnsi="微软雅黑" w:eastAsia="微软雅黑" w:cs="微软雅黑"/>
          <w:b/>
          <w:color w:val="000000"/>
          <w:sz w:val="18"/>
        </w:rPr>
        <w:t>Portlet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开发，实现工作安排与上会安排门户展示、领导批示定制与公文报表。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负责议题管理模块，基于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议题申请表字段与审批走向联动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上会安排 + 会议议题与公文纪要联动，解决议题、会议与公文数据割裂的问题。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负责会议管理改造，实现 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会议室保管者字段由单值改为 List 多选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、会议信息传阅与会议室预约优化。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2025.12 - 2026.04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 OA 待办与钉钉工作台集成：基于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钉钉开放平台待办推送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审批完成状态回调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避免同一待办重复推送，降低钉钉侧重复待办与用户投诉；日均推送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{待补：条数}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负责单点登录侧改造：基于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OAuth 过滤器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拦截未登录请求，完成票据校验与本地会话建立。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费控与多系统集成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2025.02 - 2026.04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：流程结束监听器生成 XML 凭证文件，经自研 </w:t>
      </w:r>
      <w:r>
        <w:rPr>
          <w:rFonts w:ascii="微软雅黑" w:hAnsi="微软雅黑" w:eastAsia="微软雅黑" w:cs="微软雅黑"/>
          <w:b/>
          <w:color w:val="000000"/>
          <w:sz w:val="18"/>
        </w:rPr>
        <w:t>SFTP 工具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上传至指定服务器，并</w:t>
      </w:r>
      <w:r>
        <w:rPr>
          <w:rFonts w:ascii="微软雅黑" w:hAnsi="微软雅黑" w:eastAsia="微软雅黑" w:cs="微软雅黑"/>
          <w:b/>
          <w:color w:val="000000"/>
          <w:sz w:val="18"/>
        </w:rPr>
        <w:t>轮询对方返回状态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后再决定流程是否继续流转，解决跨系统状态不一致；日均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{待补：笔数}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，上传成功率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{待补}%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 组织架构与成本中心对照映射（大 / 小 / 吴忠</w:t>
      </w:r>
      <w:r>
        <w:rPr>
          <w:rFonts w:ascii="微软雅黑" w:hAnsi="微软雅黑" w:eastAsia="微软雅黑" w:cs="微软雅黑"/>
          <w:b/>
          <w:color w:val="000000"/>
          <w:sz w:val="18"/>
        </w:rPr>
        <w:t>三套成本中心并存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）、中间库（SQL Server）数据读取与公司关联，并设计</w:t>
      </w:r>
      <w:r>
        <w:rPr>
          <w:rFonts w:ascii="微软雅黑" w:hAnsi="微软雅黑" w:eastAsia="微软雅黑" w:cs="微软雅黑"/>
          <w:b/>
          <w:color w:val="000000"/>
          <w:sz w:val="18"/>
        </w:rPr>
        <w:t>大 / 小管理员二级权限模型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</w:t>
      </w:r>
      <w:r>
        <w:rPr>
          <w:rFonts w:ascii="微软雅黑" w:hAnsi="微软雅黑" w:eastAsia="微软雅黑" w:cs="微软雅黑"/>
          <w:b/>
          <w:color w:val="000000"/>
          <w:sz w:val="18"/>
        </w:rPr>
        <w:t>逐级约束校验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：驳回与废弃状态分别触发对应释放调用并做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幂等去重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，避免重复占用。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致远 A8 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HttpURLConnection + MD5 签名 + Base64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换取并复用 token，同步</w:t>
      </w:r>
      <w:r>
        <w:rPr>
          <w:rFonts w:ascii="微软雅黑" w:hAnsi="微软雅黑" w:eastAsia="微软雅黑" w:cs="微软雅黑"/>
          <w:b/>
          <w:color w:val="000000"/>
          <w:sz w:val="18"/>
        </w:rPr>
        <w:t>资产台账与折旧报表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</w:t>
      </w:r>
      <w:r>
        <w:rPr>
          <w:rFonts w:ascii="微软雅黑" w:hAnsi="微软雅黑" w:eastAsia="微软雅黑" w:cs="微软雅黑"/>
          <w:b/>
          <w:color w:val="000000"/>
          <w:sz w:val="18"/>
        </w:rPr>
        <w:t>CRM 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fastjson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解析，同步</w:t>
      </w:r>
      <w:r>
        <w:rPr>
          <w:rFonts w:ascii="微软雅黑" w:hAnsi="微软雅黑" w:eastAsia="微软雅黑" w:cs="微软雅黑"/>
          <w:b/>
          <w:color w:val="000000"/>
          <w:sz w:val="18"/>
        </w:rPr>
        <w:t>渠道账户与经销商主数据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 ｜ EOP 主数据与合同费控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2025.11 - 2026.09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EOP 主数据集成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：负责 </w:t>
      </w:r>
      <w:r>
        <w:rPr>
          <w:rFonts w:ascii="微软雅黑" w:hAnsi="微软雅黑" w:eastAsia="微软雅黑" w:cs="微软雅黑"/>
          <w:b/>
          <w:color w:val="000000"/>
          <w:sz w:val="18"/>
        </w:rPr>
        <w:t>EOP 主数据导入引擎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，抽象「导入列 / 导入上下文 / 校验器 / 强弱关联」的通用模型，支撑 </w:t>
      </w:r>
      <w:r>
        <w:rPr>
          <w:rFonts w:ascii="微软雅黑" w:hAnsi="微软雅黑" w:eastAsia="微软雅黑" w:cs="微软雅黑"/>
          <w:b/>
          <w:color w:val="000000"/>
          <w:sz w:val="18"/>
        </w:rPr>
        <w:t>100+ 个主数据服务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的批量导入与校验；并对接</w:t>
      </w:r>
      <w:r>
        <w:rPr>
          <w:rFonts w:ascii="微软雅黑" w:hAnsi="微软雅黑" w:eastAsia="微软雅黑" w:cs="微软雅黑"/>
          <w:b/>
          <w:color w:val="000000"/>
          <w:sz w:val="18"/>
        </w:rPr>
        <w:t>百望发票查验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i 人事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数据同步。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合同变更与费控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：实现合同变更带入</w:t>
      </w:r>
      <w:r>
        <w:rPr>
          <w:rFonts w:ascii="微软雅黑" w:hAnsi="微软雅黑" w:eastAsia="微软雅黑" w:cs="微软雅黑"/>
          <w:b/>
          <w:color w:val="000000"/>
          <w:sz w:val="18"/>
        </w:rPr>
        <w:t>费控台账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（金额增加走从合同、金额减少走变更协议并同步更新合同金额）、合同付款权限带出与实际支付金额不高于未付金额校验，以及相对方变更与 EOP 供应商信息同步。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2020.07 - 2021.12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 </w:t>
      </w:r>
      <w:r>
        <w:rPr>
          <w:rFonts w:ascii="微软雅黑" w:hAnsi="微软雅黑" w:eastAsia="微软雅黑" w:cs="微软雅黑"/>
          <w:b/>
          <w:color w:val="000000"/>
          <w:sz w:val="18"/>
        </w:rPr>
        <w:t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 JOIN 去重改造替换原多层嵌套查询，解决台账列表查询超时问题；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{待补：改造前耗时 → 改造后耗时、台账表数据量级}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2021.12 - 2023.03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并发拉取多个业务系统待办并聚合展示，解决原串行拉取导致门户加载缓慢的问题；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{待补：串行耗时 → 并发后耗时、涉及系统数}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负责接口防重处理，按 </w:t>
      </w:r>
      <w:r>
        <w:rPr>
          <w:rFonts w:ascii="微软雅黑" w:hAnsi="微软雅黑" w:eastAsia="微软雅黑" w:cs="微软雅黑"/>
          <w:b/>
          <w:color w:val="000000"/>
          <w:sz w:val="18"/>
        </w:rPr>
        <w:t>业务单据号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2023.03 - 2024.09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负责公文管理与会议管理模块交付开发，实现收发文表单定制、会议安排与会议室预约，解决公文与会议线下流转不可追溯的问题。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实现会签、加签、备选人与修改办理人能力，解决多级审批与办理人变更场景下的流程流转需求。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处理批量数据，解决大批量数据单线程串行导入耗时过长的问题；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{待补：一万行耗时 before → after、线程数}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2018.07 ｜ 泉州师范学院 ｜ 软件工程 ｜ 本科（2014.09 - 2018.07）</w:t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v9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