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spacing w:line="480" w:lineRule="auto"/>
        <w:jc w:val="left"/>
      </w:pPr>
      <w:bookmarkStart w:id="0" w:name="_heading=h.gjdgxs" w:colFirst="0" w:colLast="0"/>
      <w:bookmarkEnd w:id="0"/>
      <w:r>
        <w:rPr>
          <w:rtl w:val="0"/>
        </w:rPr>
        <w:tab/>
      </w:r>
      <w:r>
        <w:rPr>
          <w:rtl w:val="0"/>
        </w:rPr>
        <w:tab/>
      </w:r>
      <w:r>
        <w:rPr>
          <w:rtl w:val="0"/>
        </w:rPr>
        <w:t xml:space="preserve">Role of Emotional Support Animals in College Students' Social </w:t>
      </w: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Interactions</w:t>
      </w:r>
    </w:p>
    <w:p w14:paraId="00000002">
      <w:pPr>
        <w:pStyle w:val="10"/>
        <w:spacing w:line="480" w:lineRule="auto"/>
      </w:pPr>
      <w:bookmarkStart w:id="1" w:name="_heading=h.30j0zll" w:colFirst="0" w:colLast="0"/>
      <w:bookmarkEnd w:id="1"/>
    </w:p>
    <w:p w14:paraId="00000003">
      <w:pPr>
        <w:pStyle w:val="10"/>
        <w:spacing w:line="480" w:lineRule="auto"/>
      </w:pPr>
      <w:bookmarkStart w:id="2" w:name="_heading=h.1fob9te" w:colFirst="0" w:colLast="0"/>
      <w:bookmarkEnd w:id="2"/>
      <w:r>
        <w:rPr>
          <w:rtl w:val="0"/>
        </w:rPr>
        <w:t>Valeria Cruz</w:t>
      </w:r>
    </w:p>
    <w:p w14:paraId="00000004">
      <w:pPr>
        <w:pStyle w:val="10"/>
        <w:spacing w:line="480" w:lineRule="auto"/>
      </w:pPr>
      <w:bookmarkStart w:id="3" w:name="_heading=h.3znysh7" w:colFirst="0" w:colLast="0"/>
      <w:bookmarkEnd w:id="3"/>
      <w:r>
        <w:rPr>
          <w:rtl w:val="0"/>
        </w:rPr>
        <w:t xml:space="preserve">Social Work, Elms College </w:t>
      </w:r>
    </w:p>
    <w:p w14:paraId="00000005">
      <w:pPr>
        <w:pStyle w:val="10"/>
        <w:spacing w:line="480" w:lineRule="auto"/>
      </w:pPr>
      <w:bookmarkStart w:id="4" w:name="_heading=h.2et92p0" w:colFirst="0" w:colLast="0"/>
      <w:bookmarkEnd w:id="4"/>
      <w:r>
        <w:rPr>
          <w:i/>
          <w:rtl w:val="0"/>
        </w:rPr>
        <w:t xml:space="preserve"> </w:t>
      </w:r>
      <w:r>
        <w:rPr>
          <w:color w:val="1D2125"/>
          <w:rtl w:val="0"/>
        </w:rPr>
        <w:t>SWK-3100-AB04, SWK-5100-AB04)</w:t>
      </w:r>
    </w:p>
    <w:p w14:paraId="00000006">
      <w:pPr>
        <w:pStyle w:val="10"/>
        <w:spacing w:line="480" w:lineRule="auto"/>
      </w:pPr>
      <w:bookmarkStart w:id="5" w:name="_heading=h.tyjcwt" w:colFirst="0" w:colLast="0"/>
      <w:bookmarkEnd w:id="5"/>
      <w:r>
        <w:rPr>
          <w:i/>
          <w:rtl w:val="0"/>
        </w:rPr>
        <w:t xml:space="preserve"> </w:t>
      </w:r>
      <w:r>
        <w:rPr>
          <w:rtl w:val="0"/>
        </w:rPr>
        <w:t xml:space="preserve">Professor </w:t>
      </w:r>
      <w:r>
        <w:rPr>
          <w:color w:val="1D2125"/>
          <w:highlight w:val="white"/>
          <w:rtl w:val="0"/>
        </w:rPr>
        <w:t>William C. Gilbert, PhD, LCSW</w:t>
      </w:r>
    </w:p>
    <w:p w14:paraId="00000007">
      <w:pPr>
        <w:pStyle w:val="10"/>
        <w:spacing w:line="480" w:lineRule="auto"/>
        <w:rPr>
          <w:b/>
        </w:rPr>
      </w:pPr>
      <w:bookmarkStart w:id="6" w:name="_heading=h.3dy6vkm" w:colFirst="0" w:colLast="0"/>
      <w:bookmarkEnd w:id="6"/>
      <w:r>
        <w:rPr>
          <w:rtl w:val="0"/>
        </w:rPr>
        <w:t>December 15, 2024</w:t>
      </w:r>
      <w:r>
        <w:br w:type="page"/>
      </w:r>
    </w:p>
    <w:p w14:paraId="00000008">
      <w:pPr>
        <w:spacing w:line="480" w:lineRule="auto"/>
        <w:jc w:val="center"/>
        <w:rPr>
          <w:b/>
          <w:color w:val="0E101A"/>
        </w:rPr>
      </w:pPr>
      <w:r>
        <w:rPr>
          <w:b/>
          <w:color w:val="0E101A"/>
          <w:rtl w:val="0"/>
        </w:rPr>
        <w:t>Abstract</w:t>
      </w:r>
    </w:p>
    <w:p w14:paraId="315149D7">
      <w:pPr>
        <w:spacing w:line="480" w:lineRule="auto"/>
        <w:ind w:firstLine="540"/>
        <w:jc w:val="both"/>
        <w:rPr>
          <w:color w:val="0E101A"/>
          <w:rtl w:val="0"/>
        </w:rPr>
      </w:pPr>
      <w:r>
        <w:rPr>
          <w:rFonts w:hint="default"/>
          <w:color w:val="0E101A"/>
          <w:rtl w:val="0"/>
        </w:rPr>
        <w:t xml:space="preserve">This </w:t>
      </w:r>
      <w:r>
        <w:rPr>
          <w:rFonts w:hint="default"/>
          <w:color w:val="0E101A"/>
          <w:rtl w:val="0"/>
          <w:lang w:val="en-US"/>
        </w:rPr>
        <w:t xml:space="preserve">research </w:t>
      </w:r>
      <w:r>
        <w:rPr>
          <w:rFonts w:hint="default"/>
          <w:color w:val="0E101A"/>
          <w:rtl w:val="0"/>
        </w:rPr>
        <w:t xml:space="preserve">seeks to explore the role of emotional support animals in improving social functioning amongst college students in response to </w:t>
      </w:r>
      <w:r>
        <w:rPr>
          <w:rFonts w:hint="default"/>
          <w:color w:val="0E101A"/>
          <w:rtl w:val="0"/>
          <w:lang w:val="en-US"/>
        </w:rPr>
        <w:t>rising</w:t>
      </w:r>
      <w:r>
        <w:rPr>
          <w:rFonts w:hint="default"/>
          <w:color w:val="0E101A"/>
          <w:rtl w:val="0"/>
        </w:rPr>
        <w:t xml:space="preserve"> concerns about mental health issues among students.</w:t>
      </w:r>
      <w:r>
        <w:rPr>
          <w:rFonts w:hint="default"/>
          <w:color w:val="0E101A"/>
          <w:rtl w:val="0"/>
          <w:lang w:val="en-US"/>
        </w:rPr>
        <w:t xml:space="preserve"> </w:t>
      </w:r>
      <w:r>
        <w:rPr>
          <w:color w:val="0E101A"/>
          <w:rtl w:val="0"/>
        </w:rPr>
        <w:t xml:space="preserve">The study analyzes how ESAs affect the social communication and persona of learners and how these animals, legally recognized service animals for people with psychiatric disorders, influence their clients. A quantitative survey and qualitative interviews to measure social facilitation for students with and without ESA over an academic year. </w:t>
      </w:r>
    </w:p>
    <w:p w14:paraId="00000009">
      <w:pPr>
        <w:spacing w:line="480" w:lineRule="auto"/>
        <w:ind w:firstLine="540"/>
        <w:jc w:val="both"/>
        <w:rPr>
          <w:color w:val="0E101A"/>
        </w:rPr>
      </w:pPr>
      <w:r>
        <w:rPr>
          <w:color w:val="0E101A"/>
          <w:rtl w:val="0"/>
        </w:rPr>
        <w:t>These results imply that ESAs help to increase social activity as well as decrease social phobia and lack of a companion. They act as facilitators of interpersonal communication, which results in participants' shared social realities and enhanced participation in activities on campus. Nonetheless, there are barriers, including prejudice, policies, and high costs of ESA support, implying that more direction and subsidies must be provided. The findings highlighted here support the need to include ESAs as a component of overall mental health approaches in higher education and reiterate the importance of evidence to elucidate long-term data on such programs. This present research benefits social work practices in the following way: Firstly, it provides practical recommendations for campus counselling and administrative staff to amplify ESA-related policies and services that may improve students' experiences.</w:t>
      </w:r>
    </w:p>
    <w:p w14:paraId="0000000A">
      <w:pPr>
        <w:spacing w:line="480" w:lineRule="auto"/>
        <w:ind w:firstLine="540"/>
        <w:jc w:val="both"/>
        <w:rPr>
          <w:color w:val="0E101A"/>
        </w:rPr>
      </w:pPr>
    </w:p>
    <w:p w14:paraId="0000000B">
      <w:pPr>
        <w:spacing w:line="480" w:lineRule="auto"/>
        <w:ind w:firstLine="540"/>
        <w:jc w:val="both"/>
        <w:rPr>
          <w:color w:val="0E101A"/>
        </w:rPr>
      </w:pPr>
    </w:p>
    <w:p w14:paraId="0000000C">
      <w:pPr>
        <w:spacing w:line="480" w:lineRule="auto"/>
        <w:ind w:firstLine="540"/>
        <w:jc w:val="both"/>
        <w:rPr>
          <w:color w:val="0E101A"/>
        </w:rPr>
      </w:pPr>
    </w:p>
    <w:p w14:paraId="0000000D">
      <w:pPr>
        <w:spacing w:line="480" w:lineRule="auto"/>
        <w:jc w:val="both"/>
        <w:rPr>
          <w:i/>
          <w:color w:val="0E101A"/>
        </w:rPr>
      </w:pPr>
      <w:r>
        <w:rPr>
          <w:b/>
          <w:color w:val="0E101A"/>
          <w:rtl w:val="0"/>
        </w:rPr>
        <w:t>Keywords</w:t>
      </w:r>
      <w:r>
        <w:rPr>
          <w:color w:val="0E101A"/>
          <w:rtl w:val="0"/>
        </w:rPr>
        <w:t xml:space="preserve">: </w:t>
      </w:r>
      <w:r>
        <w:rPr>
          <w:i/>
          <w:color w:val="0E101A"/>
          <w:rtl w:val="0"/>
        </w:rPr>
        <w:t>ESA, social facilitation, college students, mental health, social work.</w:t>
      </w:r>
    </w:p>
    <w:p w14:paraId="00000010">
      <w:pPr>
        <w:spacing w:line="480" w:lineRule="auto"/>
        <w:ind w:firstLine="400"/>
        <w:jc w:val="center"/>
        <w:rPr>
          <w:b/>
        </w:rPr>
      </w:pPr>
      <w:r>
        <w:rPr>
          <w:b/>
          <w:rtl w:val="0"/>
        </w:rPr>
        <w:t>Statement of the Problem</w:t>
      </w:r>
    </w:p>
    <w:p w14:paraId="00000011">
      <w:pPr>
        <w:spacing w:line="480" w:lineRule="auto"/>
        <w:ind w:firstLine="400"/>
        <w:jc w:val="both"/>
      </w:pPr>
      <w:r>
        <w:rPr>
          <w:rtl w:val="0"/>
        </w:rPr>
        <w:t>College students face numerous mental health challenges during their academic careers, with anxiety and depression becoming increasingly prevalent on campuses across the United States.</w:t>
      </w:r>
      <w:r>
        <w:rPr>
          <w:rFonts w:hint="default"/>
          <w:rtl w:val="0"/>
        </w:rPr>
        <w:t xml:space="preserve"> </w:t>
      </w:r>
      <w:r>
        <w:rPr>
          <w:rFonts w:hint="default"/>
          <w:rtl w:val="0"/>
          <w:lang w:val="en-US"/>
        </w:rPr>
        <w:t xml:space="preserve">About </w:t>
      </w:r>
      <w:r>
        <w:rPr>
          <w:rFonts w:hint="default"/>
          <w:rtl w:val="0"/>
        </w:rPr>
        <w:t>25% of the students in colleges have been diagnosed or treated for problems of psychiatric nature, and at least 56.9% confess to being traumatized by what they call 'overwhelming anxiety', and 34.5% reported being severely depressed.</w:t>
      </w:r>
      <w:r>
        <w:rPr>
          <w:b/>
          <w:rtl w:val="0"/>
        </w:rPr>
        <w:t xml:space="preserve"> </w:t>
      </w:r>
      <w:r>
        <w:rPr>
          <w:rtl w:val="0"/>
        </w:rPr>
        <w:t xml:space="preserve">As the anxiety and depression among college students escalate, so does the demand for ESAs in colleges (Goodman-Wilson &amp; Highfill, 2019). This trend thus raises other questions regarding the positive social effects and consequences of ESAs and their contribution to improving students' wellbeing and social interactions. </w:t>
      </w:r>
    </w:p>
    <w:p w14:paraId="00000012">
      <w:pPr>
        <w:spacing w:line="480" w:lineRule="auto"/>
        <w:ind w:firstLine="400"/>
        <w:jc w:val="both"/>
        <w:rPr>
          <w:rtl w:val="0"/>
        </w:rPr>
      </w:pPr>
      <w:r>
        <w:rPr>
          <w:rtl w:val="0"/>
        </w:rPr>
        <w:t>Although ESAs are legally recognized as "emotional support animals that have potential therapeutic value for applicants with mental or psychiatric disorders", there is still much confusion about their purpose and the rights afforded to them, as well as their efficiency in handling students' mental health issues. While there are apparent differences from service animals, EMAs can be any species without training to assist their masters emotionally. The Fair Housing Amendments Act of 1988 guarantees students' right to have ESAs in the dwelling in learning institutions as a form of reasonable accommodation. 'However, their presence in the other areas of learning institutions is still a concern, remains unpopular, and is not well understood (Adams et al., 2017).</w:t>
      </w:r>
    </w:p>
    <w:p w14:paraId="586F8CD4">
      <w:pPr>
        <w:spacing w:line="480" w:lineRule="auto"/>
        <w:ind w:firstLine="400"/>
        <w:jc w:val="both"/>
        <w:rPr>
          <w:rtl w:val="0"/>
        </w:rPr>
      </w:pPr>
    </w:p>
    <w:p w14:paraId="6A33F07E">
      <w:pPr>
        <w:spacing w:line="480" w:lineRule="auto"/>
        <w:ind w:firstLine="400"/>
        <w:jc w:val="both"/>
        <w:rPr>
          <w:rtl w:val="0"/>
        </w:rPr>
      </w:pPr>
    </w:p>
    <w:p w14:paraId="2767D0B4">
      <w:pPr>
        <w:spacing w:line="480" w:lineRule="auto"/>
        <w:ind w:firstLine="400"/>
        <w:jc w:val="both"/>
        <w:rPr>
          <w:rtl w:val="0"/>
        </w:rPr>
      </w:pPr>
    </w:p>
    <w:p w14:paraId="2C4B3F36">
      <w:pPr>
        <w:spacing w:line="480" w:lineRule="auto"/>
        <w:ind w:firstLine="400"/>
        <w:jc w:val="both"/>
        <w:rPr>
          <w:rtl w:val="0"/>
        </w:rPr>
      </w:pPr>
    </w:p>
    <w:p w14:paraId="00000013">
      <w:pPr>
        <w:spacing w:line="480" w:lineRule="auto"/>
        <w:ind w:firstLine="400"/>
        <w:jc w:val="center"/>
        <w:rPr>
          <w:b/>
          <w:highlight w:val="white"/>
        </w:rPr>
      </w:pPr>
      <w:r>
        <w:rPr>
          <w:b/>
          <w:highlight w:val="white"/>
          <w:rtl w:val="0"/>
        </w:rPr>
        <w:t>Significance of the Proposed Research</w:t>
      </w:r>
    </w:p>
    <w:p w14:paraId="00000014">
      <w:pPr>
        <w:spacing w:line="480" w:lineRule="auto"/>
        <w:ind w:firstLine="400"/>
        <w:jc w:val="both"/>
        <w:rPr>
          <w:highlight w:val="white"/>
        </w:rPr>
      </w:pPr>
      <w:r>
        <w:rPr>
          <w:highlight w:val="white"/>
          <w:rtl w:val="0"/>
        </w:rPr>
        <w:t xml:space="preserve">The findings of this research, which focus </w:t>
      </w:r>
      <w:r>
        <w:rPr>
          <w:rFonts w:hint="default"/>
          <w:highlight w:val="white"/>
          <w:rtl w:val="0"/>
        </w:rPr>
        <w:t>on the effects of an ESA on the social communication of college students, will help several stakeholders in higher learning institutions.</w:t>
      </w:r>
      <w:r>
        <w:rPr>
          <w:rFonts w:hint="default"/>
          <w:highlight w:val="white"/>
          <w:rtl w:val="0"/>
          <w:lang w:val="en-US"/>
        </w:rPr>
        <w:t xml:space="preserve"> </w:t>
      </w:r>
      <w:r>
        <w:rPr>
          <w:highlight w:val="white"/>
          <w:rtl w:val="0"/>
        </w:rPr>
        <w:t xml:space="preserve">Consequently, college counselling centres and outstanding student affairs authorities could learn how ESAs affect students' social performance to enhance related policies and supportive services. </w:t>
      </w:r>
      <w:r>
        <w:rPr>
          <w:rFonts w:hint="default"/>
          <w:highlight w:val="white"/>
          <w:rtl w:val="0"/>
        </w:rPr>
        <w:t>There is a comprehensive growing practice where college counsellors are exposed to clients with conditions where pets and ESAs play a vital role in the student's mental health and adjustment on campus Adams et al., 2017.</w:t>
      </w:r>
      <w:r>
        <w:rPr>
          <w:rFonts w:hint="default"/>
          <w:highlight w:val="white"/>
          <w:rtl w:val="0"/>
          <w:lang w:val="en-US"/>
        </w:rPr>
        <w:t xml:space="preserve"> </w:t>
      </w:r>
      <w:r>
        <w:rPr>
          <w:highlight w:val="white"/>
          <w:rtl w:val="0"/>
        </w:rPr>
        <w:t>Nevertheless, regarding how these animals influence students' social relationships, there is still scarce research data available.</w:t>
      </w:r>
    </w:p>
    <w:p w14:paraId="00000015">
      <w:pPr>
        <w:spacing w:line="480" w:lineRule="auto"/>
        <w:ind w:firstLine="400"/>
        <w:jc w:val="both"/>
        <w:rPr>
          <w:highlight w:val="white"/>
        </w:rPr>
      </w:pPr>
      <w:r>
        <w:rPr>
          <w:highlight w:val="white"/>
          <w:rtl w:val="0"/>
        </w:rPr>
        <w:t>The topic also has applications for college administrators outlining procedural approaches to ESAs. There is still a lack of clear understanding of ESA policies among faculty and students, and overall, it is necessary to establish guidelines grounded in research evidence (Goodman-Wilson &amp; Highfill, 2019). Furthermore, because an increasing number of learners seek ESAs for anxiety and depression, it is also necessary to understand the social consequences of such research to help mental health workers conduct a proper assessment and documentation of the therapeutic outcomes.</w:t>
      </w:r>
    </w:p>
    <w:p w14:paraId="00000016">
      <w:pPr>
        <w:spacing w:line="480" w:lineRule="auto"/>
        <w:ind w:firstLine="400"/>
        <w:jc w:val="both"/>
        <w:rPr>
          <w:highlight w:val="white"/>
        </w:rPr>
      </w:pPr>
      <w:r>
        <w:rPr>
          <w:rFonts w:hint="default"/>
          <w:highlight w:val="white"/>
          <w:rtl w:val="0"/>
        </w:rPr>
        <w:t xml:space="preserve">This research investigates a gap identified in the literature by comparing the perceptions of academic and non-academic stakeholders about developing degree programs in a </w:t>
      </w:r>
      <w:r>
        <w:rPr>
          <w:rFonts w:hint="default"/>
          <w:highlight w:val="white"/>
          <w:rtl w:val="0"/>
          <w:lang w:val="en-US"/>
        </w:rPr>
        <w:t xml:space="preserve">given </w:t>
      </w:r>
      <w:r>
        <w:rPr>
          <w:rFonts w:hint="default"/>
          <w:highlight w:val="white"/>
          <w:rtl w:val="0"/>
        </w:rPr>
        <w:t>country.</w:t>
      </w:r>
      <w:r>
        <w:rPr>
          <w:highlight w:val="white"/>
          <w:rtl w:val="0"/>
        </w:rPr>
        <w:t xml:space="preserve"> Although prior research has surveyed the general public regarding their awareness of ESAs and has tracked the rising presence of these animals in campus settings, to the author's knowledge, no body of formal academic literature exists on the impact of the presence of ESAs on students' social lives. Companionships with pets and ESAs may foster social relations, but this proposition needs to be tested (Adams et al., 2017).</w:t>
      </w:r>
    </w:p>
    <w:p w14:paraId="00000017">
      <w:pPr>
        <w:spacing w:line="480" w:lineRule="auto"/>
        <w:ind w:left="1080" w:hanging="540"/>
        <w:jc w:val="both"/>
      </w:pPr>
      <w:r>
        <w:rPr>
          <w:b/>
          <w:rtl w:val="0"/>
        </w:rPr>
        <w:t>Research Question</w:t>
      </w:r>
      <w:r>
        <w:rPr>
          <w:rtl w:val="0"/>
        </w:rPr>
        <w:t>: Do college students' social relations improve noticeably when they utilize emotional support animals?</w:t>
      </w:r>
    </w:p>
    <w:p w14:paraId="00000018">
      <w:pPr>
        <w:spacing w:line="480" w:lineRule="auto"/>
        <w:ind w:firstLine="400"/>
        <w:jc w:val="both"/>
        <w:rPr>
          <w:b/>
        </w:rPr>
      </w:pPr>
      <w:r>
        <w:rPr>
          <w:b/>
          <w:rtl w:val="0"/>
        </w:rPr>
        <w:t>Key Concepts and Definitions:</w:t>
      </w:r>
    </w:p>
    <w:p w14:paraId="00000019">
      <w:pPr>
        <w:spacing w:line="480" w:lineRule="auto"/>
        <w:ind w:left="800" w:hanging="260"/>
        <w:jc w:val="both"/>
      </w:pPr>
      <w:r>
        <w:rPr>
          <w:rtl w:val="0"/>
        </w:rPr>
        <w:t>1. Emotional Support Animals (ESAs): According to a mental health specialist, ESAs are companion animals that benefit people with mental or psychiatric impairments.</w:t>
      </w:r>
    </w:p>
    <w:p w14:paraId="0000001A">
      <w:pPr>
        <w:spacing w:line="480" w:lineRule="auto"/>
        <w:ind w:left="800" w:hanging="260"/>
        <w:jc w:val="both"/>
      </w:pPr>
      <w:r>
        <w:rPr>
          <w:rtl w:val="0"/>
        </w:rPr>
        <w:t>2. Social interactions: measurable interactions between students and their peers, such as how often they interact, how well they get along, and whether they participate in social events.</w:t>
      </w:r>
    </w:p>
    <w:p w14:paraId="0000001B">
      <w:pPr>
        <w:spacing w:line="480" w:lineRule="auto"/>
        <w:ind w:left="800" w:hanging="260"/>
        <w:jc w:val="both"/>
      </w:pPr>
      <w:r>
        <w:rPr>
          <w:rtl w:val="0"/>
        </w:rPr>
        <w:t>3. Significant Improvement: A statistically significant rise in the number and calibre of social interactions, as determined by qualitative interviews and standardized social interaction assessments.</w:t>
      </w:r>
    </w:p>
    <w:p w14:paraId="0000001C">
      <w:pPr>
        <w:spacing w:line="480" w:lineRule="auto"/>
        <w:ind w:left="800" w:hanging="260"/>
        <w:jc w:val="both"/>
      </w:pPr>
      <w:r>
        <w:rPr>
          <w:rtl w:val="0"/>
        </w:rPr>
        <w:t>4. College Students: Undergraduate students enrolled full-time who live on campus and are allowed to have ESAs.</w:t>
      </w:r>
    </w:p>
    <w:p w14:paraId="0000001D">
      <w:pPr>
        <w:spacing w:line="480" w:lineRule="auto"/>
        <w:ind w:firstLine="400"/>
        <w:jc w:val="center"/>
        <w:rPr>
          <w:b/>
        </w:rPr>
      </w:pPr>
      <w:r>
        <w:rPr>
          <w:b/>
          <w:rtl w:val="0"/>
        </w:rPr>
        <w:t>Relevance to Social Work Practice</w:t>
      </w:r>
    </w:p>
    <w:p w14:paraId="78F87814">
      <w:pPr>
        <w:spacing w:line="480" w:lineRule="auto"/>
        <w:ind w:firstLine="400"/>
        <w:jc w:val="both"/>
        <w:rPr>
          <w:rtl w:val="0"/>
        </w:rPr>
      </w:pPr>
      <w:r>
        <w:rPr>
          <w:rtl w:val="0"/>
        </w:rPr>
        <w:t xml:space="preserve">Thus, the present research findings directly affect social work practice in higher education learning environments. College social workers and counsellors are of immense importance in managing students' mental health and helping them healthily adapt to college life. Understanding how ESAs affect individuals' behaviours could assist practitioners in determining the appropriate moments for recommending ESAs and identifying ways of enhancing their beneficial use. The results might also be relevant to policy formulation aimed at enhancing people's quality of life and their integration into society. </w:t>
      </w:r>
    </w:p>
    <w:p w14:paraId="0000001E">
      <w:pPr>
        <w:spacing w:line="480" w:lineRule="auto"/>
        <w:ind w:firstLine="400"/>
        <w:jc w:val="both"/>
        <w:rPr>
          <w:rFonts w:hint="default"/>
          <w:lang w:val="en-US"/>
        </w:rPr>
      </w:pPr>
      <w:r>
        <w:rPr>
          <w:rtl w:val="0"/>
        </w:rPr>
        <w:t>In addition, on one level, this research relates to other social work concerns regarding access, accommodations, and eradicating prejudice toward getting help with mental health issues. As Adams et al. 2017 rightly argues, we do not know much about how to offer ESAs in ways that are both helpful and acceptable to patients while also not overburdening clinical and non-clinical staff and avoiding institutional policy violations</w:t>
      </w:r>
      <w:r>
        <w:rPr>
          <w:rFonts w:hint="default"/>
          <w:rtl w:val="0"/>
          <w:lang w:val="en-US"/>
        </w:rPr>
        <w:t>.</w:t>
      </w:r>
    </w:p>
    <w:p w14:paraId="0000001F">
      <w:pPr>
        <w:spacing w:line="480" w:lineRule="auto"/>
        <w:ind w:firstLine="400"/>
        <w:jc w:val="both"/>
        <w:rPr>
          <w:b/>
        </w:rPr>
      </w:pPr>
    </w:p>
    <w:p w14:paraId="00000020">
      <w:pPr>
        <w:spacing w:line="480" w:lineRule="auto"/>
        <w:ind w:firstLine="400"/>
        <w:jc w:val="center"/>
        <w:rPr>
          <w:b/>
        </w:rPr>
      </w:pPr>
    </w:p>
    <w:p w14:paraId="00000021">
      <w:pPr>
        <w:spacing w:line="480" w:lineRule="auto"/>
        <w:ind w:firstLine="400"/>
        <w:jc w:val="center"/>
        <w:rPr>
          <w:b/>
        </w:rPr>
      </w:pPr>
      <w:r>
        <w:rPr>
          <w:b/>
          <w:rtl w:val="0"/>
        </w:rPr>
        <w:t>Literature Review</w:t>
      </w:r>
    </w:p>
    <w:p w14:paraId="0F770400">
      <w:pPr>
        <w:spacing w:line="480" w:lineRule="auto"/>
        <w:ind w:firstLine="400"/>
        <w:jc w:val="both"/>
        <w:rPr>
          <w:rtl w:val="0"/>
        </w:rPr>
      </w:pPr>
      <w:r>
        <w:rPr>
          <w:rtl w:val="0"/>
        </w:rPr>
        <w:t xml:space="preserve">Higher education institutions are increasingly using alternative support measures, such as emotional support animals (ESAs), to promote students' emotional and social wellbeing in light of the rise in mental health issues among college students. Therefore, ESAs differ from traditional service animals that are trained for specific purposes; instead, they are creatures that provide comfort to individuals struggling with psychiatric or emotional issues. </w:t>
      </w:r>
    </w:p>
    <w:p w14:paraId="00000022">
      <w:pPr>
        <w:spacing w:line="480" w:lineRule="auto"/>
        <w:ind w:firstLine="400"/>
        <w:jc w:val="both"/>
        <w:rPr>
          <w:rtl w:val="0"/>
        </w:rPr>
      </w:pPr>
      <w:r>
        <w:rPr>
          <w:rtl w:val="0"/>
        </w:rPr>
        <w:t>Despite a growing number of qualitative and subjective accounts of how ESAs relieve students' stress and anxiety, few quantitative studies look into how these animals affect students' social lives and the larger university environment. This literature review compiles literature that explores the presence of ESAs on social relations among college students, drawing from theories of psychology, social work, and human-animal interaction. The papers examined mainly originate from the journals Society &amp; Animals and the Journal of College Student Psychotherapy, and most theoretical data used are from the theories on social support and attachment theory.</w:t>
      </w:r>
    </w:p>
    <w:p w14:paraId="4DAFF403">
      <w:pPr>
        <w:spacing w:line="480" w:lineRule="auto"/>
        <w:ind w:firstLine="400"/>
        <w:jc w:val="both"/>
        <w:rPr>
          <w:rtl w:val="0"/>
        </w:rPr>
      </w:pPr>
    </w:p>
    <w:p w14:paraId="601051C5">
      <w:pPr>
        <w:spacing w:line="480" w:lineRule="auto"/>
        <w:ind w:firstLine="400"/>
        <w:jc w:val="both"/>
        <w:rPr>
          <w:rtl w:val="0"/>
        </w:rPr>
      </w:pPr>
    </w:p>
    <w:p w14:paraId="00000023">
      <w:pPr>
        <w:spacing w:line="480" w:lineRule="auto"/>
        <w:ind w:firstLine="400"/>
        <w:jc w:val="center"/>
        <w:rPr>
          <w:b/>
        </w:rPr>
      </w:pPr>
      <w:r>
        <w:rPr>
          <w:b/>
          <w:rtl w:val="0"/>
        </w:rPr>
        <w:t>Summaries and Critiques of Key Studies</w:t>
      </w:r>
    </w:p>
    <w:p w14:paraId="00000024">
      <w:pPr>
        <w:spacing w:line="480" w:lineRule="auto"/>
        <w:ind w:firstLine="400"/>
        <w:jc w:val="center"/>
        <w:rPr>
          <w:b/>
        </w:rPr>
      </w:pPr>
      <w:r>
        <w:rPr>
          <w:b/>
          <w:rtl w:val="0"/>
        </w:rPr>
        <w:t>Goodman-Wilson &amp; Highfill (2019). Faculty and Student Perceptions of ESAs on Campus</w:t>
      </w:r>
    </w:p>
    <w:p w14:paraId="00000025">
      <w:pPr>
        <w:spacing w:line="480" w:lineRule="auto"/>
        <w:ind w:firstLine="400"/>
        <w:jc w:val="both"/>
      </w:pPr>
      <w:r>
        <w:rPr>
          <w:rtl w:val="0"/>
        </w:rPr>
        <w:t xml:space="preserve">Summary: </w:t>
      </w:r>
      <w:r>
        <w:rPr>
          <w:rFonts w:hint="default"/>
          <w:rtl w:val="0"/>
        </w:rPr>
        <w:t>Goodman-Wilson and Highfill, in the course of their research, took a turn to the understanding of the present perception among faculty and students regarding the sanctioned college policies on ESAs and the effect of ESAs on students' social as well as emotional wellbeing.</w:t>
      </w:r>
      <w:r>
        <w:rPr>
          <w:rtl w:val="0"/>
        </w:rPr>
        <w:t xml:space="preserve"> </w:t>
      </w:r>
      <w:r>
        <w:rPr>
          <w:rFonts w:hint="default"/>
          <w:rtl w:val="0"/>
        </w:rPr>
        <w:t>The researchers distributed questionnaires to 45 faculty members and 228 students, of whom 49 had an ESA in their household.</w:t>
      </w:r>
      <w:r>
        <w:rPr>
          <w:rFonts w:hint="default"/>
          <w:rtl w:val="0"/>
          <w:lang w:val="en-US"/>
        </w:rPr>
        <w:t xml:space="preserve"> </w:t>
      </w:r>
      <w:r>
        <w:rPr>
          <w:rtl w:val="0"/>
        </w:rPr>
        <w:t>Their research shows that university students favour ESAs, though there needs to be more understanding about what they can and cannot do on campus. The study reveals that although many students consider using ESAs as a way to tackle anxiety and loneliness, there is considerable controversy over whether or not to permit ESAs in schools.</w:t>
      </w:r>
    </w:p>
    <w:p w14:paraId="00000026">
      <w:pPr>
        <w:spacing w:line="480" w:lineRule="auto"/>
        <w:ind w:firstLine="400"/>
        <w:jc w:val="both"/>
      </w:pPr>
      <w:r>
        <w:rPr>
          <w:rtl w:val="0"/>
        </w:rPr>
        <w:t>Critique: The study's strength is its sample size, which enables the researcher to introduce findings about a unique diversity of thoughts and experiences within campus communities. However, the missing control group (the students without ESAs) weakens the possibility of stating that they achieve specific social benefits more often and unconditionally. Third, self-selection bias is a problem; participants may report information based on their perceived norms or personal stake in ESA policies.</w:t>
      </w:r>
    </w:p>
    <w:p w14:paraId="00000027">
      <w:pPr>
        <w:spacing w:line="480" w:lineRule="auto"/>
        <w:ind w:firstLine="400"/>
        <w:jc w:val="center"/>
        <w:rPr>
          <w:b/>
        </w:rPr>
      </w:pPr>
      <w:r>
        <w:rPr>
          <w:b/>
          <w:rtl w:val="0"/>
        </w:rPr>
        <w:t>Adams, Sharkin, and Bottinelli (2017). The Role of Pets in the Lives of College Students</w:t>
      </w:r>
    </w:p>
    <w:p w14:paraId="00000028">
      <w:pPr>
        <w:spacing w:line="480" w:lineRule="auto"/>
        <w:ind w:firstLine="400"/>
        <w:jc w:val="both"/>
      </w:pPr>
      <w:r>
        <w:rPr>
          <w:rtl w:val="0"/>
        </w:rPr>
        <w:t xml:space="preserve">Summary: This essay </w:t>
      </w:r>
      <w:r>
        <w:rPr>
          <w:rFonts w:hint="default"/>
          <w:rtl w:val="0"/>
        </w:rPr>
        <w:t>analyzes the emotional benefits pets—including ESAs—provide to college students, most especially in relieving stress, anxiety, and homesickness.</w:t>
      </w:r>
      <w:r>
        <w:rPr>
          <w:rFonts w:hint="default"/>
          <w:rtl w:val="0"/>
          <w:lang w:val="en-US"/>
        </w:rPr>
        <w:t xml:space="preserve"> </w:t>
      </w:r>
      <w:r>
        <w:rPr>
          <w:rtl w:val="0"/>
        </w:rPr>
        <w:t>Adams et al. argue that ESAs provide an essential level of emotional and social support, giving students the sense of having a companion at the college level</w:t>
      </w:r>
      <w:r>
        <w:rPr>
          <w:rFonts w:hint="default"/>
          <w:rtl w:val="0"/>
          <w:lang w:val="en-US"/>
        </w:rPr>
        <w:t>.</w:t>
      </w:r>
      <w:r>
        <w:rPr>
          <w:rtl w:val="0"/>
        </w:rPr>
        <w:t xml:space="preserve"> This paper only briefly touches on how formal counterpart ESAs could lead to more social interaction due to having shared social contexts, as students with ESAs elicit peer enquiries and contact, thus more chances for socializing.</w:t>
      </w:r>
    </w:p>
    <w:p w14:paraId="00000029">
      <w:pPr>
        <w:spacing w:line="480" w:lineRule="auto"/>
        <w:ind w:firstLine="400"/>
        <w:jc w:val="both"/>
        <w:rPr>
          <w:rFonts w:hint="default"/>
          <w:rtl w:val="0"/>
        </w:rPr>
      </w:pPr>
      <w:r>
        <w:rPr>
          <w:rtl w:val="0"/>
        </w:rPr>
        <w:t xml:space="preserve">Critique: The quality of the current study lies in its enhanced comprehension of the specific emotional needs that ESAs fulfil, with a strong emphasis on attachment theory. However, unlike the quantitative study that measures the empirical impact of social interaction, the current study does not account for the quantity of social interaction or the use of standardized parameters. Therefore, the results do not support the assertion of statistically substantiated social effects of ESAs. </w:t>
      </w:r>
      <w:r>
        <w:rPr>
          <w:rFonts w:hint="default"/>
          <w:rtl w:val="0"/>
        </w:rPr>
        <w:t>This study might have improved utmost by comparing the results of students who personally own an ESA and those who do not but have other pets. It could provide a specific understanding of the social implications of an ESA.</w:t>
      </w:r>
    </w:p>
    <w:p w14:paraId="17DBD52F">
      <w:pPr>
        <w:spacing w:line="480" w:lineRule="auto"/>
        <w:ind w:firstLine="400"/>
        <w:jc w:val="both"/>
        <w:rPr>
          <w:rFonts w:hint="default"/>
          <w:rtl w:val="0"/>
        </w:rPr>
      </w:pPr>
    </w:p>
    <w:p w14:paraId="0000002A">
      <w:pPr>
        <w:spacing w:line="480" w:lineRule="auto"/>
        <w:ind w:firstLine="400"/>
        <w:jc w:val="center"/>
        <w:rPr>
          <w:b/>
        </w:rPr>
      </w:pPr>
      <w:r>
        <w:rPr>
          <w:b/>
          <w:rtl w:val="0"/>
        </w:rPr>
        <w:t>Robino et al. (2021): Effects of Animal-Assisted Interventions on College Student Mental Health</w:t>
      </w:r>
    </w:p>
    <w:p w14:paraId="0000002B">
      <w:pPr>
        <w:spacing w:line="480" w:lineRule="auto"/>
        <w:ind w:firstLine="400"/>
        <w:jc w:val="both"/>
      </w:pPr>
      <w:r>
        <w:rPr>
          <w:rtl w:val="0"/>
        </w:rPr>
        <w:t xml:space="preserve">Summary: </w:t>
      </w:r>
      <w:r>
        <w:rPr>
          <w:rFonts w:hint="default"/>
          <w:rtl w:val="0"/>
        </w:rPr>
        <w:t>Robinson et al. evaluated an animal-assisted intervention (AAI) program at a college that specifically catered to students who had therapy-animal interactions</w:t>
      </w:r>
      <w:r>
        <w:rPr>
          <w:rtl w:val="0"/>
        </w:rPr>
        <w:t>. This call also revealed that short contact with therapy animals positively affected students' affective states, decreasing negative and enhancing positive affect</w:t>
      </w:r>
      <w:r>
        <w:rPr>
          <w:rFonts w:hint="default"/>
          <w:rtl w:val="0"/>
          <w:lang w:val="en-US"/>
        </w:rPr>
        <w:t xml:space="preserve">. </w:t>
      </w:r>
      <w:r>
        <w:rPr>
          <w:rtl w:val="0"/>
        </w:rPr>
        <w:t>While the results are not exclusive to permanent ESAs, the study's outcome supports the hypothesis that there are tangible benefits in enhancing positive human-animal student interactions—even in brief sessions—concerning students' mental and emotional health.</w:t>
      </w:r>
    </w:p>
    <w:p w14:paraId="0000002C">
      <w:pPr>
        <w:spacing w:line="480" w:lineRule="auto"/>
        <w:ind w:firstLine="400"/>
        <w:jc w:val="both"/>
        <w:rPr>
          <w:rtl w:val="0"/>
        </w:rPr>
      </w:pPr>
      <w:r>
        <w:rPr>
          <w:rtl w:val="0"/>
        </w:rPr>
        <w:t>Critique: This work provides important insights into the temporary effects of human-animal interactions in support of their application in improving social and emotional approximations. However, as a cross-sectional study more interested in temporary interaction than long-term ESA ownership, it cannot claim much of a sense of the students' ESA-centered sociality after a few years. Also, the lack of randomization and the use of convenience samples mean that the study sample might not be representative of college students; hence, there is a need for future research to examine the long-term impact of permanent ESAs on students' lives socially and academically.</w:t>
      </w:r>
    </w:p>
    <w:p w14:paraId="29B4D59C">
      <w:pPr>
        <w:spacing w:line="480" w:lineRule="auto"/>
        <w:ind w:firstLine="400"/>
        <w:jc w:val="both"/>
        <w:rPr>
          <w:rtl w:val="0"/>
        </w:rPr>
      </w:pPr>
    </w:p>
    <w:p w14:paraId="0000002D">
      <w:pPr>
        <w:spacing w:line="480" w:lineRule="auto"/>
        <w:ind w:firstLine="400"/>
        <w:jc w:val="center"/>
        <w:rPr>
          <w:b/>
        </w:rPr>
      </w:pPr>
      <w:r>
        <w:rPr>
          <w:b/>
          <w:rtl w:val="0"/>
        </w:rPr>
        <w:t>Curl, Brottman, and Kunkel (2023): ESAs in College Housing</w:t>
      </w:r>
    </w:p>
    <w:p w14:paraId="0000002E">
      <w:pPr>
        <w:spacing w:line="480" w:lineRule="auto"/>
        <w:ind w:firstLine="400"/>
        <w:jc w:val="both"/>
      </w:pPr>
      <w:r>
        <w:rPr>
          <w:rtl w:val="0"/>
        </w:rPr>
        <w:t>Summary: College students who live with ESAs in campus housing were explored in this mixed-methods study; participants were asked about the social/emotional and practical implications of the animals' presence. Some found motivation to venture out, engage in social interactions, and enhance their mental wellbeing. However, the participants also enumerated difficulties they experienced, including stigmatization and the cost implications of acquiring and maintaining ESA</w:t>
      </w:r>
      <w:r>
        <w:rPr>
          <w:rFonts w:hint="default"/>
          <w:rtl w:val="0"/>
          <w:lang w:val="en-US"/>
        </w:rPr>
        <w:t>.</w:t>
      </w:r>
      <w:r>
        <w:rPr>
          <w:rtl w:val="0"/>
        </w:rPr>
        <w:t xml:space="preserve"> The study also showed how ESAs help students to socially interact, which is evident since many students with ESAs confirmed that they are more capable of interacting in social activities because of their animals.</w:t>
      </w:r>
    </w:p>
    <w:p w14:paraId="0000002F">
      <w:pPr>
        <w:spacing w:line="480" w:lineRule="auto"/>
        <w:ind w:firstLine="400"/>
        <w:jc w:val="both"/>
      </w:pPr>
      <w:r>
        <w:rPr>
          <w:rtl w:val="0"/>
        </w:rPr>
        <w:t>Critique:</w:t>
      </w:r>
      <w:r>
        <w:rPr>
          <w:rFonts w:hint="default"/>
          <w:rtl w:val="0"/>
        </w:rPr>
        <w:t xml:space="preserve"> Integration of qualitative and quantitative data makes this study better because these basically give a more general description of ESA. However, one severe limitation of this study is the reliance on those self-reported experiences requiring standardized measures of social interactions, thereby casting doubts on the validity of conclusions. F</w:t>
      </w:r>
      <w:r>
        <w:rPr>
          <w:rtl w:val="0"/>
        </w:rPr>
        <w:t>urthermore, the study must distinguish between 'types' of ESAs and take an intra-species perspective, likely to show differences in how the animals affect people's social lives.</w:t>
      </w:r>
    </w:p>
    <w:p w14:paraId="00000030">
      <w:pPr>
        <w:spacing w:line="480" w:lineRule="auto"/>
        <w:ind w:firstLine="400"/>
        <w:jc w:val="both"/>
        <w:rPr>
          <w:b/>
        </w:rPr>
      </w:pPr>
    </w:p>
    <w:p w14:paraId="00000031">
      <w:pPr>
        <w:spacing w:line="480" w:lineRule="auto"/>
        <w:ind w:firstLine="400"/>
        <w:jc w:val="center"/>
        <w:rPr>
          <w:b/>
        </w:rPr>
      </w:pPr>
    </w:p>
    <w:p w14:paraId="00000032">
      <w:pPr>
        <w:spacing w:line="480" w:lineRule="auto"/>
        <w:ind w:firstLine="400"/>
        <w:jc w:val="center"/>
        <w:rPr>
          <w:b/>
        </w:rPr>
      </w:pPr>
      <w:r>
        <w:rPr>
          <w:b/>
          <w:rtl w:val="0"/>
        </w:rPr>
        <w:t>Von Bergen (2015): Emotional support animals, service animals, and pets on campus</w:t>
      </w:r>
    </w:p>
    <w:p w14:paraId="00000033">
      <w:pPr>
        <w:spacing w:line="480" w:lineRule="auto"/>
        <w:ind w:firstLine="400"/>
        <w:jc w:val="both"/>
      </w:pPr>
      <w:r>
        <w:rPr>
          <w:rtl w:val="0"/>
        </w:rPr>
        <w:t xml:space="preserve">Summary: </w:t>
      </w:r>
      <w:r>
        <w:rPr>
          <w:rFonts w:hint="default"/>
          <w:rtl w:val="0"/>
        </w:rPr>
        <w:t>The increasing call for Emotional Support Animals (ESAs) in schools is analyzed legally in this paper while separately addressing the administrative issues and mental health issues suffered by students. Studies have assessed the growing trend of ESA animal use among persons with mental disorders in colleges prohibiting pets.</w:t>
      </w:r>
      <w:r>
        <w:rPr>
          <w:rFonts w:hint="default"/>
          <w:rtl w:val="0"/>
          <w:lang w:val="en-US"/>
        </w:rPr>
        <w:t xml:space="preserve"> </w:t>
      </w:r>
      <w:r>
        <w:rPr>
          <w:rtl w:val="0"/>
        </w:rPr>
        <w:t>While this article does not quantify community engagement outcomes in particular, the authors identify how ESA positively influences a student's academic and social experiences through the reduction of fear and an increase in social integration.</w:t>
      </w:r>
    </w:p>
    <w:p w14:paraId="00000034">
      <w:pPr>
        <w:spacing w:line="480" w:lineRule="auto"/>
        <w:ind w:firstLine="400"/>
        <w:jc w:val="both"/>
        <w:rPr>
          <w:rtl w:val="0"/>
        </w:rPr>
      </w:pPr>
      <w:r>
        <w:rPr>
          <w:rtl w:val="0"/>
        </w:rPr>
        <w:t xml:space="preserve">Critique: In his article, Von Bergen does an excellent job of explaining the organization and implementation of ESA policies and their administrative implications, but he provides little data about the effects of ESAs on students' social opportunities. The article is primarily conceptual and lacks specific empirical data to support the improvements in society that result from the use of ESAs. Additionally, to support the positive findings, future research should present more objective evidence on students' social interactions under the impact of ESA policies and their positive effects on their mental </w:t>
      </w:r>
      <w:r>
        <w:rPr>
          <w:rtl w:val="0"/>
          <w:lang w:val="en-US"/>
        </w:rPr>
        <w:t>well-being</w:t>
      </w:r>
      <w:r>
        <w:rPr>
          <w:rtl w:val="0"/>
        </w:rPr>
        <w:t>.</w:t>
      </w:r>
    </w:p>
    <w:p w14:paraId="0B562C57">
      <w:pPr>
        <w:spacing w:line="480" w:lineRule="auto"/>
        <w:ind w:firstLine="400"/>
        <w:jc w:val="both"/>
        <w:rPr>
          <w:rtl w:val="0"/>
        </w:rPr>
      </w:pPr>
    </w:p>
    <w:p w14:paraId="00000035">
      <w:pPr>
        <w:spacing w:line="480" w:lineRule="auto"/>
        <w:ind w:firstLine="400"/>
        <w:jc w:val="center"/>
        <w:rPr>
          <w:b/>
        </w:rPr>
      </w:pPr>
      <w:r>
        <w:rPr>
          <w:b/>
          <w:rtl w:val="0"/>
        </w:rPr>
        <w:t>Theoretical Frameworks</w:t>
      </w:r>
    </w:p>
    <w:p w14:paraId="1D69C046">
      <w:pPr>
        <w:spacing w:line="480" w:lineRule="auto"/>
        <w:ind w:firstLine="400"/>
        <w:jc w:val="both"/>
        <w:rPr>
          <w:rFonts w:hint="default"/>
          <w:rtl w:val="0"/>
        </w:rPr>
      </w:pPr>
      <w:r>
        <w:rPr>
          <w:rtl w:val="0"/>
        </w:rPr>
        <w:t>The theories of attachment and social support form the basis for explaining how ESAs may help college students. According to Curl et al. 2023, attachment theory holds that a secure relationship with attachment figures helps boost confidence in undertaking social bouts</w:t>
      </w:r>
      <w:r>
        <w:rPr>
          <w:rFonts w:hint="default"/>
          <w:rtl w:val="0"/>
          <w:lang w:val="en-US"/>
        </w:rPr>
        <w:t>.</w:t>
      </w:r>
      <w:r>
        <w:rPr>
          <w:rtl w:val="0"/>
        </w:rPr>
        <w:t xml:space="preserve"> The study revealed that college students suffer distress resulting from separation from attachment figures when transitioning to college. Adams and colleagues (2017) suggest that ESAs serve as substitute attachment figures, potentially mitigating some degree of separation anxiety</w:t>
      </w:r>
      <w:r>
        <w:rPr>
          <w:rFonts w:hint="default"/>
          <w:rtl w:val="0"/>
          <w:lang w:val="en-US"/>
        </w:rPr>
        <w:t xml:space="preserve">. </w:t>
      </w:r>
      <w:r>
        <w:rPr>
          <w:rFonts w:hint="default"/>
          <w:rtl w:val="0"/>
        </w:rPr>
        <w:t>In addition to that, teachers perceived ESAs as establishing a secure base under stress and making room for safety through which students might engage in social activities.</w:t>
      </w:r>
    </w:p>
    <w:p w14:paraId="0000003A">
      <w:pPr>
        <w:spacing w:line="480" w:lineRule="auto"/>
        <w:ind w:firstLine="400"/>
        <w:jc w:val="both"/>
        <w:rPr>
          <w:rtl w:val="0"/>
        </w:rPr>
      </w:pPr>
      <w:r>
        <w:rPr>
          <w:rtl w:val="0"/>
        </w:rPr>
        <w:t>Another related theoretical framework is the social support theory, which can also help explain the effect of ESAs. According to social support theory, supportive social networks are vital to being free from stress and anxiety and play an essential role in positive mental health. ESAs could serve as a strategy for individuals who require emotional support and seek it without judgment, thereby alleviating feelings of loneliness. In another study, Curl et al. 2023</w:t>
      </w:r>
      <w:r>
        <w:rPr>
          <w:rFonts w:hint="default"/>
          <w:rtl w:val="0"/>
          <w:lang w:val="en-US"/>
        </w:rPr>
        <w:t xml:space="preserve"> </w:t>
      </w:r>
      <w:r>
        <w:rPr>
          <w:rtl w:val="0"/>
        </w:rPr>
        <w:t>observed that students with ESAs note that they are more social and get more opportunities to interact with others; thus, these animals boost resilience against social anxiety.</w:t>
      </w:r>
    </w:p>
    <w:p w14:paraId="3765C43E">
      <w:pPr>
        <w:spacing w:line="480" w:lineRule="auto"/>
        <w:ind w:firstLine="400"/>
        <w:jc w:val="both"/>
        <w:rPr>
          <w:rtl w:val="0"/>
        </w:rPr>
      </w:pPr>
    </w:p>
    <w:p w14:paraId="2CFA39C8">
      <w:pPr>
        <w:spacing w:line="480" w:lineRule="auto"/>
        <w:ind w:firstLine="400"/>
        <w:jc w:val="both"/>
        <w:rPr>
          <w:rtl w:val="0"/>
        </w:rPr>
      </w:pPr>
    </w:p>
    <w:p w14:paraId="0000003B">
      <w:pPr>
        <w:spacing w:line="480" w:lineRule="auto"/>
        <w:ind w:firstLine="400"/>
        <w:jc w:val="center"/>
        <w:rPr>
          <w:b/>
        </w:rPr>
      </w:pPr>
      <w:r>
        <w:rPr>
          <w:b/>
          <w:rtl w:val="0"/>
        </w:rPr>
        <w:t>Synthesis and Comparative Analysis</w:t>
      </w:r>
    </w:p>
    <w:p w14:paraId="0000003C">
      <w:pPr>
        <w:spacing w:line="480" w:lineRule="auto"/>
        <w:ind w:firstLine="400"/>
        <w:jc w:val="both"/>
        <w:rPr>
          <w:rtl w:val="0"/>
        </w:rPr>
      </w:pPr>
      <w:r>
        <w:rPr>
          <w:rtl w:val="0"/>
        </w:rPr>
        <w:t>Most studies reveal that mental health is one of the primary beneficiaries of interaction with ESAs since these animals lower stress levels and social anxiety, thus providing chances for proper social contact. According to Goodman-Wilson and Highfill (2019) and Adams et al.</w:t>
      </w:r>
      <w:r>
        <w:rPr>
          <w:rFonts w:hint="default"/>
          <w:rtl w:val="0"/>
          <w:lang w:val="en-US"/>
        </w:rPr>
        <w:t xml:space="preserve">, </w:t>
      </w:r>
      <w:r>
        <w:rPr>
          <w:rtl w:val="0"/>
        </w:rPr>
        <w:t xml:space="preserve">2017, students with ESAs are more satisfied with their social lives, and they often indicate that their animals enable them to be more social. </w:t>
      </w:r>
      <w:r>
        <w:rPr>
          <w:rFonts w:hint="default"/>
          <w:rtl w:val="0"/>
        </w:rPr>
        <w:t>Robino et al.</w:t>
      </w:r>
      <w:r>
        <w:rPr>
          <w:rFonts w:hint="default"/>
          <w:rtl w:val="0"/>
          <w:lang w:val="en-US"/>
        </w:rPr>
        <w:t xml:space="preserve">, </w:t>
      </w:r>
      <w:r>
        <w:rPr>
          <w:rFonts w:hint="default"/>
          <w:rtl w:val="0"/>
        </w:rPr>
        <w:t>2021 argue that such practices are primarily short-term, which suggests that offering full-time ESAs could have long-term effects for college students.</w:t>
      </w:r>
      <w:r>
        <w:rPr>
          <w:rFonts w:hint="default"/>
          <w:rtl w:val="0"/>
          <w:lang w:val="en-US"/>
        </w:rPr>
        <w:t xml:space="preserve"> </w:t>
      </w:r>
      <w:r>
        <w:rPr>
          <w:rtl w:val="0"/>
        </w:rPr>
        <w:t>However, the authors also report some drawbacks related to the use of ESAs, such as stigma issues and policy uncertainties, indicating that not all learners can benefit equally from the social advantages of ESAs.</w:t>
      </w:r>
    </w:p>
    <w:p w14:paraId="6316EBC4">
      <w:pPr>
        <w:spacing w:line="480" w:lineRule="auto"/>
        <w:ind w:firstLine="400"/>
        <w:jc w:val="both"/>
        <w:rPr>
          <w:rtl w:val="0"/>
        </w:rPr>
      </w:pPr>
    </w:p>
    <w:p w14:paraId="0000003D">
      <w:pPr>
        <w:spacing w:line="480" w:lineRule="auto"/>
        <w:ind w:firstLine="400"/>
        <w:jc w:val="center"/>
        <w:rPr>
          <w:b/>
        </w:rPr>
      </w:pPr>
      <w:r>
        <w:rPr>
          <w:b/>
          <w:rtl w:val="0"/>
        </w:rPr>
        <w:t>Conclusion and Recommendations</w:t>
      </w:r>
    </w:p>
    <w:p w14:paraId="0000003E">
      <w:pPr>
        <w:spacing w:line="480" w:lineRule="auto"/>
        <w:ind w:firstLine="400"/>
        <w:jc w:val="both"/>
        <w:rPr>
          <w:rtl w:val="0"/>
        </w:rPr>
      </w:pPr>
      <w:r>
        <w:rPr>
          <w:rtl w:val="0"/>
        </w:rPr>
        <w:t xml:space="preserve">The reviewed literature paints a somewhat positive but more or less consistent picture of ESAs for college students in terms of their interaction. </w:t>
      </w:r>
      <w:r>
        <w:rPr>
          <w:rFonts w:hint="default"/>
          <w:rtl w:val="0"/>
        </w:rPr>
        <w:t xml:space="preserve">Although there are some limitations, including the small sample sizes, self-reported data, no control groups, and randomized controlled trials, it leads to most evidence that ESAs potentially have a social benefit for students. </w:t>
      </w:r>
      <w:r>
        <w:rPr>
          <w:rtl w:val="0"/>
        </w:rPr>
        <w:t>Subsequent research should use controlled and longitudinal designs to validate these results. Since ESAs can improve social relations and psychological wellbeing, college authorities must comply with regulations concerning ESA accommodation alongside operational issues.</w:t>
      </w:r>
    </w:p>
    <w:p w14:paraId="1390B550">
      <w:pPr>
        <w:spacing w:line="480" w:lineRule="auto"/>
        <w:ind w:firstLine="400"/>
        <w:jc w:val="both"/>
        <w:rPr>
          <w:rtl w:val="0"/>
        </w:rPr>
      </w:pPr>
    </w:p>
    <w:p w14:paraId="2895FB77">
      <w:pPr>
        <w:spacing w:line="480" w:lineRule="auto"/>
        <w:ind w:firstLine="400"/>
        <w:jc w:val="both"/>
        <w:rPr>
          <w:rtl w:val="0"/>
        </w:rPr>
      </w:pPr>
    </w:p>
    <w:p w14:paraId="0000003F">
      <w:pPr>
        <w:spacing w:line="480" w:lineRule="auto"/>
        <w:jc w:val="center"/>
        <w:rPr>
          <w:b/>
        </w:rPr>
      </w:pPr>
      <w:r>
        <w:rPr>
          <w:b/>
          <w:rtl w:val="0"/>
        </w:rPr>
        <w:t>Role of Emotional Support Animals in College Students Social Interactions: Methodology Section</w:t>
      </w:r>
    </w:p>
    <w:p w14:paraId="3C9243E5">
      <w:pPr>
        <w:spacing w:line="480" w:lineRule="auto"/>
        <w:ind w:firstLine="540"/>
        <w:jc w:val="both"/>
        <w:rPr>
          <w:rFonts w:hint="default"/>
          <w:rtl w:val="0"/>
          <w:lang w:val="en-US"/>
        </w:rPr>
      </w:pPr>
      <w:r>
        <w:rPr>
          <w:rFonts w:hint="default"/>
          <w:rtl w:val="0"/>
        </w:rPr>
        <w:t>This study will adopt a qualitative research design concerning how far Emotional Support Animal (ESA) affects relationships among college students.</w:t>
      </w:r>
      <w:r>
        <w:rPr>
          <w:rFonts w:hint="default"/>
          <w:rtl w:val="0"/>
          <w:lang w:val="en-US"/>
        </w:rPr>
        <w:t xml:space="preserve"> </w:t>
      </w:r>
      <w:r>
        <w:rPr>
          <w:rtl w:val="0"/>
        </w:rPr>
        <w:t xml:space="preserve">Semi-structured interviews are utilized as the data collection tool, primarily to seek insights into the experience, perception, and feelings of the participants. Open-ended questionnaires are the most preferable within this research. The rationale entails their capability to guarantee clear outlines for the client regarding what the researcher is going to do and simultaneously make it possible to go against each step because of different opinions. </w:t>
      </w:r>
      <w:r>
        <w:rPr>
          <w:rFonts w:hint="default"/>
          <w:rtl w:val="0"/>
          <w:lang w:val="en-US"/>
        </w:rPr>
        <w:t xml:space="preserve"> </w:t>
      </w:r>
    </w:p>
    <w:p w14:paraId="00000040">
      <w:pPr>
        <w:spacing w:line="480" w:lineRule="auto"/>
        <w:ind w:firstLine="540"/>
        <w:jc w:val="both"/>
      </w:pPr>
      <w:r>
        <w:rPr>
          <w:rFonts w:hint="default"/>
          <w:rtl w:val="0"/>
        </w:rPr>
        <w:t xml:space="preserve">A qualitative research method should thus be designed to assess how the actors operate and intertwine in social relations and the way they impact mental health among college learners. </w:t>
      </w:r>
      <w:r>
        <w:rPr>
          <w:rtl w:val="0"/>
        </w:rPr>
        <w:t>The choice and emphasis of qualitative research design will receive</w:t>
      </w:r>
      <w:r>
        <w:rPr>
          <w:rFonts w:hint="default"/>
          <w:rtl w:val="0"/>
          <w:lang w:val="en-US"/>
        </w:rPr>
        <w:t xml:space="preserve"> </w:t>
      </w:r>
      <w:r>
        <w:rPr>
          <w:rtl w:val="0"/>
        </w:rPr>
        <w:t>substantial support from findings seized from the literature review to measure the personal and social impact of animal-assisted interventions.</w:t>
      </w:r>
    </w:p>
    <w:p w14:paraId="150C343A">
      <w:pPr>
        <w:spacing w:line="480" w:lineRule="auto"/>
        <w:jc w:val="center"/>
        <w:rPr>
          <w:b/>
          <w:rtl w:val="0"/>
        </w:rPr>
      </w:pPr>
    </w:p>
    <w:p w14:paraId="00000041">
      <w:pPr>
        <w:spacing w:line="480" w:lineRule="auto"/>
        <w:jc w:val="center"/>
        <w:rPr>
          <w:b/>
        </w:rPr>
      </w:pPr>
      <w:r>
        <w:rPr>
          <w:b/>
          <w:rtl w:val="0"/>
        </w:rPr>
        <w:t>Participants</w:t>
      </w:r>
    </w:p>
    <w:p w14:paraId="00000042">
      <w:pPr>
        <w:spacing w:line="480" w:lineRule="auto"/>
        <w:jc w:val="center"/>
        <w:rPr>
          <w:b/>
        </w:rPr>
      </w:pPr>
      <w:r>
        <w:rPr>
          <w:b/>
          <w:rtl w:val="0"/>
        </w:rPr>
        <w:t>Recruitment and Target Population</w:t>
      </w:r>
    </w:p>
    <w:p w14:paraId="00000043">
      <w:pPr>
        <w:spacing w:line="480" w:lineRule="auto"/>
        <w:ind w:firstLine="540"/>
        <w:jc w:val="both"/>
      </w:pPr>
      <w:r>
        <w:rPr>
          <w:rFonts w:hint="default"/>
          <w:rtl w:val="0"/>
        </w:rPr>
        <w:t>The population of interest in this study is undergraduates who currently or at some time during their stay at the university have had an emotional support animal attending with them. The participants shall be selected from universities that allow ESA accommodation, meeting the eligibility criteria.</w:t>
      </w:r>
      <w:r>
        <w:rPr>
          <w:rFonts w:hint="default"/>
          <w:rtl w:val="0"/>
          <w:lang w:val="en-US"/>
        </w:rPr>
        <w:t xml:space="preserve"> </w:t>
      </w:r>
      <w:r>
        <w:rPr>
          <w:rtl w:val="0"/>
        </w:rPr>
        <w:t>Recruitment will occur through multiple channels, including:</w:t>
      </w:r>
    </w:p>
    <w:p w14:paraId="00000044">
      <w:pPr>
        <w:spacing w:line="480" w:lineRule="auto"/>
        <w:ind w:left="800" w:hanging="260"/>
        <w:jc w:val="both"/>
      </w:pPr>
      <w:r>
        <w:rPr>
          <w:rtl w:val="0"/>
        </w:rPr>
        <w:t xml:space="preserve">• </w:t>
      </w:r>
      <w:r>
        <w:rPr>
          <w:b/>
          <w:rtl w:val="0"/>
        </w:rPr>
        <w:t>Email announcements:</w:t>
      </w:r>
      <w:r>
        <w:rPr>
          <w:rtl w:val="0"/>
        </w:rPr>
        <w:t xml:space="preserve"> Targeted messages that students receive through their academic email accounts using the university domain. </w:t>
      </w:r>
    </w:p>
    <w:p w14:paraId="00000045">
      <w:pPr>
        <w:spacing w:line="480" w:lineRule="auto"/>
        <w:ind w:left="800" w:hanging="260"/>
        <w:jc w:val="both"/>
      </w:pPr>
      <w:r>
        <w:rPr>
          <w:rtl w:val="0"/>
        </w:rPr>
        <w:t xml:space="preserve">• </w:t>
      </w:r>
      <w:r>
        <w:rPr>
          <w:b/>
          <w:rtl w:val="0"/>
        </w:rPr>
        <w:t>Flyers and posters:</w:t>
      </w:r>
      <w:r>
        <w:rPr>
          <w:rtl w:val="0"/>
        </w:rPr>
        <w:t xml:space="preserve"> Located in strategic positions, including the library, students’ residential areas, and students’ parliament.</w:t>
      </w:r>
    </w:p>
    <w:p w14:paraId="00000046">
      <w:pPr>
        <w:spacing w:line="480" w:lineRule="auto"/>
        <w:ind w:left="800" w:hanging="260"/>
        <w:jc w:val="both"/>
      </w:pPr>
      <w:r>
        <w:rPr>
          <w:rtl w:val="0"/>
        </w:rPr>
        <w:t xml:space="preserve">• </w:t>
      </w:r>
      <w:r>
        <w:rPr>
          <w:b/>
          <w:rtl w:val="0"/>
        </w:rPr>
        <w:t>University counselling centres:</w:t>
      </w:r>
      <w:r>
        <w:rPr>
          <w:rtl w:val="0"/>
        </w:rPr>
        <w:t xml:space="preserve"> Students will be informed about the study by their respective counsellors.</w:t>
      </w:r>
    </w:p>
    <w:p w14:paraId="00000047">
      <w:pPr>
        <w:spacing w:line="480" w:lineRule="auto"/>
        <w:ind w:left="800" w:hanging="260"/>
        <w:jc w:val="both"/>
        <w:rPr>
          <w:rtl w:val="0"/>
        </w:rPr>
      </w:pPr>
      <w:r>
        <w:rPr>
          <w:rtl w:val="0"/>
        </w:rPr>
        <w:t xml:space="preserve">• </w:t>
      </w:r>
      <w:r>
        <w:rPr>
          <w:b/>
          <w:rtl w:val="0"/>
        </w:rPr>
        <w:t>Social media platforms:</w:t>
      </w:r>
      <w:r>
        <w:rPr>
          <w:rtl w:val="0"/>
        </w:rPr>
        <w:t xml:space="preserve"> Any posts disseminating information on university-affiliated Facebook groups, Instagram pages, or student forums.</w:t>
      </w:r>
    </w:p>
    <w:p w14:paraId="1AC5CFD8">
      <w:pPr>
        <w:spacing w:line="480" w:lineRule="auto"/>
        <w:ind w:left="800" w:hanging="260"/>
        <w:jc w:val="both"/>
        <w:rPr>
          <w:rtl w:val="0"/>
        </w:rPr>
      </w:pPr>
    </w:p>
    <w:p w14:paraId="00000048">
      <w:pPr>
        <w:spacing w:line="480" w:lineRule="auto"/>
        <w:jc w:val="center"/>
        <w:rPr>
          <w:b/>
        </w:rPr>
      </w:pPr>
      <w:r>
        <w:rPr>
          <w:b/>
          <w:rtl w:val="0"/>
        </w:rPr>
        <w:t>Sampling strategy</w:t>
      </w:r>
    </w:p>
    <w:p w14:paraId="00000049">
      <w:pPr>
        <w:spacing w:line="480" w:lineRule="auto"/>
        <w:ind w:firstLine="540"/>
        <w:jc w:val="both"/>
        <w:rPr>
          <w:b/>
        </w:rPr>
      </w:pPr>
      <w:r>
        <w:rPr>
          <w:rtl w:val="0"/>
        </w:rPr>
        <w:t xml:space="preserve">The study will utilize a </w:t>
      </w:r>
      <w:r>
        <w:rPr>
          <w:rtl w:val="0"/>
          <w:lang w:val="en-US"/>
        </w:rPr>
        <w:t>non-probability</w:t>
      </w:r>
      <w:r>
        <w:rPr>
          <w:rtl w:val="0"/>
        </w:rPr>
        <w:t xml:space="preserve"> sampling method with a specific focus on purposive sampling to identify participants who meet the eligibility criteria. These criteria include:</w:t>
      </w:r>
      <w:r>
        <w:rPr>
          <w:b/>
          <w:rtl w:val="0"/>
        </w:rPr>
        <w:t xml:space="preserve"> </w:t>
      </w:r>
    </w:p>
    <w:p w14:paraId="0000004A">
      <w:pPr>
        <w:spacing w:line="480" w:lineRule="auto"/>
        <w:ind w:left="800" w:hanging="260"/>
        <w:jc w:val="both"/>
      </w:pPr>
      <w:r>
        <w:rPr>
          <w:rtl w:val="0"/>
        </w:rPr>
        <w:t>• Enrolled as a full-time undergraduate student.</w:t>
      </w:r>
    </w:p>
    <w:p w14:paraId="0000004B">
      <w:pPr>
        <w:spacing w:line="480" w:lineRule="auto"/>
        <w:ind w:left="800" w:hanging="260"/>
        <w:jc w:val="both"/>
      </w:pPr>
      <w:r>
        <w:rPr>
          <w:rtl w:val="0"/>
        </w:rPr>
        <w:t>• ESA use at university at the current time or some point in the past</w:t>
      </w:r>
    </w:p>
    <w:p w14:paraId="0000004C">
      <w:pPr>
        <w:spacing w:line="480" w:lineRule="auto"/>
        <w:ind w:left="800" w:hanging="260"/>
        <w:jc w:val="both"/>
      </w:pPr>
      <w:r>
        <w:rPr>
          <w:rtl w:val="0"/>
        </w:rPr>
        <w:t>• Living in a building on a college campus in which ESAs are allowed.</w:t>
      </w:r>
    </w:p>
    <w:p w14:paraId="0000004D">
      <w:pPr>
        <w:spacing w:line="480" w:lineRule="auto"/>
        <w:ind w:firstLine="540"/>
        <w:jc w:val="both"/>
        <w:rPr>
          <w:rtl w:val="0"/>
        </w:rPr>
      </w:pPr>
      <w:r>
        <w:rPr>
          <w:rtl w:val="0"/>
        </w:rPr>
        <w:t>Due to purposive sampling, participants possess the needed experience and can offer rich information regarding the topic under investigation. The sample size will be 15-20 subjects, and these numbers suffice to achieve thematic saturation in qualitative studies. This range enables the collection of multiple views about the issues while at the same time remaining feasible for detailed analysis.</w:t>
      </w:r>
    </w:p>
    <w:p w14:paraId="27CE2117">
      <w:pPr>
        <w:spacing w:line="480" w:lineRule="auto"/>
        <w:ind w:firstLine="540"/>
        <w:jc w:val="both"/>
        <w:rPr>
          <w:rtl w:val="0"/>
        </w:rPr>
      </w:pPr>
    </w:p>
    <w:p w14:paraId="6C7C1194">
      <w:pPr>
        <w:spacing w:line="480" w:lineRule="auto"/>
        <w:ind w:firstLine="540"/>
        <w:jc w:val="both"/>
        <w:rPr>
          <w:rtl w:val="0"/>
        </w:rPr>
      </w:pPr>
    </w:p>
    <w:p w14:paraId="0000004E">
      <w:pPr>
        <w:spacing w:line="480" w:lineRule="auto"/>
        <w:jc w:val="center"/>
        <w:rPr>
          <w:b/>
        </w:rPr>
      </w:pPr>
      <w:r>
        <w:rPr>
          <w:b/>
          <w:rtl w:val="0"/>
        </w:rPr>
        <w:t>Role of participants</w:t>
      </w:r>
    </w:p>
    <w:p w14:paraId="0000004F">
      <w:pPr>
        <w:spacing w:line="480" w:lineRule="auto"/>
        <w:ind w:firstLine="540"/>
        <w:jc w:val="both"/>
        <w:rPr>
          <w:rtl w:val="0"/>
        </w:rPr>
      </w:pPr>
      <w:r>
        <w:rPr>
          <w:rtl w:val="0"/>
        </w:rPr>
        <w:t>The participants will cooperate in the research process in a way where they will tell their own experiences as well as give explanatory answers to the interview questions. As suitable for this study, the feedback from participants will inform the study on how the ESAs influenced the reported social relation aspect and the potential for improving the thematic analyses or areas for further research in the future. Interview tapes will also be returned to the interviewees so that they can screencast their impressions, thereby increasing the validity of the study.</w:t>
      </w:r>
    </w:p>
    <w:p w14:paraId="72A0929A">
      <w:pPr>
        <w:spacing w:line="480" w:lineRule="auto"/>
        <w:ind w:firstLine="540"/>
        <w:jc w:val="both"/>
        <w:rPr>
          <w:rtl w:val="0"/>
        </w:rPr>
      </w:pPr>
    </w:p>
    <w:p w14:paraId="00000050">
      <w:pPr>
        <w:spacing w:line="480" w:lineRule="auto"/>
        <w:jc w:val="center"/>
        <w:rPr>
          <w:b/>
        </w:rPr>
      </w:pPr>
      <w:r>
        <w:rPr>
          <w:b/>
          <w:rtl w:val="0"/>
        </w:rPr>
        <w:t>Study design and timeline</w:t>
      </w:r>
    </w:p>
    <w:p w14:paraId="00000051">
      <w:pPr>
        <w:spacing w:line="480" w:lineRule="auto"/>
        <w:ind w:firstLine="540"/>
        <w:jc w:val="both"/>
      </w:pPr>
      <w:r>
        <w:rPr>
          <w:rFonts w:hint="default"/>
          <w:rtl w:val="0"/>
        </w:rPr>
        <w:t>The research will use a cross-sectional research design whereby data will be collected at one point in time.</w:t>
      </w:r>
      <w:r>
        <w:rPr>
          <w:rFonts w:hint="default"/>
          <w:rtl w:val="0"/>
          <w:lang w:val="en-US"/>
        </w:rPr>
        <w:t xml:space="preserve"> </w:t>
      </w:r>
      <w:r>
        <w:rPr>
          <w:rtl w:val="0"/>
        </w:rPr>
        <w:t xml:space="preserve">That is why this approach is helpful in collecting data on the experience and perceptions of patients or their relatives at a given moment; however, it undermines understanding their changing perceptions of the experience (Wang &amp; Cheng, </w:t>
      </w:r>
      <w:r>
        <w:rPr>
          <w:rFonts w:hint="default"/>
          <w:rtl w:val="0"/>
          <w:lang w:val="en-US"/>
        </w:rPr>
        <w:t>2020</w:t>
      </w:r>
      <w:r>
        <w:rPr>
          <w:rtl w:val="0"/>
        </w:rPr>
        <w:t>). To overcome this limitation in subsequent longitudinal investigations, including a time-varying component could aid in looking at dynamic changes in students' engagement with ESAs. This design is particularly suitable for contemporary experience and perception. The research process will unfold over the following timeline:</w:t>
      </w:r>
    </w:p>
    <w:p w14:paraId="00000052">
      <w:pPr>
        <w:spacing w:line="480" w:lineRule="auto"/>
        <w:ind w:left="800" w:hanging="260"/>
        <w:jc w:val="both"/>
      </w:pPr>
      <w:r>
        <w:rPr>
          <w:rtl w:val="0"/>
        </w:rPr>
        <w:t xml:space="preserve">1. </w:t>
      </w:r>
      <w:r>
        <w:rPr>
          <w:b/>
          <w:rtl w:val="0"/>
        </w:rPr>
        <w:t xml:space="preserve">Weeks 1-2: </w:t>
      </w:r>
      <w:r>
        <w:rPr>
          <w:rtl w:val="0"/>
        </w:rPr>
        <w:t>Participant recruitment and selection of interview dates. Through email or face-to-face, when speaking to community participants, they will be asked about their availability for the interview and whether they prefer a face-to-face interview, a telephonic interview, or an email interview.</w:t>
      </w:r>
    </w:p>
    <w:p w14:paraId="00000053">
      <w:pPr>
        <w:spacing w:line="480" w:lineRule="auto"/>
        <w:ind w:left="800" w:hanging="260"/>
        <w:jc w:val="both"/>
      </w:pPr>
      <w:r>
        <w:rPr>
          <w:rtl w:val="0"/>
        </w:rPr>
        <w:t xml:space="preserve">2. </w:t>
      </w:r>
      <w:r>
        <w:rPr>
          <w:b/>
          <w:rtl w:val="0"/>
        </w:rPr>
        <w:t>Weeks 3-6</w:t>
      </w:r>
      <w:r>
        <w:rPr>
          <w:rtl w:val="0"/>
        </w:rPr>
        <w:t>: In the context of interviews, each interview takes between 45 to 60 minutes. Every effort will be made to try to suit the participants, hence the availability and convenience of the setting.</w:t>
      </w:r>
    </w:p>
    <w:p w14:paraId="00000054">
      <w:pPr>
        <w:spacing w:line="480" w:lineRule="auto"/>
        <w:ind w:left="800" w:hanging="260"/>
        <w:jc w:val="both"/>
      </w:pPr>
      <w:r>
        <w:rPr>
          <w:rtl w:val="0"/>
        </w:rPr>
        <w:t xml:space="preserve">3. </w:t>
      </w:r>
      <w:r>
        <w:rPr>
          <w:b/>
          <w:rtl w:val="0"/>
        </w:rPr>
        <w:t xml:space="preserve">Weeks 7-8: </w:t>
      </w:r>
      <w:r>
        <w:rPr>
          <w:rtl w:val="0"/>
        </w:rPr>
        <w:t xml:space="preserve">Inter-observation comparison and initial open coding of interview responses. </w:t>
      </w:r>
    </w:p>
    <w:p w14:paraId="00000055">
      <w:pPr>
        <w:spacing w:line="480" w:lineRule="auto"/>
        <w:ind w:left="800" w:hanging="260"/>
        <w:jc w:val="both"/>
      </w:pPr>
      <w:r>
        <w:rPr>
          <w:rtl w:val="0"/>
        </w:rPr>
        <w:t xml:space="preserve">4. </w:t>
      </w:r>
      <w:r>
        <w:rPr>
          <w:b/>
          <w:rtl w:val="0"/>
        </w:rPr>
        <w:t xml:space="preserve">Weeks 9-10: </w:t>
      </w:r>
      <w:r>
        <w:rPr>
          <w:rtl w:val="0"/>
        </w:rPr>
        <w:t>Thematic analysis and synthesis of the findings will be executed. New themes emerging in the analysis process will be compared with other literature to ensure that the conclusions drawn are valid.</w:t>
      </w:r>
    </w:p>
    <w:p w14:paraId="00000056">
      <w:pPr>
        <w:spacing w:line="480" w:lineRule="auto"/>
        <w:jc w:val="both"/>
        <w:rPr>
          <w:b/>
        </w:rPr>
      </w:pPr>
      <w:r>
        <w:rPr>
          <w:b/>
          <w:rtl w:val="0"/>
        </w:rPr>
        <w:t>Data collection</w:t>
      </w:r>
    </w:p>
    <w:p w14:paraId="00000057">
      <w:pPr>
        <w:spacing w:line="480" w:lineRule="auto"/>
        <w:ind w:firstLine="540"/>
        <w:jc w:val="both"/>
        <w:rPr>
          <w:rtl w:val="0"/>
        </w:rPr>
      </w:pPr>
      <w:r>
        <w:rPr>
          <w:rtl w:val="0"/>
        </w:rPr>
        <w:t xml:space="preserve">Data will be obtained from face-to-face and/or telephonic semi-structured interviews that will be conducted based on an interview guide. Participants will be asked to provide consent for an interview in a quiet and comfortable environment, such as a conference room on the university’s campus or via </w:t>
      </w:r>
      <w:r>
        <w:rPr>
          <w:rtl w:val="0"/>
          <w:lang w:val="en-US"/>
        </w:rPr>
        <w:t>video conference</w:t>
      </w:r>
      <w:r>
        <w:rPr>
          <w:rtl w:val="0"/>
        </w:rPr>
        <w:t>, depending on individual participant preference.</w:t>
      </w:r>
    </w:p>
    <w:p w14:paraId="06C8D9DB">
      <w:pPr>
        <w:spacing w:line="480" w:lineRule="auto"/>
        <w:ind w:firstLine="540"/>
        <w:jc w:val="both"/>
        <w:rPr>
          <w:rtl w:val="0"/>
        </w:rPr>
      </w:pPr>
    </w:p>
    <w:p w14:paraId="00000058">
      <w:pPr>
        <w:spacing w:line="480" w:lineRule="auto"/>
        <w:jc w:val="center"/>
        <w:rPr>
          <w:b/>
        </w:rPr>
      </w:pPr>
      <w:r>
        <w:rPr>
          <w:b/>
          <w:rtl w:val="0"/>
        </w:rPr>
        <w:t>Measures</w:t>
      </w:r>
    </w:p>
    <w:p w14:paraId="00000059">
      <w:pPr>
        <w:spacing w:line="480" w:lineRule="auto"/>
        <w:ind w:firstLine="540"/>
        <w:jc w:val="both"/>
      </w:pPr>
      <w:r>
        <w:rPr>
          <w:rtl w:val="0"/>
        </w:rPr>
        <w:t xml:space="preserve">The interview questions will not be specific but rather general in order to get the participants' insight into ESAS and the effects of their usage in social situations. </w:t>
      </w:r>
      <w:r>
        <w:rPr>
          <w:rFonts w:hint="default"/>
          <w:rtl w:val="0"/>
        </w:rPr>
        <w:t>In this research work, semi-structured interviews will be utilized to give freedom to the study while maintaining the focus. T</w:t>
      </w:r>
      <w:r>
        <w:rPr>
          <w:rtl w:val="0"/>
        </w:rPr>
        <w:t>he target sample is individual college students with ESA animals. Specifically, a purposive sampling method will be adopted. Interviews will also be face-to-face, taped with permission, and efforts taken to reduce bias by the interviewer.</w:t>
      </w:r>
    </w:p>
    <w:p w14:paraId="0000005A">
      <w:pPr>
        <w:spacing w:line="480" w:lineRule="auto"/>
        <w:ind w:firstLine="540"/>
        <w:jc w:val="both"/>
        <w:rPr>
          <w:rtl w:val="0"/>
        </w:rPr>
      </w:pPr>
      <w:r>
        <w:rPr>
          <w:rtl w:val="0"/>
        </w:rPr>
        <w:t>Within the interview framework, the interviewee will receive additional leading questions encouraging the provision of more details. The interview guide will be put in the appendix of the final proposal of the work.</w:t>
      </w:r>
    </w:p>
    <w:p w14:paraId="724CF200">
      <w:pPr>
        <w:spacing w:line="480" w:lineRule="auto"/>
        <w:ind w:firstLine="540"/>
        <w:jc w:val="both"/>
        <w:rPr>
          <w:rtl w:val="0"/>
        </w:rPr>
      </w:pPr>
    </w:p>
    <w:p w14:paraId="0000005B">
      <w:pPr>
        <w:spacing w:line="480" w:lineRule="auto"/>
        <w:jc w:val="center"/>
        <w:rPr>
          <w:b/>
        </w:rPr>
      </w:pPr>
      <w:r>
        <w:rPr>
          <w:b/>
          <w:rtl w:val="0"/>
        </w:rPr>
        <w:t>Data analysis</w:t>
      </w:r>
    </w:p>
    <w:p w14:paraId="0000005C">
      <w:pPr>
        <w:spacing w:line="480" w:lineRule="auto"/>
        <w:ind w:firstLine="540"/>
        <w:jc w:val="both"/>
      </w:pPr>
      <w:r>
        <w:rPr>
          <w:rtl w:val="0"/>
        </w:rPr>
        <w:t>Once data is collected, data analysis will take the thematic analysis method. Semi-structured interviews will be finally transcribed. Coding will be done manually in order to search for patterns, themes, and subthemes that are useful for the research question (Mohajan &amp; Mohajan, 2022).</w:t>
      </w:r>
      <w:r>
        <w:rPr>
          <w:b/>
          <w:rtl w:val="0"/>
        </w:rPr>
        <w:t xml:space="preserve"> </w:t>
      </w:r>
      <w:r>
        <w:rPr>
          <w:rtl w:val="0"/>
        </w:rPr>
        <w:t>Coding will involve three stages:</w:t>
      </w:r>
    </w:p>
    <w:p w14:paraId="0000005D">
      <w:pPr>
        <w:spacing w:line="480" w:lineRule="auto"/>
        <w:ind w:left="800" w:hanging="260"/>
        <w:jc w:val="both"/>
      </w:pPr>
      <w:r>
        <w:rPr>
          <w:rtl w:val="0"/>
        </w:rPr>
        <w:t xml:space="preserve">1. </w:t>
      </w:r>
      <w:r>
        <w:rPr>
          <w:b/>
          <w:rtl w:val="0"/>
        </w:rPr>
        <w:t>Initial coding</w:t>
      </w:r>
      <w:r>
        <w:rPr>
          <w:rtl w:val="0"/>
        </w:rPr>
        <w:t>: Collecting repeated terms of speech, ideas, and expressions. This step is used to obtain the disparate participants’ accounts.</w:t>
      </w:r>
    </w:p>
    <w:p w14:paraId="0000005E">
      <w:pPr>
        <w:spacing w:line="480" w:lineRule="auto"/>
        <w:ind w:left="800" w:hanging="260"/>
        <w:jc w:val="both"/>
      </w:pPr>
      <w:r>
        <w:rPr>
          <w:rtl w:val="0"/>
        </w:rPr>
        <w:t xml:space="preserve">2. </w:t>
      </w:r>
      <w:r>
        <w:rPr>
          <w:b/>
          <w:rtl w:val="0"/>
        </w:rPr>
        <w:t>Focused coding</w:t>
      </w:r>
      <w:r>
        <w:rPr>
          <w:rtl w:val="0"/>
        </w:rPr>
        <w:t>: Forming categories out of the similar codes. The coding system will also be done according to the objectives of the research to facilitate the systematic classification of codes.</w:t>
      </w:r>
    </w:p>
    <w:p w14:paraId="0000005F">
      <w:pPr>
        <w:spacing w:line="480" w:lineRule="auto"/>
        <w:ind w:left="800" w:hanging="260"/>
        <w:jc w:val="both"/>
      </w:pPr>
      <w:r>
        <w:rPr>
          <w:rtl w:val="0"/>
        </w:rPr>
        <w:t xml:space="preserve">3. </w:t>
      </w:r>
      <w:r>
        <w:rPr>
          <w:b/>
          <w:rtl w:val="0"/>
        </w:rPr>
        <w:t xml:space="preserve">Thematic development: </w:t>
      </w:r>
      <w:r>
        <w:rPr>
          <w:rtl w:val="0"/>
        </w:rPr>
        <w:t>Here, categories are combined into more significant, more general superordinate themes that reflect the nature of the participants' experiences. These will then be compared to other frameworks delineated in the literature for validation and analysis purposes.</w:t>
      </w:r>
    </w:p>
    <w:p w14:paraId="00000060">
      <w:pPr>
        <w:spacing w:line="480" w:lineRule="auto"/>
        <w:ind w:firstLine="540"/>
        <w:jc w:val="both"/>
        <w:rPr>
          <w:rtl w:val="0"/>
        </w:rPr>
      </w:pPr>
      <w:r>
        <w:rPr>
          <w:rtl w:val="0"/>
        </w:rPr>
        <w:t>Another important thing to consider is that there could be many more categories to coding, and using software like NVivo for qualitative data analysis may help systematize and streamline it. The organization of the data is made progressive and formal by this software, helping in its systematic management.</w:t>
      </w:r>
    </w:p>
    <w:p w14:paraId="77D5D3AD">
      <w:pPr>
        <w:spacing w:line="480" w:lineRule="auto"/>
        <w:ind w:firstLine="540"/>
        <w:jc w:val="both"/>
        <w:rPr>
          <w:rtl w:val="0"/>
        </w:rPr>
      </w:pPr>
    </w:p>
    <w:p w14:paraId="00000061">
      <w:pPr>
        <w:spacing w:line="480" w:lineRule="auto"/>
        <w:jc w:val="center"/>
        <w:rPr>
          <w:b/>
        </w:rPr>
      </w:pPr>
      <w:r>
        <w:rPr>
          <w:b/>
          <w:rtl w:val="0"/>
        </w:rPr>
        <w:t>Potential Limitations and Ethical Considerations</w:t>
      </w:r>
    </w:p>
    <w:p w14:paraId="00000062">
      <w:pPr>
        <w:spacing w:line="480" w:lineRule="auto"/>
        <w:jc w:val="center"/>
        <w:rPr>
          <w:b/>
        </w:rPr>
      </w:pPr>
      <w:r>
        <w:rPr>
          <w:b/>
          <w:rtl w:val="0"/>
        </w:rPr>
        <w:t>Accessibility to the Population</w:t>
      </w:r>
    </w:p>
    <w:p w14:paraId="00000063">
      <w:pPr>
        <w:spacing w:line="480" w:lineRule="auto"/>
        <w:ind w:firstLine="540"/>
        <w:jc w:val="both"/>
        <w:rPr>
          <w:rtl w:val="0"/>
        </w:rPr>
      </w:pPr>
      <w:r>
        <w:rPr>
          <w:rtl w:val="0"/>
        </w:rPr>
        <w:t>Recruiting the participants may be a problem since students with ESAs will be, after which the students may be reluctant to participate due to time constraints or they want to keep it a secret that they are learners with ESAs. To counter this, different recruitment methods will be employed to increase the generality and number of participants. Further recruitment activities, including a partnership with students' organizations or ESA trainers, may be used to expand the targeted population.</w:t>
      </w:r>
    </w:p>
    <w:p w14:paraId="3672994C">
      <w:pPr>
        <w:spacing w:line="480" w:lineRule="auto"/>
        <w:ind w:firstLine="540"/>
        <w:jc w:val="both"/>
        <w:rPr>
          <w:rtl w:val="0"/>
        </w:rPr>
      </w:pPr>
    </w:p>
    <w:p w14:paraId="00000064">
      <w:pPr>
        <w:spacing w:line="480" w:lineRule="auto"/>
        <w:jc w:val="center"/>
        <w:rPr>
          <w:b/>
        </w:rPr>
      </w:pPr>
      <w:r>
        <w:rPr>
          <w:b/>
          <w:rtl w:val="0"/>
        </w:rPr>
        <w:t>Threats to validity</w:t>
      </w:r>
    </w:p>
    <w:p w14:paraId="00000065">
      <w:pPr>
        <w:spacing w:line="480" w:lineRule="auto"/>
        <w:ind w:firstLine="540"/>
        <w:jc w:val="both"/>
      </w:pPr>
      <w:r>
        <w:rPr>
          <w:rtl w:val="0"/>
        </w:rPr>
        <w:t>The validity of qualitative research is a concern due to the following reasons: Since the research is conducted by obtaining data in natural settings, the bias that the researcher has is obvious when collecting data and analyzing data to conclude. To address this, the study will seek written participants' responses to interview transcripts and the peer review process during coding. Furthermore, the systematic documentation of research decisions and processes will improve the attainment of data credibility.</w:t>
      </w:r>
    </w:p>
    <w:p w14:paraId="00000066">
      <w:pPr>
        <w:spacing w:line="480" w:lineRule="auto"/>
        <w:jc w:val="center"/>
        <w:rPr>
          <w:b/>
        </w:rPr>
      </w:pPr>
      <w:r>
        <w:rPr>
          <w:b/>
          <w:rtl w:val="0"/>
        </w:rPr>
        <w:t>Generalizability</w:t>
      </w:r>
    </w:p>
    <w:p w14:paraId="00000067">
      <w:pPr>
        <w:spacing w:line="480" w:lineRule="auto"/>
        <w:ind w:firstLine="540"/>
        <w:jc w:val="both"/>
        <w:rPr>
          <w:rtl w:val="0"/>
        </w:rPr>
      </w:pPr>
      <w:r>
        <w:rPr>
          <w:rtl w:val="0"/>
        </w:rPr>
        <w:t xml:space="preserve">This is because, as a qualitative study using purposive sampling, findings are benchmarked with low generality in a broader population. However, the aim is not to generalize the findings </w:t>
      </w:r>
      <w:r>
        <w:rPr>
          <w:rFonts w:hint="default"/>
          <w:rtl w:val="0"/>
        </w:rPr>
        <w:t>but rather to gain a rich understanding of the phenomenon within a particular setting. Future researchers may extend the study through quantitative research methods or consider further enlargement of the sample to include other populations, such as graduate students or off-campus populations.</w:t>
      </w:r>
    </w:p>
    <w:p w14:paraId="50A1A567">
      <w:pPr>
        <w:spacing w:line="480" w:lineRule="auto"/>
        <w:jc w:val="center"/>
        <w:rPr>
          <w:b/>
          <w:rtl w:val="0"/>
        </w:rPr>
      </w:pPr>
    </w:p>
    <w:p w14:paraId="00000068">
      <w:pPr>
        <w:spacing w:line="480" w:lineRule="auto"/>
        <w:jc w:val="center"/>
        <w:rPr>
          <w:b/>
        </w:rPr>
      </w:pPr>
      <w:r>
        <w:rPr>
          <w:b/>
          <w:rtl w:val="0"/>
        </w:rPr>
        <w:t>Informed consent</w:t>
      </w:r>
    </w:p>
    <w:p w14:paraId="00000069">
      <w:pPr>
        <w:spacing w:line="480" w:lineRule="auto"/>
        <w:ind w:firstLine="540"/>
        <w:jc w:val="both"/>
        <w:rPr>
          <w:rtl w:val="0"/>
        </w:rPr>
      </w:pPr>
      <w:r>
        <w:rPr>
          <w:rFonts w:hint="default"/>
          <w:rtl w:val="0"/>
        </w:rPr>
        <w:t>Similar to any other research, participants need to furnish consent for participation in the study prior to recruitment.</w:t>
      </w:r>
      <w:r>
        <w:rPr>
          <w:rFonts w:hint="default"/>
          <w:rtl w:val="0"/>
          <w:lang w:val="en-US"/>
        </w:rPr>
        <w:t xml:space="preserve"> </w:t>
      </w:r>
      <w:r>
        <w:rPr>
          <w:rtl w:val="0"/>
        </w:rPr>
        <w:t>On the form, I will note the nature of the study, the plan, data protection measures, and participants’ information rights, similar to the right of withdrawal at any time. A photocopy of the consent form will be attached at the end of the study. The participants will also be told how their data will be utilized, secured, and finally shared for proper data utilization disclosure.</w:t>
      </w:r>
    </w:p>
    <w:p w14:paraId="2F5D8D8D">
      <w:pPr>
        <w:spacing w:line="480" w:lineRule="auto"/>
        <w:ind w:firstLine="540"/>
        <w:jc w:val="both"/>
        <w:rPr>
          <w:rtl w:val="0"/>
        </w:rPr>
      </w:pPr>
    </w:p>
    <w:p w14:paraId="0000006A">
      <w:pPr>
        <w:spacing w:line="480" w:lineRule="auto"/>
        <w:jc w:val="center"/>
        <w:rPr>
          <w:b/>
        </w:rPr>
      </w:pPr>
      <w:r>
        <w:rPr>
          <w:b/>
          <w:rtl w:val="0"/>
        </w:rPr>
        <w:t>Ethical issues</w:t>
      </w:r>
    </w:p>
    <w:p w14:paraId="0000006B">
      <w:pPr>
        <w:spacing w:line="480" w:lineRule="auto"/>
        <w:ind w:firstLine="540"/>
        <w:jc w:val="both"/>
      </w:pPr>
      <w:r>
        <w:rPr>
          <w:rtl w:val="0"/>
        </w:rPr>
        <w:t xml:space="preserve">Ensuring confidentiality is paramount, particularly as participants may share sensitive information about their mental health or social experiences. To safeguard privacy, all identifying information will be anonymized in transcripts and reports by replacing names with unique codes. </w:t>
      </w:r>
      <w:r>
        <w:rPr>
          <w:rFonts w:hint="default"/>
          <w:rtl w:val="0"/>
        </w:rPr>
        <w:t>The audio recordings will be securely stored on password-protected devices and deleted after they have been transcribed.</w:t>
      </w:r>
      <w:r>
        <w:rPr>
          <w:rFonts w:hint="default"/>
          <w:rtl w:val="0"/>
          <w:lang w:val="en-US"/>
        </w:rPr>
        <w:t xml:space="preserve"> </w:t>
      </w:r>
      <w:r>
        <w:rPr>
          <w:rtl w:val="0"/>
        </w:rPr>
        <w:t>Additionally, pseudonyms will be used in all reports and publications to ensure anonymity</w:t>
      </w:r>
      <w:r>
        <w:rPr>
          <w:color w:val="222222"/>
          <w:highlight w:val="white"/>
          <w:rtl w:val="0"/>
        </w:rPr>
        <w:t xml:space="preserve"> (</w:t>
      </w:r>
      <w:r>
        <w:rPr>
          <w:rtl w:val="0"/>
        </w:rPr>
        <w:t xml:space="preserve">Abd Razak et al., 2020). </w:t>
      </w:r>
      <w:r>
        <w:rPr>
          <w:rFonts w:hint="default"/>
          <w:rtl w:val="0"/>
        </w:rPr>
        <w:t>The research will be conducted under institutional ethical guidelines and approval from the university's Institutional Review Board (IRB).</w:t>
      </w:r>
      <w:r>
        <w:rPr>
          <w:rFonts w:hint="default"/>
          <w:rtl w:val="0"/>
          <w:lang w:val="en-US"/>
        </w:rPr>
        <w:t xml:space="preserve"> </w:t>
      </w:r>
      <w:r>
        <w:rPr>
          <w:rtl w:val="0"/>
        </w:rPr>
        <w:t>Participants will also be provided with resources for mental health support should they feel distressed during or after the interviews.</w:t>
      </w:r>
    </w:p>
    <w:p w14:paraId="0000006C">
      <w:pPr>
        <w:spacing w:line="480" w:lineRule="auto"/>
        <w:jc w:val="center"/>
        <w:rPr>
          <w:b/>
        </w:rPr>
      </w:pPr>
      <w:r>
        <w:rPr>
          <w:b/>
          <w:rtl w:val="0"/>
        </w:rPr>
        <w:t>Conclusion</w:t>
      </w:r>
    </w:p>
    <w:p w14:paraId="73D59B75">
      <w:pPr>
        <w:spacing w:line="480" w:lineRule="auto"/>
        <w:ind w:firstLine="540"/>
        <w:jc w:val="both"/>
        <w:rPr>
          <w:rtl w:val="0"/>
        </w:rPr>
      </w:pPr>
      <w:r>
        <w:rPr>
          <w:rtl w:val="0"/>
        </w:rPr>
        <w:t xml:space="preserve">The research methodology presented in this proposal aims to ensure that it achieves the following objectives: How ESA assists college students from being isolated socially and how it is possible to assess to what extent it is effective. Semi-structured interviews and thematic analysis are likely to produce substantial usability data of the participants' real-life experience of the selected context along with the ethical methodological implications. Such studies will be instrumental in creating literature concerning the social and emotional aspects of ESA in college. </w:t>
      </w:r>
    </w:p>
    <w:p w14:paraId="0000006D">
      <w:pPr>
        <w:spacing w:line="480" w:lineRule="auto"/>
        <w:ind w:firstLine="540"/>
        <w:jc w:val="both"/>
      </w:pPr>
      <w:r>
        <w:rPr>
          <w:rtl w:val="0"/>
        </w:rPr>
        <w:t>Moreover, the outcomes attained in the current research might be helpful in recommending the most appropriate policy that can help the universities in meeting the needs of students with ESAs. Understanding such research may help one to grasp other potentials of the usage of ESAs to improve the educational environment for all learners.</w:t>
      </w:r>
    </w:p>
    <w:p w14:paraId="4D509A5A">
      <w:pPr>
        <w:spacing w:line="480" w:lineRule="auto"/>
        <w:ind w:firstLine="540"/>
        <w:jc w:val="both"/>
        <w:rPr>
          <w:rtl w:val="0"/>
        </w:rPr>
      </w:pPr>
      <w:r>
        <w:rPr>
          <w:rFonts w:hint="default"/>
          <w:rtl w:val="0"/>
        </w:rPr>
        <w:t>In view of such a lacuna in knowledge, this research proposal is targeted toward investigating the extent to which the use of emotional support animals by college students can influence their social relations.</w:t>
      </w:r>
      <w:r>
        <w:rPr>
          <w:rFonts w:hint="default"/>
          <w:rtl w:val="0"/>
          <w:lang w:val="en-US"/>
        </w:rPr>
        <w:t xml:space="preserve"> </w:t>
      </w:r>
      <w:r>
        <w:rPr>
          <w:rtl w:val="0"/>
        </w:rPr>
        <w:t xml:space="preserve">Previous research indicated that the use of ESAs can lower stress levels, decrease social phobia, and promote friendship; however, many of these works do not meet the scientific standards to generalize findings. Thus, by collecting only the qualitative data and performing the comparison of the identified variables between the group of consumers owning ESAs and the group of consumers without ESAs, this study tries to reveal the details of the social benefits that consumers receive from owning ESAs. </w:t>
      </w:r>
    </w:p>
    <w:p w14:paraId="0000006E">
      <w:pPr>
        <w:spacing w:line="480" w:lineRule="auto"/>
        <w:ind w:firstLine="540"/>
        <w:jc w:val="both"/>
      </w:pPr>
      <w:bookmarkStart w:id="7" w:name="_GoBack"/>
      <w:bookmarkEnd w:id="7"/>
      <w:r>
        <w:rPr>
          <w:rtl w:val="0"/>
        </w:rPr>
        <w:t>The research will highlight the benefits of ESA use as well as the difficulties, which may include, but are not limited to, stigma and policy issues affecting its use on campus. Thus, this study will extend the current literature about ESAs by including college students' qualitative data to understand the pro-social functions of ESAs. These findings will constitute the improvement of ESA policies in higher learning institutions.</w:t>
      </w:r>
    </w:p>
    <w:p w14:paraId="0000006F">
      <w:pPr>
        <w:spacing w:line="480" w:lineRule="auto"/>
        <w:ind w:firstLine="540"/>
        <w:jc w:val="both"/>
      </w:pPr>
      <w:r>
        <w:rPr>
          <w:rtl w:val="0"/>
        </w:rPr>
        <w:t>The study has far-reaching implications for institutions of higher learning as well as practice in mental health and student affairs. In so doing, they assist social workers, counsellors, and administrators to design ESAs based on evidence-based interventions for social integration and emotional resilience. Through such barriers as high costs and low awareness, the research will provide the intervention plan to extend ESA support to as many students as possible. Further, the results will educate campus policies on how to protect both the rights and the requirements of ESA owners and the rest of the population. This research will also involve eradicating stigma since it will prove that employment of ESA brings about tangible change, hence gaining acceptance from faculty, staff, and students. In the long run, these discoveries will foster a positive learning environment for students with mental health issues.</w:t>
      </w:r>
    </w:p>
    <w:p w14:paraId="00000070">
      <w:pPr>
        <w:spacing w:line="480" w:lineRule="auto"/>
        <w:ind w:firstLine="540"/>
        <w:jc w:val="both"/>
      </w:pPr>
      <w:r>
        <w:rPr>
          <w:rtl w:val="0"/>
        </w:rPr>
        <w:t xml:space="preserve">We can conduct extended research on the impact of ESAs on the subjects' social and academic progress, building on this study. Although this study embraced only the social dimension, it opens avenues for future research on how ESAs impact positive mental health, academic achievement, and social integration on campus. By collecting data based on time and with a higher number of samples, there will be more support from the results from which the initial conclusion can be made. In addition, comparison studies within and across different institutions can generalize and establish the ESA program's typicality and contextual influences. Categories arising from this study's qualitative component will qualify important areas that need to be explored more with peculiarity to the dismal of ESAs within higher learning institutions. Thus, this research will contribute to a foundation for studying and enhancing ESA programs in colleges and universities. </w:t>
      </w:r>
    </w:p>
    <w:p w14:paraId="00000071">
      <w:pPr>
        <w:spacing w:line="480" w:lineRule="auto"/>
        <w:jc w:val="center"/>
      </w:pPr>
      <w:r>
        <w:rPr>
          <w:rtl w:val="0"/>
        </w:rPr>
        <w:t xml:space="preserve"> </w:t>
      </w:r>
    </w:p>
    <w:p w14:paraId="00000072">
      <w:pPr>
        <w:spacing w:line="480" w:lineRule="auto"/>
        <w:ind w:firstLine="540"/>
        <w:jc w:val="center"/>
      </w:pPr>
    </w:p>
    <w:p w14:paraId="00000073">
      <w:pPr>
        <w:spacing w:line="480" w:lineRule="auto"/>
        <w:jc w:val="center"/>
        <w:rPr>
          <w:b/>
        </w:rPr>
      </w:pPr>
    </w:p>
    <w:p w14:paraId="00000077">
      <w:pPr>
        <w:spacing w:line="480" w:lineRule="auto"/>
        <w:jc w:val="center"/>
        <w:rPr>
          <w:b/>
        </w:rPr>
      </w:pPr>
      <w:r>
        <w:rPr>
          <w:b/>
          <w:rtl w:val="0"/>
        </w:rPr>
        <w:t>Appendix</w:t>
      </w:r>
    </w:p>
    <w:p w14:paraId="00000078">
      <w:pPr>
        <w:spacing w:line="480" w:lineRule="auto"/>
        <w:jc w:val="both"/>
      </w:pPr>
      <w:r>
        <w:rPr>
          <w:rtl w:val="0"/>
        </w:rPr>
        <w:t>Sample questions for the research will include:</w:t>
      </w:r>
    </w:p>
    <w:p w14:paraId="00000079">
      <w:pPr>
        <w:spacing w:line="480" w:lineRule="auto"/>
        <w:ind w:left="800" w:hanging="260"/>
        <w:jc w:val="both"/>
      </w:pPr>
      <w:r>
        <w:rPr>
          <w:rtl w:val="0"/>
        </w:rPr>
        <w:t>a. In what ways has having an ESA impacted your social dealings on campus?</w:t>
      </w:r>
    </w:p>
    <w:p w14:paraId="0000007A">
      <w:pPr>
        <w:spacing w:line="480" w:lineRule="auto"/>
        <w:ind w:left="800" w:hanging="260"/>
        <w:jc w:val="both"/>
      </w:pPr>
      <w:r>
        <w:rPr>
          <w:rtl w:val="0"/>
        </w:rPr>
        <w:t>b. Has your self-esteem or level of comfort in social settings altered in any way since getting an ESA?</w:t>
      </w:r>
    </w:p>
    <w:p w14:paraId="0000007B">
      <w:pPr>
        <w:spacing w:line="480" w:lineRule="auto"/>
        <w:ind w:left="800" w:hanging="260"/>
        <w:jc w:val="both"/>
      </w:pPr>
      <w:r>
        <w:rPr>
          <w:rtl w:val="0"/>
        </w:rPr>
        <w:t>c. How do other people (classmates, friends, residents, faculty) respond to your ESA?</w:t>
      </w:r>
    </w:p>
    <w:p w14:paraId="0000007C">
      <w:pPr>
        <w:spacing w:line="480" w:lineRule="auto"/>
        <w:ind w:left="800" w:hanging="260"/>
        <w:jc w:val="both"/>
      </w:pPr>
      <w:r>
        <w:rPr>
          <w:rtl w:val="0"/>
        </w:rPr>
        <w:t>d. Did the college present the APA with any hurdles or obstacles concerning having an ESA on campus?</w:t>
      </w:r>
    </w:p>
    <w:p w14:paraId="0000007D">
      <w:pPr>
        <w:spacing w:line="480" w:lineRule="auto"/>
        <w:ind w:firstLine="540"/>
        <w:jc w:val="both"/>
        <w:rPr>
          <w:rtl w:val="0"/>
        </w:rPr>
      </w:pPr>
      <w:r>
        <w:rPr>
          <w:rtl w:val="0"/>
        </w:rPr>
        <w:t xml:space="preserve"> </w:t>
      </w:r>
    </w:p>
    <w:p w14:paraId="15D0300C">
      <w:pPr>
        <w:spacing w:line="480" w:lineRule="auto"/>
        <w:ind w:firstLine="540"/>
        <w:jc w:val="both"/>
        <w:rPr>
          <w:rtl w:val="0"/>
        </w:rPr>
      </w:pPr>
    </w:p>
    <w:p w14:paraId="388F88DB">
      <w:pPr>
        <w:spacing w:line="480" w:lineRule="auto"/>
        <w:ind w:firstLine="540"/>
        <w:jc w:val="both"/>
        <w:rPr>
          <w:rtl w:val="0"/>
        </w:rPr>
      </w:pPr>
    </w:p>
    <w:p w14:paraId="4F7C2169">
      <w:pPr>
        <w:spacing w:line="480" w:lineRule="auto"/>
        <w:ind w:firstLine="540"/>
        <w:jc w:val="both"/>
        <w:rPr>
          <w:rtl w:val="0"/>
        </w:rPr>
      </w:pPr>
    </w:p>
    <w:p w14:paraId="3D3D4D34">
      <w:pPr>
        <w:spacing w:line="480" w:lineRule="auto"/>
        <w:ind w:firstLine="540"/>
        <w:jc w:val="both"/>
        <w:rPr>
          <w:rtl w:val="0"/>
        </w:rPr>
      </w:pPr>
    </w:p>
    <w:p w14:paraId="0F959057">
      <w:pPr>
        <w:spacing w:line="480" w:lineRule="auto"/>
        <w:ind w:firstLine="540"/>
        <w:jc w:val="both"/>
        <w:rPr>
          <w:rtl w:val="0"/>
        </w:rPr>
      </w:pPr>
    </w:p>
    <w:p w14:paraId="0DA3E98D">
      <w:pPr>
        <w:spacing w:line="480" w:lineRule="auto"/>
        <w:ind w:firstLine="540"/>
        <w:jc w:val="both"/>
        <w:rPr>
          <w:rtl w:val="0"/>
        </w:rPr>
      </w:pPr>
    </w:p>
    <w:p w14:paraId="63294121">
      <w:pPr>
        <w:spacing w:line="480" w:lineRule="auto"/>
        <w:ind w:firstLine="540"/>
        <w:jc w:val="both"/>
        <w:rPr>
          <w:rtl w:val="0"/>
        </w:rPr>
      </w:pPr>
    </w:p>
    <w:p w14:paraId="17903AA9">
      <w:pPr>
        <w:spacing w:line="480" w:lineRule="auto"/>
        <w:ind w:firstLine="540"/>
        <w:jc w:val="both"/>
        <w:rPr>
          <w:rtl w:val="0"/>
        </w:rPr>
      </w:pPr>
    </w:p>
    <w:p w14:paraId="3676279C">
      <w:pPr>
        <w:spacing w:line="480" w:lineRule="auto"/>
        <w:ind w:firstLine="540"/>
        <w:jc w:val="both"/>
        <w:rPr>
          <w:rtl w:val="0"/>
        </w:rPr>
      </w:pPr>
    </w:p>
    <w:p w14:paraId="6A96DF54">
      <w:pPr>
        <w:spacing w:line="480" w:lineRule="auto"/>
        <w:ind w:firstLine="540"/>
        <w:jc w:val="both"/>
        <w:rPr>
          <w:rtl w:val="0"/>
        </w:rPr>
      </w:pPr>
    </w:p>
    <w:p w14:paraId="2C9CB578">
      <w:pPr>
        <w:spacing w:line="480" w:lineRule="auto"/>
        <w:ind w:firstLine="540"/>
        <w:jc w:val="both"/>
        <w:rPr>
          <w:rtl w:val="0"/>
        </w:rPr>
      </w:pPr>
    </w:p>
    <w:p w14:paraId="4BBF1D70">
      <w:pPr>
        <w:spacing w:line="480" w:lineRule="auto"/>
        <w:ind w:firstLine="540"/>
        <w:jc w:val="both"/>
        <w:rPr>
          <w:rtl w:val="0"/>
        </w:rPr>
      </w:pPr>
    </w:p>
    <w:p w14:paraId="0000007E">
      <w:pPr>
        <w:spacing w:line="480" w:lineRule="auto"/>
        <w:jc w:val="center"/>
        <w:rPr>
          <w:b/>
        </w:rPr>
      </w:pPr>
    </w:p>
    <w:p w14:paraId="0000007F">
      <w:pPr>
        <w:spacing w:line="480" w:lineRule="auto"/>
        <w:jc w:val="center"/>
        <w:rPr>
          <w:b/>
        </w:rPr>
      </w:pPr>
    </w:p>
    <w:p w14:paraId="0E357B4C">
      <w:pPr>
        <w:spacing w:line="480" w:lineRule="auto"/>
        <w:jc w:val="center"/>
        <w:rPr>
          <w:b/>
          <w:rtl w:val="0"/>
        </w:rPr>
      </w:pPr>
      <w:r>
        <w:rPr>
          <w:rFonts w:hint="default"/>
          <w:b/>
          <w:rtl w:val="0"/>
          <w:lang w:val="en-US"/>
        </w:rPr>
        <w:t xml:space="preserve"> </w:t>
      </w:r>
      <w:r>
        <w:rPr>
          <w:b/>
          <w:rtl w:val="0"/>
        </w:rPr>
        <w:t>References</w:t>
      </w:r>
    </w:p>
    <w:p w14:paraId="0000008C">
      <w:pPr>
        <w:spacing w:line="480" w:lineRule="auto"/>
        <w:jc w:val="center"/>
        <w:rPr>
          <w:b/>
        </w:rPr>
      </w:pPr>
      <w:r>
        <w:rPr>
          <w:rtl w:val="0"/>
        </w:rPr>
        <w:t xml:space="preserve">Abd Razak, S., Nazari, N. H. M., &amp; Al-Dhaqm, A. (2020). Data anonymization using a pseudonym system to preserve data privacy. </w:t>
      </w:r>
      <w:r>
        <w:rPr>
          <w:i/>
          <w:rtl w:val="0"/>
        </w:rPr>
        <w:t>IEEE Access</w:t>
      </w:r>
      <w:r>
        <w:rPr>
          <w:rtl w:val="0"/>
        </w:rPr>
        <w:t xml:space="preserve">, </w:t>
      </w:r>
      <w:r>
        <w:rPr>
          <w:i/>
          <w:rtl w:val="0"/>
        </w:rPr>
        <w:t>8</w:t>
      </w:r>
      <w:r>
        <w:rPr>
          <w:rtl w:val="0"/>
        </w:rPr>
        <w:t>, 43256-43264.</w:t>
      </w:r>
    </w:p>
    <w:p w14:paraId="0000008D">
      <w:pPr>
        <w:spacing w:line="480" w:lineRule="auto"/>
        <w:ind w:left="1220" w:hanging="400"/>
        <w:jc w:val="left"/>
      </w:pPr>
      <w:r>
        <w:rPr>
          <w:rtl w:val="0"/>
        </w:rPr>
        <w:t xml:space="preserve">Adams, A. C., Sharkin, B. S., &amp; Bottinelli, J. J. (2017). The role of pets in the lives of college students: Implications for college counselors. </w:t>
      </w:r>
      <w:r>
        <w:rPr>
          <w:i/>
          <w:rtl w:val="0"/>
        </w:rPr>
        <w:t>Journal of College Student Psychotherapy</w:t>
      </w:r>
      <w:r>
        <w:rPr>
          <w:rtl w:val="0"/>
        </w:rPr>
        <w:t xml:space="preserve">, </w:t>
      </w:r>
      <w:r>
        <w:rPr>
          <w:i/>
          <w:rtl w:val="0"/>
        </w:rPr>
        <w:t>31</w:t>
      </w:r>
      <w:r>
        <w:rPr>
          <w:rtl w:val="0"/>
        </w:rPr>
        <w:t>(4), 306-324.</w:t>
      </w:r>
    </w:p>
    <w:p w14:paraId="0000008E">
      <w:pPr>
        <w:spacing w:line="480" w:lineRule="auto"/>
        <w:ind w:left="1220" w:hanging="400"/>
        <w:jc w:val="left"/>
      </w:pPr>
      <w:r>
        <w:rPr>
          <w:rtl w:val="0"/>
        </w:rPr>
        <w:t xml:space="preserve">Curl, A. L., Brottman, B., &amp; Kunkel, M. C. (2023). Emotional Support Animals in College and University Housing. </w:t>
      </w:r>
      <w:r>
        <w:rPr>
          <w:i/>
          <w:rtl w:val="0"/>
        </w:rPr>
        <w:t>Journal of College and University Student Housing</w:t>
      </w:r>
      <w:r>
        <w:rPr>
          <w:rtl w:val="0"/>
        </w:rPr>
        <w:t xml:space="preserve">, </w:t>
      </w:r>
      <w:r>
        <w:rPr>
          <w:i/>
          <w:rtl w:val="0"/>
        </w:rPr>
        <w:t>49</w:t>
      </w:r>
      <w:r>
        <w:rPr>
          <w:rtl w:val="0"/>
        </w:rPr>
        <w:t>(2), 86-105.</w:t>
      </w:r>
    </w:p>
    <w:p w14:paraId="0000008F">
      <w:pPr>
        <w:spacing w:line="480" w:lineRule="auto"/>
        <w:ind w:left="1220" w:hanging="400"/>
        <w:jc w:val="left"/>
      </w:pPr>
      <w:r>
        <w:rPr>
          <w:rtl w:val="0"/>
        </w:rPr>
        <w:t xml:space="preserve">Goodman-Wilson, M., &amp; Highfill, L. (2019). Faculty and student perceptions of the presence of emotional support animals on a College campus. </w:t>
      </w:r>
      <w:r>
        <w:rPr>
          <w:i/>
          <w:rtl w:val="0"/>
        </w:rPr>
        <w:t>society &amp; animals</w:t>
      </w:r>
      <w:r>
        <w:rPr>
          <w:rtl w:val="0"/>
        </w:rPr>
        <w:t xml:space="preserve">, </w:t>
      </w:r>
      <w:r>
        <w:rPr>
          <w:i/>
          <w:rtl w:val="0"/>
        </w:rPr>
        <w:t>29</w:t>
      </w:r>
      <w:r>
        <w:rPr>
          <w:rtl w:val="0"/>
        </w:rPr>
        <w:t>(5-6), 500-516.</w:t>
      </w:r>
    </w:p>
    <w:p w14:paraId="00000090">
      <w:pPr>
        <w:spacing w:line="480" w:lineRule="auto"/>
        <w:ind w:left="1220" w:hanging="400"/>
        <w:jc w:val="left"/>
      </w:pPr>
      <w:r>
        <w:rPr>
          <w:rtl w:val="0"/>
        </w:rPr>
        <w:t>Mohajan, D., &amp; Mohajan, H. (2022). Exploration of coding in qualitative data analysis: Grounded theory perspective.</w:t>
      </w:r>
    </w:p>
    <w:p w14:paraId="00000091">
      <w:pPr>
        <w:spacing w:line="480" w:lineRule="auto"/>
        <w:ind w:left="1220" w:hanging="400"/>
        <w:jc w:val="left"/>
      </w:pPr>
      <w:r>
        <w:rPr>
          <w:rtl w:val="0"/>
        </w:rPr>
        <w:t xml:space="preserve">Robino, A. E., Corrigan, V. K., Anderson, B., Werre, S., Farley, J. P., Marmagas, S. W., &amp; Buechner-Maxwell, V. (2021). College student mental health in an animal-assisted intervention program: A preliminary study. </w:t>
      </w:r>
      <w:r>
        <w:rPr>
          <w:i/>
          <w:rtl w:val="0"/>
        </w:rPr>
        <w:t>Journal of Creativity in Mental Health</w:t>
      </w:r>
      <w:r>
        <w:rPr>
          <w:rtl w:val="0"/>
        </w:rPr>
        <w:t xml:space="preserve">, </w:t>
      </w:r>
      <w:r>
        <w:rPr>
          <w:i/>
          <w:rtl w:val="0"/>
        </w:rPr>
        <w:t>16</w:t>
      </w:r>
      <w:r>
        <w:rPr>
          <w:rtl w:val="0"/>
        </w:rPr>
        <w:t>(1), 49-58.</w:t>
      </w:r>
    </w:p>
    <w:p w14:paraId="00000092">
      <w:pPr>
        <w:spacing w:line="480" w:lineRule="auto"/>
        <w:ind w:left="1220" w:hanging="400"/>
        <w:jc w:val="left"/>
      </w:pPr>
      <w:r>
        <w:rPr>
          <w:rtl w:val="0"/>
        </w:rPr>
        <w:t xml:space="preserve">Von Bergen, C. W. (2015). Emotional support animals, service animals, and pets on campus. </w:t>
      </w:r>
      <w:r>
        <w:rPr>
          <w:i/>
          <w:rtl w:val="0"/>
        </w:rPr>
        <w:t>Administrative Issues Journal</w:t>
      </w:r>
      <w:r>
        <w:rPr>
          <w:rtl w:val="0"/>
        </w:rPr>
        <w:t xml:space="preserve">, </w:t>
      </w:r>
      <w:r>
        <w:rPr>
          <w:i/>
          <w:rtl w:val="0"/>
        </w:rPr>
        <w:t>5</w:t>
      </w:r>
      <w:r>
        <w:rPr>
          <w:rtl w:val="0"/>
        </w:rPr>
        <w:t>(1), 4.</w:t>
      </w:r>
    </w:p>
    <w:p w14:paraId="00000093">
      <w:pPr>
        <w:spacing w:line="480" w:lineRule="auto"/>
        <w:ind w:left="1220" w:hanging="400"/>
        <w:jc w:val="left"/>
      </w:pPr>
      <w:r>
        <w:rPr>
          <w:rtl w:val="0"/>
        </w:rPr>
        <w:t xml:space="preserve">Wang, X., &amp; Cheng, Z. (2020). Cross-sectional studies: strengths, weaknesses, and recommendations. </w:t>
      </w:r>
      <w:r>
        <w:rPr>
          <w:i/>
          <w:rtl w:val="0"/>
        </w:rPr>
        <w:t>Chest</w:t>
      </w:r>
      <w:r>
        <w:rPr>
          <w:rtl w:val="0"/>
        </w:rPr>
        <w:t xml:space="preserve">, </w:t>
      </w:r>
      <w:r>
        <w:rPr>
          <w:i/>
          <w:rtl w:val="0"/>
        </w:rPr>
        <w:t>158</w:t>
      </w:r>
      <w:r>
        <w:rPr>
          <w:rtl w:val="0"/>
        </w:rPr>
        <w:t>(1), S65-S71.</w:t>
      </w:r>
    </w:p>
    <w:p w14:paraId="00000094">
      <w:pPr>
        <w:spacing w:line="480" w:lineRule="auto"/>
        <w:ind w:left="1080" w:hanging="540"/>
        <w:jc w:val="left"/>
      </w:pPr>
    </w:p>
    <w:sectPr>
      <w:headerReference r:id="rId6" w:type="first"/>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Trebuchet MS">
    <w:panose1 w:val="020B0603020202020204"/>
    <w:charset w:val="00"/>
    <w:family w:val="auto"/>
    <w:pitch w:val="default"/>
    <w:sig w:usb0="00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5">
    <w:pPr>
      <w:pBdr>
        <w:top w:val="none" w:color="auto" w:sz="0" w:space="0"/>
        <w:left w:val="none" w:color="auto" w:sz="0" w:space="0"/>
        <w:bottom w:val="none" w:color="auto" w:sz="0" w:space="0"/>
        <w:right w:val="none" w:color="auto" w:sz="0" w:space="0"/>
        <w:between w:val="none" w:color="auto" w:sz="0" w:space="0"/>
      </w:pBdr>
      <w:shd w:val="clear" w:color="auto" w:fill="auto"/>
      <w:tabs>
        <w:tab w:val="right" w:pos="9360"/>
      </w:tabs>
      <w:spacing w:before="0"/>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06942F">
                          <w:pPr>
                            <w:pBdr>
                              <w:top w:val="none" w:color="auto" w:sz="0" w:space="0"/>
                              <w:left w:val="none" w:color="auto" w:sz="0" w:space="0"/>
                              <w:bottom w:val="none" w:color="auto" w:sz="0" w:space="0"/>
                              <w:right w:val="none" w:color="auto" w:sz="0" w:space="0"/>
                              <w:between w:val="none" w:color="auto" w:sz="0" w:space="0"/>
                            </w:pBdr>
                            <w:shd w:val="clear" w:color="auto" w:fill="auto"/>
                            <w:tabs>
                              <w:tab w:val="right" w:pos="9360"/>
                            </w:tabs>
                            <w:spacing w:before="0"/>
                          </w:pPr>
                          <w:r>
                            <w:rPr>
                              <w:rtl w:val="0"/>
                            </w:rPr>
                            <w:tab/>
                          </w:r>
                          <w:r>
                            <w:fldChar w:fldCharType="begin"/>
                          </w:r>
                          <w:r>
                            <w:instrText xml:space="preserve">PAGE</w:instrText>
                          </w:r>
                          <w:r>
                            <w:fldChar w:fldCharType="separate"/>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4F06942F">
                    <w:pPr>
                      <w:pBdr>
                        <w:top w:val="none" w:color="auto" w:sz="0" w:space="0"/>
                        <w:left w:val="none" w:color="auto" w:sz="0" w:space="0"/>
                        <w:bottom w:val="none" w:color="auto" w:sz="0" w:space="0"/>
                        <w:right w:val="none" w:color="auto" w:sz="0" w:space="0"/>
                        <w:between w:val="none" w:color="auto" w:sz="0" w:space="0"/>
                      </w:pBdr>
                      <w:shd w:val="clear" w:color="auto" w:fill="auto"/>
                      <w:tabs>
                        <w:tab w:val="right" w:pos="9360"/>
                      </w:tabs>
                      <w:spacing w:before="0"/>
                    </w:pPr>
                    <w:r>
                      <w:rPr>
                        <w:rtl w:val="0"/>
                      </w:rPr>
                      <w:tab/>
                    </w:r>
                    <w:r>
                      <w:fldChar w:fldCharType="begin"/>
                    </w:r>
                    <w:r>
                      <w:instrText xml:space="preserve">PAGE</w:instrText>
                    </w:r>
                    <w:r>
                      <w:fldChar w:fldCharType="separate"/>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6">
    <w:pPr>
      <w:pBdr>
        <w:top w:val="none" w:color="auto" w:sz="0" w:space="0"/>
        <w:left w:val="none" w:color="auto" w:sz="0" w:space="0"/>
        <w:bottom w:val="none" w:color="auto" w:sz="0" w:space="0"/>
        <w:right w:val="none" w:color="auto" w:sz="0" w:space="0"/>
        <w:between w:val="none" w:color="auto" w:sz="0" w:space="0"/>
      </w:pBdr>
      <w:shd w:val="clear" w:color="auto" w:fill="auto"/>
      <w:spacing w:before="960"/>
    </w:pPr>
    <w:r>
      <w:rPr>
        <w:rtl w:val="0"/>
      </w:rPr>
      <w:t>Running head: TITLE OF YOUR PAPER</w:t>
    </w:r>
    <w:r>
      <w:rPr>
        <w:rtl w:val="0"/>
      </w:rPr>
      <w:tab/>
    </w:r>
    <w:r>
      <w:rPr>
        <w:rtl w:val="0"/>
      </w:rPr>
      <w:tab/>
    </w:r>
    <w:r>
      <w:rPr>
        <w:rtl w:val="0"/>
      </w:rPr>
      <w:tab/>
    </w:r>
    <w:r>
      <w:rPr>
        <w:rtl w:val="0"/>
      </w:rPr>
      <w:tab/>
    </w:r>
    <w:r>
      <w:rPr>
        <w:rtl w:val="0"/>
      </w:rPr>
      <w:tab/>
    </w:r>
    <w:r>
      <w:rPr>
        <w:rtl w:val="0"/>
      </w:rPr>
      <w:tab/>
    </w:r>
    <w:r>
      <w:rPr>
        <w:rtl w:val="0"/>
      </w:rPr>
      <w:tab/>
    </w:r>
    <w:r>
      <w:fldChar w:fldCharType="begin"/>
    </w:r>
    <w:r>
      <w:instrText xml:space="preserve">PAGE</w:instrText>
    </w:r>
    <w:r>
      <w:fldChar w:fldCharType="separate"/>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DB51CDC"/>
    <w:rsid w:val="298F30F5"/>
    <w:rsid w:val="52852B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pPr>
    <w:rPr>
      <w:rFonts w:asciiTheme="minorHAnsi" w:hAnsiTheme="minorHAnsi" w:eastAsiaTheme="minorEastAsia" w:cstheme="minorBidi"/>
      <w:sz w:val="24"/>
      <w:szCs w:val="24"/>
      <w:lang w:val="en" w:eastAsia="en-US" w:bidi="ar-SA"/>
    </w:rPr>
  </w:style>
  <w:style w:type="paragraph" w:styleId="2">
    <w:name w:val="heading 1"/>
    <w:next w:val="1"/>
    <w:qFormat/>
    <w:uiPriority w:val="0"/>
    <w:pPr>
      <w:keepNext/>
      <w:keepLines/>
      <w:pageBreakBefore w:val="0"/>
      <w:spacing w:line="480" w:lineRule="auto"/>
      <w:jc w:val="center"/>
      <w:outlineLvl w:val="0"/>
    </w:pPr>
    <w:rPr>
      <w:rFonts w:asciiTheme="minorHAnsi" w:hAnsiTheme="minorHAnsi" w:eastAsiaTheme="minorEastAsia" w:cstheme="minorBidi"/>
      <w:b/>
      <w:sz w:val="24"/>
      <w:szCs w:val="24"/>
      <w:lang w:val="en" w:eastAsia="en-US" w:bidi="ar-SA"/>
    </w:rPr>
  </w:style>
  <w:style w:type="paragraph" w:styleId="3">
    <w:name w:val="heading 2"/>
    <w:next w:val="1"/>
    <w:qFormat/>
    <w:uiPriority w:val="0"/>
    <w:pPr>
      <w:keepNext/>
      <w:keepLines/>
      <w:pageBreakBefore w:val="0"/>
      <w:spacing w:line="480" w:lineRule="auto"/>
      <w:outlineLvl w:val="1"/>
    </w:pPr>
    <w:rPr>
      <w:rFonts w:asciiTheme="minorHAnsi" w:hAnsiTheme="minorHAnsi" w:eastAsiaTheme="minorEastAsia" w:cstheme="minorBidi"/>
      <w:b/>
      <w:sz w:val="24"/>
      <w:szCs w:val="24"/>
      <w:lang w:val="en" w:eastAsia="en-US" w:bidi="ar-SA"/>
    </w:rPr>
  </w:style>
  <w:style w:type="paragraph" w:styleId="4">
    <w:name w:val="heading 3"/>
    <w:next w:val="1"/>
    <w:qFormat/>
    <w:uiPriority w:val="0"/>
    <w:pPr>
      <w:keepNext/>
      <w:keepLines/>
      <w:pageBreakBefore w:val="0"/>
      <w:spacing w:line="480" w:lineRule="auto"/>
      <w:outlineLvl w:val="2"/>
    </w:pPr>
    <w:rPr>
      <w:rFonts w:asciiTheme="minorHAnsi" w:hAnsiTheme="minorHAnsi" w:eastAsiaTheme="minorEastAsia" w:cstheme="minorBidi"/>
      <w:b/>
      <w:i/>
      <w:sz w:val="24"/>
      <w:szCs w:val="24"/>
      <w:lang w:val="en" w:eastAsia="en-US" w:bidi="ar-SA"/>
    </w:rPr>
  </w:style>
  <w:style w:type="paragraph" w:styleId="5">
    <w:name w:val="heading 4"/>
    <w:next w:val="1"/>
    <w:qFormat/>
    <w:uiPriority w:val="0"/>
    <w:pPr>
      <w:keepNext/>
      <w:keepLines/>
      <w:pageBreakBefore w:val="0"/>
      <w:spacing w:line="480" w:lineRule="auto"/>
      <w:ind w:firstLine="720"/>
      <w:outlineLvl w:val="3"/>
    </w:pPr>
    <w:rPr>
      <w:rFonts w:asciiTheme="minorHAnsi" w:hAnsiTheme="minorHAnsi" w:eastAsiaTheme="minorEastAsia" w:cstheme="minorBidi"/>
      <w:b/>
      <w:i/>
      <w:sz w:val="24"/>
      <w:szCs w:val="24"/>
      <w:lang w:val="en" w:eastAsia="en-US" w:bidi="ar-SA"/>
    </w:rPr>
  </w:style>
  <w:style w:type="paragraph" w:styleId="6">
    <w:name w:val="heading 5"/>
    <w:next w:val="1"/>
    <w:qFormat/>
    <w:uiPriority w:val="0"/>
    <w:pPr>
      <w:keepNext/>
      <w:keepLines/>
      <w:pageBreakBefore w:val="0"/>
      <w:spacing w:line="480" w:lineRule="auto"/>
      <w:outlineLvl w:val="4"/>
    </w:pPr>
    <w:rPr>
      <w:rFonts w:asciiTheme="minorHAnsi" w:hAnsiTheme="minorHAnsi" w:eastAsiaTheme="minorEastAsia" w:cstheme="minorBidi"/>
      <w:i/>
      <w:sz w:val="24"/>
      <w:szCs w:val="24"/>
      <w:lang w:val="en" w:eastAsia="en-US" w:bidi="ar-SA"/>
    </w:rPr>
  </w:style>
  <w:style w:type="paragraph" w:styleId="7">
    <w:name w:val="heading 6"/>
    <w:next w:val="1"/>
    <w:qFormat/>
    <w:uiPriority w:val="0"/>
    <w:pPr>
      <w:keepNext/>
      <w:keepLines/>
      <w:pageBreakBefore w:val="0"/>
      <w:spacing w:before="160" w:after="0" w:line="480" w:lineRule="auto"/>
      <w:outlineLvl w:val="5"/>
    </w:pPr>
    <w:rPr>
      <w:rFonts w:ascii="Trebuchet MS" w:hAnsi="Trebuchet MS" w:eastAsia="Trebuchet MS" w:cs="Trebuchet MS"/>
      <w:i/>
      <w:color w:val="666666"/>
      <w:sz w:val="22"/>
      <w:szCs w:val="22"/>
      <w:lang w:val="en" w:eastAsia="en-US" w:bidi="ar-SA"/>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next w:val="1"/>
    <w:qFormat/>
    <w:uiPriority w:val="0"/>
    <w:pPr>
      <w:keepNext/>
      <w:keepLines/>
      <w:pageBreakBefore w:val="0"/>
      <w:spacing w:line="480" w:lineRule="auto"/>
      <w:jc w:val="center"/>
    </w:pPr>
    <w:rPr>
      <w:rFonts w:asciiTheme="minorHAnsi" w:hAnsiTheme="minorHAnsi" w:eastAsiaTheme="minorEastAsia" w:cstheme="minorBidi"/>
      <w:sz w:val="24"/>
      <w:szCs w:val="24"/>
      <w:lang w:val="en" w:eastAsia="en-US" w:bidi="ar-SA"/>
    </w:rPr>
  </w:style>
  <w:style w:type="paragraph" w:styleId="11">
    <w:name w:val="Title"/>
    <w:next w:val="1"/>
    <w:qFormat/>
    <w:uiPriority w:val="0"/>
    <w:pPr>
      <w:keepNext/>
      <w:keepLines/>
      <w:pageBreakBefore w:val="0"/>
      <w:spacing w:before="2160" w:line="480" w:lineRule="auto"/>
      <w:jc w:val="center"/>
    </w:pPr>
    <w:rPr>
      <w:rFonts w:asciiTheme="minorHAnsi" w:hAnsiTheme="minorHAnsi" w:eastAsiaTheme="minorEastAsia" w:cstheme="minorBidi"/>
      <w:b/>
      <w:sz w:val="24"/>
      <w:szCs w:val="24"/>
      <w:lang w:val="en" w:eastAsia="en-US" w:bidi="ar-SA"/>
    </w:rPr>
  </w:style>
  <w:style w:type="table" w:customStyle="1" w:styleId="12">
    <w:name w:val="Table Normal1"/>
    <w:uiPriority w:val="0"/>
  </w:style>
  <w:style w:type="table" w:customStyle="1" w:styleId="13">
    <w:name w:val="Table Normal2"/>
    <w:qFormat/>
    <w:uiPriority w:val="0"/>
  </w:style>
  <w:style w:type="table" w:customStyle="1" w:styleId="14">
    <w:name w:val="Table Normal3"/>
    <w:qFormat/>
    <w:uiPriority w:val="0"/>
  </w:style>
  <w:style w:type="table" w:customStyle="1" w:styleId="15">
    <w:name w:val="Table Normal4"/>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0</Words>
  <Characters>0</Characters>
  <Lines>0</Lines>
  <Paragraphs>0</Paragraphs>
  <TotalTime>60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2024-12-21T07:16:00Z</dcterms:created>
  <dc:creator>Administrator</dc:creator>
  <cp:lastModifiedBy>Administrator</cp:lastModifiedBy>
  <dcterms:modified xsi:type="dcterms:W3CDTF">2024-12-21T08:39:46Z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B608C715687042FD9FC65F0720B24AFB_12</vt:lpwstr>
  </property>
  <property fmtid="{D5CDD505-2E9C-101B-9397-08002B2CF9AE}" pid="3" name="KSOProductBuildVer">
    <vt:lpwstr>1033-12.2.0.19307</vt:lpwstr>
  </property>
</Properties>
</file>