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Arial" w:hAnsi="Arial" w:eastAsia="Microsoft YaHei"/>
          <w:b/>
          <w:color w:val="233142"/>
          <w:sz w:val="48"/>
        </w:rPr>
        <w:t>Google Ads 周报</w:t>
      </w:r>
    </w:p>
    <w:p>
      <w:pPr>
        <w:spacing w:after="160"/>
        <w:jc w:val="center"/>
      </w:pPr>
      <w:r>
        <w:rPr>
          <w:rFonts w:ascii="Arial" w:hAnsi="Arial" w:eastAsia="Microsoft YaHei"/>
          <w:b w:val="0"/>
          <w:color w:val="E67E22"/>
          <w:sz w:val="22"/>
        </w:rPr>
        <w:t>2026年8月12日–8月18日  ·  对比 8月5日–8月11日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c>
          <w:tcPr>
            <w:tcW w:type="dxa" w:w="10368"/>
            <w:shd w:fill="FFF3E8"/>
          </w:tcPr>
          <w:p>
            <w:pPr>
              <w:spacing w:before="120" w:after="120"/>
              <w:jc w:val="center"/>
            </w:pPr>
            <w:r>
              <w:rPr>
                <w:rFonts w:ascii="Arial" w:hAnsi="Arial" w:eastAsia="Microsoft YaHei"/>
                <w:b/>
                <w:color w:val="E67E22"/>
                <w:sz w:val="22"/>
              </w:rPr>
              <w:t>本周结论：花费下降、点击与转化增长，整体投放效率明显改善。</w:t>
            </w:r>
          </w:p>
        </w:tc>
      </w:tr>
    </w:tbl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01  核心数据概览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本周</w:t>
            </w:r>
          </w:p>
        </w:tc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上周</w:t>
            </w:r>
          </w:p>
        </w:tc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变化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花费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US$454.36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US$540.65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↓ 15.96%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展示次数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46,074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39,732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15.96%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点击次数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734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530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38.49%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转化次数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7.21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4.00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80.21%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转化价值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US$2,838.75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US$716.02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296.46%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ROAS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6.25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1.32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371.75%</w:t>
            </w:r>
          </w:p>
        </w:tc>
      </w:tr>
    </w:tbl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本周当前筛选中已启用广告系列花费为US$454.36，环比下降15.96%；点击量增长38.49%，转化次数增长80.21%，转化价值增长296.46%，ROAS由1.32提升至6.25。整体呈现“预算收缩、效率提升”的趋势。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42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42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图1｜账户概览：本周点击、转化、每次转化费用及花费趋势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02  近一周的操作情况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1. Roller &amp; Honeycomb系列：暂停低效资源组并补充素材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暂停了该系列中的一个素材资源组；同时重新细分产品范围，将double roller blinds纳入投放，并排除其他不相关产品。Roller Blinds及day night honeycomb素材组新增了方形、横向、纵向图片，以及标题和描述素材。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本周该系列花费US$173.43，产生2.85次转化及US$1,454.84转化价值，ROAS由2.23提升至8.39。后续继续观察新增素材的放量表现。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786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_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78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图2｜本周变更记录：素材资源组、预算及否定关键词调整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2. 小样系列：下调预算，提高目标ROAS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小样系列新增了方形、横向和纵向图片，将日预算由US$30下调至US$20，并将目标ROAS由300%逐步提高至360%；同时排除了无转化搜索词[motorised roman blinds]。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本周该系列花费US$93.25，转化价值提升至US$479.93，ROAS由0.10提升至5.15，整体价值产出明显改善。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3. 秋冬Promotion系列：收缩预算与产品范围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日预算由US$35下调至US$20，目标ROAS由300%提高至330%；将outdoor blinds产品类型排除，并新增否定关键词[ikea blinds]。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调整后花费下降46.79%，但转化价值也由US$304.97下降至US$33.01。后续需要继续观察预算收缩及产品范围调整后的恢复情况。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513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_m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51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图3｜本周变更记录：PMax素材、产品范围及Search出价策略调整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4. Search品牌系列：切换目标CPA策略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本周重新调整出价策略，先由“尽可能提高转化价值”切换为“尽可能提高转化次数”，随后调整至目标CPA策略，目标CPA为US$20；日预算最终调整至US$30，同时取消平板设备-50%的出价调整。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本周花费降至US$4.74，但转化由1次降至0，说明控费明显，当前转化表现仍需继续观察。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5. Demand Gen：更新促销素材并收紧Winter系列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Demand Gen-feed系列更新了视频广告落地页，新增多项促销信息素材并移除旧促销素材。本周花费US$66.43，环比下降6.82%，新增1.32次转化及US$410.77转化价值，ROAS达到6.18。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Demand Gen-Winter Promotion系列将日预算由US$30下调至US$10，并将广告组目标CPA由US$15下调至US$10。本周花费US$9.42，暂未产生转化，目前仍处于调整观察阶段，暂不扩大预算。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605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_bot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60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图4｜本周变更记录：Search预算与出价、产品过滤条件及Promotion预算调整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6. 搜索字词清理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近期同步检查搜索字词，发现motorised double roller blinds、yoolax blinds review、yoolax smart blinds、electric blinds等词存在花费但未产生转化的情况。本周已排除motorised roman blinds及ikea blinds；其余高花费、零转化词将在积累更多数据后继续评估是否加入否定关键词。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7867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ter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78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图5｜本周搜索字词表现：按费用排序检查高花费、零转化词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03  广告系列表现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本周没有新建广告系列，主要操作集中在素材补充、预算收缩、目标ROAS/CPA调整、产品范围优化和无效搜索词排除。PMax仍是主要价值来源，其中Roller &amp; Honeycomb和4月Promotion系列贡献较高；Demand Gen-feed在较低花费下开始产生转化价值。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190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paig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19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图6｜广告系列表现：8月12–18日与8月5–11日对比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04  竞价分析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本周账户展示份额仍低于10%。主要竞争对手为blindsonline.com.au（41.37%）、mydirectblinds.com.au（26.47%）、diyblinds.com.au（14.46%）、kresta.com.au（13.95%）及venetablinds.com.au（12.82%）。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账户页面顶部展示率为69.12%，绝对页首展示率为22.54%。当前主要竞争对手的展示份额和顶部展示率仍明显高于账户。考虑到本周正在主动收缩预算并提高目标ROAS，展示份额偏低与当前控费策略相关；后续优先保证转化效率，在ROAS稳定后再评估是否逐步恢复预算、提升有效流量覆盖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2051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20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图7｜本周竞价分析：账户与主要竞争对手的展示份额及页面顶部率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05  Meta广告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pPr>
              <w:spacing w:before="160" w:after="160"/>
            </w:pPr>
            <w:r>
              <w:rPr>
                <w:rFonts w:ascii="Arial" w:hAnsi="Arial" w:eastAsia="Microsoft YaHei"/>
                <w:b w:val="0"/>
                <w:color w:val="233142"/>
                <w:sz w:val="21"/>
              </w:rPr>
              <w:t>待补充：当前云端未登录Meta Ads账户，暂时无法读取本周Meta广告的花费、点击率及素材表现。登录Meta后台后，可继续补充广告组预算调整、CTR变化、新素材上线情况及后续优化动作。</w:t>
            </w:r>
          </w:p>
        </w:tc>
      </w:tr>
    </w:tbl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06  下周重点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继续观察Roller &amp; Honeycomb及小样系列新增素材的放量和转化稳定性。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关注秋冬Promotion预算收缩后的流量恢复，避免转化价值持续下滑。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复盘Search目标CPA策略，若仍无转化，进一步检查品牌词覆盖与落地页表现。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持续清理高花费、零转化搜索字词，并结合样本量决定否定范围。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在ROAS稳定的前提下，再评估是否提升有效广告系列预算和竞价覆盖。</w:t>
      </w:r>
    </w:p>
    <w:p>
      <w:pPr>
        <w:spacing w:before="240" w:after="0"/>
      </w:pPr>
      <w:r>
        <w:rPr>
          <w:rFonts w:ascii="Arial" w:hAnsi="Arial" w:eastAsia="Microsoft YaHei"/>
          <w:b w:val="0"/>
          <w:color w:val="6B7280"/>
          <w:sz w:val="17"/>
        </w:rPr>
        <w:t>数据说明：数据来自Google Ads导出报告，统计周期为2026年8月12日–18日，对比2026年8月5日–11日，账户时区GMT+08:00。正文金额与指标以导出CSV为准；所有检查均为只读操作，未修改广告设置。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6"/>
      </w:rPr>
      <w:t xml:space="preserve">Google Ads 周报  |  2026.08.12–2026.08.18  |  第 </w:t>
    </w:r>
    <w:fldSimple w:instr="PAGE"/>
    <w:r>
      <w:rPr>
        <w:rFonts w:ascii="Arial" w:hAnsi="Arial" w:eastAsia="Microsoft YaHei"/>
        <w:b w:val="0"/>
        <w:color w:val="6B72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color w:val="6B7280"/>
        <w:sz w:val="17"/>
      </w:rPr>
      <w:t>Yoolax AU · Google Ads Weekly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Ads 周报（2026年8月12日–8月18日）</dc:title>
  <dc:subject>Google Ads weekly performance and optimization report</dc:subject>
  <dc:creator>Yoolax AU Marketing</dc:creator>
  <cp:keywords>Google Ads, 周报, Weekly Report, Yoolax AU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