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312E81"/>
          <w:sz w:val="40"/>
          <w:szCs w:val="40"/>
        </w:rPr>
        <w:t xml:space="preserve">FINAL PROJECT REPORT</w:t>
      </w:r>
    </w:p>
    <w:p>
      <w:pPr>
        <w:spacing w:before="200"/>
        <w:jc w:val="center"/>
      </w:pPr>
      <w:r>
        <w:rPr>
          <w:rFonts w:ascii="Calibri" w:cs="Calibri" w:eastAsia="Calibri" w:hAnsi="Calibri"/>
          <w:b/>
          <w:bCs/>
          <w:color w:val="B45309"/>
          <w:sz w:val="88"/>
          <w:szCs w:val="88"/>
        </w:rPr>
        <w:t xml:space="preserve">ThotTalk</w:t>
      </w:r>
    </w:p>
    <w:p>
      <w:pPr>
        <w:spacing w:before="120"/>
        <w:jc w:val="center"/>
      </w:pPr>
      <w:r>
        <w:rPr>
          <w:i/>
          <w:iCs/>
          <w:color w:val="1F2937"/>
          <w:sz w:val="28"/>
          <w:szCs w:val="28"/>
        </w:rPr>
        <w:t xml:space="preserve">Design, development and cloud deployment</w:t>
      </w:r>
    </w:p>
    <w:p>
      <w:pPr>
        <w:spacing w:before="40"/>
        <w:jc w:val="center"/>
      </w:pPr>
      <w:r>
        <w:rPr>
          <w:i/>
          <w:iCs/>
          <w:color w:val="1F2937"/>
          <w:sz w:val="28"/>
          <w:szCs w:val="28"/>
        </w:rPr>
        <w:t xml:space="preserve">of a real-time messaging web application</w:t>
      </w:r>
    </w:p>
    <w:p>
      <w:pPr>
        <w:spacing w:before="1300"/>
        <w:jc w:val="center"/>
      </w:pPr>
      <w:r>
        <w:rPr>
          <w:b/>
          <w:bCs/>
          <w:color w:val="1F2937"/>
          <w:sz w:val="26"/>
          <w:szCs w:val="26"/>
        </w:rPr>
        <w:t xml:space="preserve">Final Checkpoint — Master's Degree in Software Engineering</w:t>
      </w:r>
    </w:p>
    <w:p>
      <w:pPr>
        <w:spacing w:before="80"/>
        <w:jc w:val="center"/>
      </w:pPr>
      <w:r>
        <w:rPr>
          <w:color w:val="1F2937"/>
          <w:sz w:val="24"/>
          <w:szCs w:val="24"/>
        </w:rPr>
        <w:t xml:space="preserve">GOMYCODE — Dakar, Senegal</w:t>
      </w:r>
    </w:p>
    <w:p>
      <w:pPr>
        <w:spacing w:before="340"/>
        <w:jc w:val="center"/>
      </w:pPr>
      <w:r>
        <w:rPr>
          <w:color w:val="1F2937"/>
          <w:sz w:val="26"/>
          <w:szCs w:val="26"/>
        </w:rPr>
        <w:t xml:space="preserve">Author: Sylvestre IBOMBO GAKOSSO</w:t>
      </w:r>
    </w:p>
    <w:p>
      <w:pPr>
        <w:spacing w:before="80"/>
        <w:jc w:val="center"/>
      </w:pPr>
      <w:r>
        <w:rPr>
          <w:color w:val="6B7280"/>
          <w:sz w:val="22"/>
          <w:szCs w:val="22"/>
        </w:rPr>
        <w:t xml:space="preserve">July 2026 — Version 1.0</w:t>
      </w:r>
    </w:p>
    <w:p>
      <w:pPr>
        <w:spacing w:before="340"/>
        <w:jc w:val="center"/>
      </w:pPr>
      <w:r>
        <w:rPr>
          <w:color w:val="312E81"/>
          <w:sz w:val="22"/>
          <w:szCs w:val="22"/>
        </w:rPr>
        <w:t xml:space="preserve">Live application: https://thottalk.vercel.app</w:t>
      </w:r>
    </w:p>
    <w:p>
      <w:pPr>
        <w:spacing w:before="40"/>
        <w:jc w:val="center"/>
      </w:pPr>
      <w:r>
        <w:rPr>
          <w:color w:val="312E81"/>
          <w:sz w:val="22"/>
          <w:szCs w:val="22"/>
        </w:rPr>
        <w:t xml:space="preserve">Source code: github.com/Sylviedistribution/Real-time-Chat-Application</w:t>
      </w:r>
    </w:p>
    <w:p>
      <w:r>
        <w:br w:type="page"/>
      </w:r>
    </w:p>
    <w:p>
      <w:pPr>
        <w:pStyle w:val="Heading1"/>
        <w:spacing w:after="200" w:before="380"/>
      </w:pPr>
      <w:r>
        <w:rPr>
          <w:rFonts w:ascii="Calibri" w:cs="Calibri" w:eastAsia="Calibri" w:hAnsi="Calibri"/>
          <w:b/>
          <w:bCs/>
          <w:color w:val="312E8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80"/>
      </w:pPr>
      <w:r>
        <w:rPr>
          <w:rFonts w:ascii="Calibri" w:cs="Calibri" w:eastAsia="Calibri" w:hAnsi="Calibri"/>
          <w:b/>
          <w:bCs/>
          <w:color w:val="312E81"/>
          <w:sz w:val="30"/>
          <w:szCs w:val="30"/>
        </w:rPr>
        <w:t xml:space="preserve">1. Introduction</w:t>
      </w:r>
    </w:p>
    <w:p>
      <w:pPr>
        <w:spacing w:after="160" w:line="320"/>
        <w:jc w:val="both"/>
      </w:pPr>
      <w:r>
        <w:rPr>
          <w:rFonts w:ascii="Calibri" w:cs="Calibri" w:eastAsia="Calibri" w:hAnsi="Calibri"/>
          <w:color w:val="1F2937"/>
          <w:sz w:val="22"/>
          <w:szCs w:val="22"/>
        </w:rPr>
        <w:t xml:space="preserve">This report presents ThotTalk, a real-time messaging web application designed, developed and deployed as the final checkpoint of my Master's degree in Software Engineering at GOMYCODE. The project is the synthesis of seventeen months of training: it exercises the full skill chain of a modern software engineer, from UML modeling to cloud deployment, through security, automated testing and continuous integration.</w:t>
      </w:r>
    </w:p>
    <w:p>
      <w:pPr>
        <w:spacing w:after="160" w:line="320"/>
        <w:jc w:val="both"/>
      </w:pPr>
      <w:r>
        <w:rPr>
          <w:rFonts w:ascii="Calibri" w:cs="Calibri" w:eastAsia="Calibri" w:hAnsi="Calibri"/>
          <w:color w:val="1F2937"/>
          <w:sz w:val="22"/>
          <w:szCs w:val="22"/>
        </w:rPr>
        <w:t xml:space="preserve">ThotTalk lets its users exchange messages instantly, either in public rooms discoverable by everyone — following the community model popularized by Discord — or in private one-to-one conversations. The name honors Thoth, the Egyptian god of writing and knowledge, scribe of the gods: a reference that also shaped the application's visual identity (lapis lazuli, gold, papyrus).</w:t>
      </w:r>
    </w:p>
    <w:p>
      <w:pPr>
        <w:spacing w:after="160" w:line="320"/>
        <w:jc w:val="both"/>
      </w:pPr>
      <w:r>
        <w:rPr>
          <w:rFonts w:ascii="Calibri" w:cs="Calibri" w:eastAsia="Calibri" w:hAnsi="Calibri"/>
          <w:color w:val="1F2937"/>
          <w:sz w:val="22"/>
          <w:szCs w:val="22"/>
        </w:rPr>
        <w:t xml:space="preserve">This document follows the project's own path: problem identification and justification (section 2), requirements analysis and methodology (section 3), architecture and technology choices (sections 4 and 5), implementation (section 6), security (section 7), testing (section 8), deployment (section 9), then a discussion of the results, the incidents encountered and the perspectives (sections 10 to 12).</w:t>
      </w:r>
    </w:p>
    <w:p>
      <w:pPr>
        <w:pStyle w:val="Heading1"/>
        <w:spacing w:after="200" w:before="380"/>
      </w:pPr>
      <w:r>
        <w:rPr>
          <w:rFonts w:ascii="Calibri" w:cs="Calibri" w:eastAsia="Calibri" w:hAnsi="Calibri"/>
          <w:b/>
          <w:bCs/>
          <w:color w:val="312E81"/>
          <w:sz w:val="30"/>
          <w:szCs w:val="30"/>
        </w:rPr>
        <w:t xml:space="preserve">2. Problem Statement and State of the Art</w:t>
      </w:r>
    </w:p>
    <w:p>
      <w:pPr>
        <w:pStyle w:val="Heading2"/>
        <w:spacing w:after="140" w:before="280"/>
      </w:pPr>
      <w:r>
        <w:rPr>
          <w:rFonts w:ascii="Calibri" w:cs="Calibri" w:eastAsia="Calibri" w:hAnsi="Calibri"/>
          <w:b/>
          <w:bCs/>
          <w:color w:val="B45309"/>
          <w:sz w:val="24"/>
          <w:szCs w:val="24"/>
        </w:rPr>
        <w:t xml:space="preserve">2.1 The problem</w:t>
      </w:r>
    </w:p>
    <w:p>
      <w:pPr>
        <w:spacing w:after="160" w:line="320"/>
        <w:jc w:val="both"/>
      </w:pPr>
      <w:r>
        <w:rPr>
          <w:rFonts w:ascii="Calibri" w:cs="Calibri" w:eastAsia="Calibri" w:hAnsi="Calibri"/>
          <w:color w:val="1F2937"/>
          <w:sz w:val="22"/>
          <w:szCs w:val="22"/>
        </w:rPr>
        <w:t xml:space="preserve">Instant communication has become essential infrastructure for work, education and community life. Yet this need is served almost exclusively by proprietary, centralized platforms — WhatsApp, Messenger, Discord, Slack — whose code cannot be audited, whose infrastructure cannot be self-hosted, and whose business models rely heavily on exploiting usage data. For communities, schools and small organizations, particularly in resource-constrained contexts such as West Africa, this dependency raises three concrete problems: no control over the data being exchanged, no ability to adapt the tool to specific needs, and the cost of professional plans once the free features are no longer sufficient.</w:t>
      </w:r>
    </w:p>
    <w:p>
      <w:pPr>
        <w:spacing w:after="160" w:line="320"/>
        <w:jc w:val="both"/>
      </w:pPr>
      <w:r>
        <w:rPr>
          <w:rFonts w:ascii="Calibri" w:cs="Calibri" w:eastAsia="Calibri" w:hAnsi="Calibri"/>
          <w:color w:val="1F2937"/>
          <w:sz w:val="22"/>
          <w:szCs w:val="22"/>
        </w:rPr>
        <w:t xml:space="preserve">The problem this project addresses is therefore the following: is it possible to build, with exclusively open technologies and a zero hosting budget, a complete real-time messaging platform that is secure, documented end to end, and reproducible by anyone wishing to self-host it? ThotTalk is the proof by construction that the answer is yes.</w:t>
      </w:r>
    </w:p>
    <w:p>
      <w:pPr>
        <w:spacing w:after="160" w:line="320"/>
        <w:jc w:val="both"/>
      </w:pPr>
      <w:r>
        <w:rPr>
          <w:rFonts w:ascii="Calibri" w:cs="Calibri" w:eastAsia="Calibri" w:hAnsi="Calibri"/>
          <w:color w:val="1F2937"/>
          <w:sz w:val="22"/>
          <w:szCs w:val="22"/>
        </w:rPr>
        <w:t xml:space="preserve">The project also openly embraces a second objective: mastering the engineering challenges specific to real-time systems — concurrency management, connection lifecycle, per-channel authorization, optimistic interface reconciliation — which are among the most formative problems of modern web development. This dual objective, applied and educational, is consistent with the spirit of a Master's capstone: delivering a working system while demonstrating an in-depth understanding of the mechanisms involved.</w:t>
      </w:r>
    </w:p>
    <w:p>
      <w:pPr>
        <w:pStyle w:val="Heading2"/>
        <w:spacing w:after="140" w:before="280"/>
      </w:pPr>
      <w:r>
        <w:rPr>
          <w:rFonts w:ascii="Calibri" w:cs="Calibri" w:eastAsia="Calibri" w:hAnsi="Calibri"/>
          <w:b/>
          <w:bCs/>
          <w:color w:val="B45309"/>
          <w:sz w:val="24"/>
          <w:szCs w:val="24"/>
        </w:rPr>
        <w:t xml:space="preserve">2.2 Technical state of the art</w:t>
      </w:r>
    </w:p>
    <w:p>
      <w:pPr>
        <w:spacing w:after="160" w:line="320"/>
        <w:jc w:val="both"/>
      </w:pPr>
      <w:r>
        <w:rPr>
          <w:rFonts w:ascii="Calibri" w:cs="Calibri" w:eastAsia="Calibri" w:hAnsi="Calibri"/>
          <w:color w:val="1F2937"/>
          <w:sz w:val="22"/>
          <w:szCs w:val="22"/>
        </w:rPr>
        <w:t xml:space="preserve">Real-time communication on the web historically relied on workarounds of HTTP's request-response model: periodic polling, wasteful in useless requests, then long polling, where the server holds the request until data is available. The standardization of the WebSocket protocol (RFC 6455, 2011) changed the picture: after an HTTP handshake concluding with the 101 "Switching Protocols" status code, the TCP connection becomes a permanent bidirectional channel where both parties freely emit lightweight frames.</w:t>
      </w:r>
    </w:p>
    <w:p>
      <w:pPr>
        <w:spacing w:after="160" w:line="320"/>
        <w:jc w:val="both"/>
      </w:pPr>
      <w:r>
        <w:rPr>
          <w:rFonts w:ascii="Calibri" w:cs="Calibri" w:eastAsia="Calibri" w:hAnsi="Calibri"/>
          <w:color w:val="1F2937"/>
          <w:sz w:val="22"/>
          <w:szCs w:val="22"/>
        </w:rPr>
        <w:t xml:space="preserve">The bare protocol, however, remains deliberately minimal. During this project, a hands-on experiment with the "ws" library made its limits tangible: no message semantics (everything is a string), no broadcast groups, no automatic reconnection, no acknowledgments, and incompatibility with some network environments that block the protocol upgrade. The Socket.IO library answers precisely these five gaps — named events, rooms, reconnection with backoff, acknowledgments, automatic long-polling fallback — which motivated its adoption: every feature of the library corresponds to a wall encountered experimentally with the raw protocol.</w:t>
      </w:r>
    </w:p>
    <w:p>
      <w:pPr>
        <w:spacing w:after="160" w:line="320"/>
        <w:jc w:val="both"/>
      </w:pPr>
      <w:r>
        <w:rPr>
          <w:rFonts w:ascii="Calibri" w:cs="Calibri" w:eastAsia="Calibri" w:hAnsi="Calibri"/>
          <w:color w:val="1F2937"/>
          <w:sz w:val="22"/>
          <w:szCs w:val="22"/>
        </w:rPr>
        <w:t xml:space="preserve">On the persistence side, messaging systems exhibit a characteristic data profile: high write volumes, reads massively oriented towards the recent messages of a given channel, simple document structure. This profile suits a document-oriented database such as MongoDB well, provided the indexes are designed carefully: a compound index on the channel/date pair makes history pagination logarithmic rather than linear. Finally, the OWASP security recommendations (Top Ten 2021) served as a cross-cutting reference: broken access control, identification failures and input validation flaws rank among the major risks listed there, and they structured the measures described in section 7.</w:t>
      </w:r>
    </w:p>
    <w:p>
      <w:pPr>
        <w:pStyle w:val="Heading1"/>
        <w:spacing w:after="200" w:before="380"/>
      </w:pPr>
      <w:r>
        <w:rPr>
          <w:rFonts w:ascii="Calibri" w:cs="Calibri" w:eastAsia="Calibri" w:hAnsi="Calibri"/>
          <w:b/>
          <w:bCs/>
          <w:color w:val="312E81"/>
          <w:sz w:val="30"/>
          <w:szCs w:val="30"/>
        </w:rPr>
        <w:t xml:space="preserve">3. Requirements Analysis and Methodology</w:t>
      </w:r>
    </w:p>
    <w:p>
      <w:pPr>
        <w:pStyle w:val="Heading2"/>
        <w:spacing w:after="140" w:before="280"/>
      </w:pPr>
      <w:r>
        <w:rPr>
          <w:rFonts w:ascii="Calibri" w:cs="Calibri" w:eastAsia="Calibri" w:hAnsi="Calibri"/>
          <w:b/>
          <w:bCs/>
          <w:color w:val="B45309"/>
          <w:sz w:val="24"/>
          <w:szCs w:val="24"/>
        </w:rPr>
        <w:t xml:space="preserve">3.1 Requirements</w:t>
      </w:r>
    </w:p>
    <w:p>
      <w:pPr>
        <w:spacing w:after="160" w:line="320"/>
        <w:jc w:val="both"/>
      </w:pPr>
      <w:r>
        <w:rPr>
          <w:rFonts w:ascii="Calibri" w:cs="Calibri" w:eastAsia="Calibri" w:hAnsi="Calibri"/>
          <w:color w:val="1F2937"/>
          <w:sz w:val="22"/>
          <w:szCs w:val="22"/>
        </w:rPr>
        <w:t xml:space="preserve">The needs were formalized in a requirements specification (available in French and English in the repository) and prioritized with the MoSCoW method. The essential requirements (Must have) cover full authentication, public rooms with their lifecycle, private conversations, real-time messaging and paginated history. The desirable requirements (Should have) add room moderation — kicking and banning by the owner, ownership transfer when the owner leaves — as well as user search. The deferred requirements (Won't have in this version) include audio and video calls, end-to-end encryption and native mobile applications: deliberate scope decisions, documented from the design phase.</w:t>
      </w:r>
    </w:p>
    <w:p>
      <w:pPr>
        <w:spacing w:after="160" w:line="320"/>
        <w:jc w:val="both"/>
      </w:pPr>
      <w:r>
        <w:rPr>
          <w:rFonts w:ascii="Calibri" w:cs="Calibri" w:eastAsia="Calibri" w:hAnsi="Calibri"/>
          <w:color w:val="1F2937"/>
          <w:sz w:val="22"/>
          <w:szCs w:val="22"/>
        </w:rPr>
        <w:t xml:space="preserve">Non-functional requirements were made measurable: perceptible broadcast latency under one second in normal conditions, an interface usable from 320 pixels up to a desktop screen, messages capped at 2,000 characters, pagination capped at 100 items, and a server that refuses to boot if its configuration is incomplete.</w:t>
      </w:r>
    </w:p>
    <w:p>
      <w:pPr>
        <w:pStyle w:val="Heading2"/>
        <w:spacing w:after="140" w:before="280"/>
      </w:pPr>
      <w:r>
        <w:rPr>
          <w:rFonts w:ascii="Calibri" w:cs="Calibri" w:eastAsia="Calibri" w:hAnsi="Calibri"/>
          <w:b/>
          <w:bCs/>
          <w:color w:val="B45309"/>
          <w:sz w:val="24"/>
          <w:szCs w:val="24"/>
        </w:rPr>
        <w:t xml:space="preserve">3.2 Methodology</w:t>
      </w:r>
    </w:p>
    <w:p>
      <w:pPr>
        <w:spacing w:after="160" w:line="320"/>
        <w:jc w:val="both"/>
      </w:pPr>
      <w:r>
        <w:rPr>
          <w:rFonts w:ascii="Calibri" w:cs="Calibri" w:eastAsia="Calibri" w:hAnsi="Calibri"/>
          <w:color w:val="1F2937"/>
          <w:sz w:val="22"/>
          <w:szCs w:val="22"/>
        </w:rPr>
        <w:t xml:space="preserve">Development followed an incremental approach in vertical slices: each batch delivered a complete feature, from database to interface, rather than an isolated technical layer. The interface was first built on simulated data strictly honoring the contract of the future API; the switch to the real API then happened layer by layer, each simulation retired through a documented commit. This strategy validated the user experience very early, then allowed plugging in the server without rewriting the components.</w:t>
      </w:r>
    </w:p>
    <w:p>
      <w:pPr>
        <w:spacing w:after="160" w:line="320"/>
        <w:jc w:val="both"/>
      </w:pPr>
      <w:r>
        <w:rPr>
          <w:rFonts w:ascii="Calibri" w:cs="Calibri" w:eastAsia="Calibri" w:hAnsi="Calibri"/>
          <w:color w:val="1F2937"/>
          <w:sz w:val="22"/>
          <w:szCs w:val="22"/>
        </w:rPr>
        <w:t xml:space="preserve">Design preceded code: six UML diagrams (use case, class, message-sending sequence, authentication activity, component, deployment) were produced before the first line, and the sequence diagram turned out to be the exact transcription of the event handler eventually implemented — design-to-code traceability that can be verified in the repository. Version control followed the Conventional Commits convention, with atomic commits whose messages document the why of the changes. Finally, one distinctive practice of the project deserves mention: an incident journal, in which twenty anomalies were documented on a constant grid (symptom, diagnostic approach, root cause, fix, lesson). This journal, included in the repository, turns errors into reusable knowledge and feeds the discussion in section 10.</w:t>
      </w:r>
    </w:p>
    <w:p>
      <w:pPr>
        <w:pStyle w:val="Heading1"/>
        <w:spacing w:after="200" w:before="380"/>
      </w:pPr>
      <w:r>
        <w:rPr>
          <w:rFonts w:ascii="Calibri" w:cs="Calibri" w:eastAsia="Calibri" w:hAnsi="Calibri"/>
          <w:b/>
          <w:bCs/>
          <w:color w:val="312E81"/>
          <w:sz w:val="30"/>
          <w:szCs w:val="30"/>
        </w:rPr>
        <w:t xml:space="preserve">4. System Architecture</w:t>
      </w:r>
    </w:p>
    <w:p>
      <w:pPr>
        <w:pStyle w:val="Heading2"/>
        <w:spacing w:after="140" w:before="280"/>
      </w:pPr>
      <w:r>
        <w:rPr>
          <w:rFonts w:ascii="Calibri" w:cs="Calibri" w:eastAsia="Calibri" w:hAnsi="Calibri"/>
          <w:b/>
          <w:bCs/>
          <w:color w:val="B45309"/>
          <w:sz w:val="24"/>
          <w:szCs w:val="24"/>
        </w:rPr>
        <w:t xml:space="preserve">4.1 Overview</w:t>
      </w:r>
    </w:p>
    <w:p>
      <w:pPr>
        <w:spacing w:after="160" w:line="320"/>
        <w:jc w:val="both"/>
      </w:pPr>
      <w:r>
        <w:rPr>
          <w:rFonts w:ascii="Calibri" w:cs="Calibri" w:eastAsia="Calibri" w:hAnsi="Calibri"/>
          <w:color w:val="1F2937"/>
          <w:sz w:val="22"/>
          <w:szCs w:val="22"/>
        </w:rPr>
        <w:t xml:space="preserve">The system follows a three-tier cloud topology. The client is a React single-page application served as static files by Vercel's content delivery network. The server is a containerized Node.js application hosted on Render, exposing two complementary channels on the same port: a REST API for authentication, entity management and history, and a Socket.IO connection for instant broadcast. Persistence is provided by a managed MongoDB Atlas cluster. This split matches the strengths of each platform: static content on a global CDN, a permanent process for socket connections, a managed database.</w:t>
      </w:r>
    </w:p>
    <w:p>
      <w:pPr>
        <w:spacing w:after="160" w:line="320"/>
        <w:jc w:val="both"/>
      </w:pPr>
      <w:r>
        <w:rPr>
          <w:rFonts w:ascii="Calibri" w:cs="Calibri" w:eastAsia="Calibri" w:hAnsi="Calibri"/>
          <w:color w:val="1F2937"/>
          <w:sz w:val="22"/>
          <w:szCs w:val="22"/>
        </w:rPr>
        <w:t xml:space="preserve">The data model comprises four entities. The User carries identity and profile information. The Room references an owner, a member list and a banned-user list. The Conversation links exactly two participants. The Message references its sender and belongs either to a room or to a conversation — never both, never neither — an exclusivity constraint enforced by a validation hook. Messages are referenced rather than embedded in their channel, a decision that enables pagination and prevents unbounded growth of parent documents; two compound channel/date indexes support history reads.</w:t>
      </w:r>
    </w:p>
    <w:p>
      <w:pPr>
        <w:pStyle w:val="Heading2"/>
        <w:spacing w:after="140" w:before="280"/>
      </w:pPr>
      <w:r>
        <w:rPr>
          <w:rFonts w:ascii="Calibri" w:cs="Calibri" w:eastAsia="Calibri" w:hAnsi="Calibri"/>
          <w:b/>
          <w:bCs/>
          <w:color w:val="B45309"/>
          <w:sz w:val="24"/>
          <w:szCs w:val="24"/>
        </w:rPr>
        <w:t xml:space="preserve">4.2 Structuring decisions</w:t>
      </w:r>
    </w:p>
    <w:p>
      <w:pPr>
        <w:spacing w:after="160" w:line="320"/>
        <w:jc w:val="both"/>
      </w:pPr>
      <w:r>
        <w:rPr>
          <w:rFonts w:ascii="Calibri" w:cs="Calibri" w:eastAsia="Calibri" w:hAnsi="Calibri"/>
          <w:color w:val="1F2937"/>
          <w:sz w:val="22"/>
          <w:szCs w:val="22"/>
        </w:rPr>
        <w:t xml:space="preserve">Four decisions define the architecture, each answering an identified risk.</w:t>
      </w:r>
    </w:p>
    <w:p>
      <w:pPr>
        <w:pStyle w:val="ListParagraph"/>
        <w:numPr>
          <w:ilvl w:val="0"/>
          <w:numId w:val="2"/>
        </w:numPr>
        <w:spacing w:after="100" w:line="300"/>
        <w:jc w:val="both"/>
      </w:pPr>
      <w:r>
        <w:rPr>
          <w:color w:val="1F2937"/>
          <w:sz w:val="22"/>
          <w:szCs w:val="22"/>
        </w:rPr>
        <w:t xml:space="preserve">The shared service layer. REST controllers and Socket.IO event handlers call the same service functions (createMessage, assertCanAccess…). Authorization rules and business logic are written once and enforced identically on both channels — eliminating the classic vulnerability of real-time applications where the socket path bypasses the HTTP path's checks.</w:t>
      </w:r>
    </w:p>
    <w:p>
      <w:pPr>
        <w:pStyle w:val="ListParagraph"/>
        <w:numPr>
          <w:ilvl w:val="0"/>
          <w:numId w:val="2"/>
        </w:numPr>
        <w:spacing w:after="100" w:line="300"/>
        <w:jc w:val="both"/>
      </w:pPr>
      <w:r>
        <w:rPr>
          <w:color w:val="1F2937"/>
          <w:sz w:val="22"/>
          <w:szCs w:val="22"/>
        </w:rPr>
        <w:t xml:space="preserve">REST/socket split by nature of the need. State (history, lists, profiles) travels over paginated REST, where caching and error recovery are natural; events (new messages) are pushed through the socket. A sent message is persisted by the service then broadcast to the channel, with the sender additionally receiving a private acknowledgment carrying the stored document.</w:t>
      </w:r>
    </w:p>
    <w:p>
      <w:pPr>
        <w:pStyle w:val="ListParagraph"/>
        <w:numPr>
          <w:ilvl w:val="0"/>
          <w:numId w:val="2"/>
        </w:numPr>
        <w:spacing w:after="100" w:line="300"/>
        <w:jc w:val="both"/>
      </w:pPr>
      <w:r>
        <w:rPr>
          <w:color w:val="1F2937"/>
          <w:sz w:val="22"/>
          <w:szCs w:val="22"/>
        </w:rPr>
        <w:t xml:space="preserve">The client is never a source of truth. The browser's local storage keeps only the session token; identity is requested again from the server at every startup via /auth/me. A corrupted, expired or revoked token converges to the same clean handling: cleanup and return to login. Two anomalies from the initial acceptance campaign (corrupted session) were closed by construction through this choice.</w:t>
      </w:r>
    </w:p>
    <w:p>
      <w:pPr>
        <w:pStyle w:val="ListParagraph"/>
        <w:numPr>
          <w:ilvl w:val="0"/>
          <w:numId w:val="2"/>
        </w:numPr>
        <w:spacing w:after="100" w:line="300"/>
        <w:jc w:val="both"/>
      </w:pPr>
      <w:r>
        <w:rPr>
          <w:color w:val="1F2937"/>
          <w:sz w:val="22"/>
          <w:szCs w:val="22"/>
        </w:rPr>
        <w:t xml:space="preserve">The URL as navigation state. The /chat/:channelId route governs the display, so the back button, page refresh and deep links work natively, including in the mobile layout where a single view is shown at a time.</w:t>
      </w:r>
    </w:p>
    <w:p>
      <w:pPr>
        <w:spacing w:after="160" w:line="320"/>
        <w:jc w:val="both"/>
      </w:pPr>
      <w:r>
        <w:rPr>
          <w:rFonts w:ascii="Calibri" w:cs="Calibri" w:eastAsia="Calibri" w:hAnsi="Calibri"/>
          <w:color w:val="1F2937"/>
          <w:sz w:val="22"/>
          <w:szCs w:val="22"/>
        </w:rPr>
        <w:t xml:space="preserve">On the client side, global state is split between two React contexts separated by change frequency: the authentication context, nearly static, and the conversation context, constantly evolving. This separation prevents every received message from triggering a re-render of the entire application — the very problem Redux is often adopted to solve, addressed here without an additional dependency. The Socket.IO connection is a single instance for the whole application, created without automatic connection and driven by a hook bound to the session lifecycle: connect at login, disconnect at logout, token re-read at every attempt.</w:t>
      </w:r>
    </w:p>
    <w:p>
      <w:pPr>
        <w:pStyle w:val="Heading1"/>
        <w:spacing w:after="200" w:before="380"/>
      </w:pPr>
      <w:r>
        <w:rPr>
          <w:rFonts w:ascii="Calibri" w:cs="Calibri" w:eastAsia="Calibri" w:hAnsi="Calibri"/>
          <w:b/>
          <w:bCs/>
          <w:color w:val="312E81"/>
          <w:sz w:val="30"/>
          <w:szCs w:val="30"/>
        </w:rPr>
        <w:t xml:space="preserve">5. Technology Choices</w:t>
      </w:r>
    </w:p>
    <w:p>
      <w:pPr>
        <w:spacing w:after="160" w:line="320"/>
        <w:jc w:val="both"/>
      </w:pPr>
      <w:r>
        <w:rPr>
          <w:rFonts w:ascii="Calibri" w:cs="Calibri" w:eastAsia="Calibri" w:hAnsi="Calibri"/>
          <w:color w:val="1F2937"/>
          <w:sz w:val="22"/>
          <w:szCs w:val="22"/>
        </w:rPr>
        <w:t xml:space="preserve">Each technology was selected on justification, with the discarded alternatives documented.</w:t>
      </w:r>
    </w:p>
    <w:tbl>
      <w:tblPr>
        <w:tblW w:type="dxa" w:w="9350"/>
        <w:tblBorders>
          <w:top w:val="single" w:color="C7C9D9" w:sz="4"/>
          <w:left w:val="single" w:color="C7C9D9" w:sz="4"/>
          <w:bottom w:val="single" w:color="C7C9D9" w:sz="4"/>
          <w:right w:val="single" w:color="C7C9D9" w:sz="4"/>
          <w:insideH w:val="single" w:color="C7C9D9" w:sz="4"/>
          <w:insideV w:val="single" w:color="C7C9D9" w:sz="4"/>
        </w:tblBorders>
      </w:tblPr>
      <w:tblGrid>
        <w:gridCol w:w="1750"/>
        <w:gridCol w:w="2300"/>
        <w:gridCol w:w="5300"/>
      </w:tblGrid>
      <w:tr>
        <w:trPr>
          <w:tblHeader/>
        </w:trPr>
        <w:tc>
          <w:tcPr>
            <w:tcW w:type="dxa" w:w="1750"/>
            <w:shd w:fill="312E81" w:color="auto" w:val="clear"/>
            <w:tcMar>
              <w:top w:type="dxa" w:w="80"/>
              <w:left w:type="dxa" w:w="100"/>
              <w:bottom w:type="dxa" w:w="80"/>
              <w:right w:type="dxa" w:w="100"/>
            </w:tcMar>
          </w:tcPr>
          <w:p>
            <w:r>
              <w:rPr>
                <w:b/>
                <w:bCs/>
                <w:color w:val="FFFFFF"/>
                <w:sz w:val="20"/>
                <w:szCs w:val="20"/>
              </w:rPr>
              <w:t xml:space="preserve">Layer</w:t>
            </w:r>
          </w:p>
        </w:tc>
        <w:tc>
          <w:tcPr>
            <w:tcW w:type="dxa" w:w="2300"/>
            <w:shd w:fill="312E81" w:color="auto" w:val="clear"/>
            <w:tcMar>
              <w:top w:type="dxa" w:w="80"/>
              <w:left w:type="dxa" w:w="100"/>
              <w:bottom w:type="dxa" w:w="80"/>
              <w:right w:type="dxa" w:w="100"/>
            </w:tcMar>
          </w:tcPr>
          <w:p>
            <w:r>
              <w:rPr>
                <w:b/>
                <w:bCs/>
                <w:color w:val="FFFFFF"/>
                <w:sz w:val="20"/>
                <w:szCs w:val="20"/>
              </w:rPr>
              <w:t xml:space="preserve">Choice</w:t>
            </w:r>
          </w:p>
        </w:tc>
        <w:tc>
          <w:tcPr>
            <w:tcW w:type="dxa" w:w="5300"/>
            <w:shd w:fill="312E81" w:color="auto" w:val="clear"/>
            <w:tcMar>
              <w:top w:type="dxa" w:w="80"/>
              <w:left w:type="dxa" w:w="100"/>
              <w:bottom w:type="dxa" w:w="80"/>
              <w:right w:type="dxa" w:w="100"/>
            </w:tcMar>
          </w:tcPr>
          <w:p>
            <w:r>
              <w:rPr>
                <w:b/>
                <w:bCs/>
                <w:color w:val="FFFFFF"/>
                <w:sz w:val="20"/>
                <w:szCs w:val="20"/>
              </w:rPr>
              <w:t xml:space="preserve">Justification and discarded alternative</w:t>
            </w:r>
          </w:p>
        </w:tc>
      </w:tr>
      <w:tr>
        <w:tc>
          <w:tcPr>
            <w:tcW w:type="dxa" w:w="1750"/>
            <w:tcMar>
              <w:top w:type="dxa" w:w="60"/>
              <w:left w:type="dxa" w:w="100"/>
              <w:bottom w:type="dxa" w:w="60"/>
              <w:right w:type="dxa" w:w="100"/>
            </w:tcMar>
          </w:tcPr>
          <w:p>
            <w:r>
              <w:rPr>
                <w:color w:val="1F2937"/>
                <w:sz w:val="20"/>
                <w:szCs w:val="20"/>
              </w:rPr>
              <w:t xml:space="preserve">Frontend</w:t>
            </w:r>
          </w:p>
        </w:tc>
        <w:tc>
          <w:tcPr>
            <w:tcW w:type="dxa" w:w="2300"/>
            <w:tcMar>
              <w:top w:type="dxa" w:w="60"/>
              <w:left w:type="dxa" w:w="100"/>
              <w:bottom w:type="dxa" w:w="60"/>
              <w:right w:type="dxa" w:w="100"/>
            </w:tcMar>
          </w:tcPr>
          <w:p>
            <w:r>
              <w:rPr>
                <w:color w:val="1F2937"/>
                <w:sz w:val="20"/>
                <w:szCs w:val="20"/>
              </w:rPr>
              <w:t xml:space="preserve">React 18 + Vite</w:t>
            </w:r>
          </w:p>
        </w:tc>
        <w:tc>
          <w:tcPr>
            <w:tcW w:type="dxa" w:w="5300"/>
            <w:tcMar>
              <w:top w:type="dxa" w:w="60"/>
              <w:left w:type="dxa" w:w="100"/>
              <w:bottom w:type="dxa" w:w="60"/>
              <w:right w:type="dxa" w:w="100"/>
            </w:tcMar>
          </w:tcPr>
          <w:p>
            <w:r>
              <w:rPr>
                <w:color w:val="1F2937"/>
                <w:sz w:val="20"/>
                <w:szCs w:val="20"/>
              </w:rPr>
              <w:t xml:space="preserve">Component model suited to message lists; static build served for free on a CDN. Vue set aside for consistency with the curriculum.</w:t>
            </w:r>
          </w:p>
        </w:tc>
      </w:tr>
      <w:tr>
        <w:tc>
          <w:tcPr>
            <w:tcW w:type="dxa" w:w="1750"/>
            <w:shd w:fill="F3F4F6" w:color="auto" w:val="clear"/>
            <w:tcMar>
              <w:top w:type="dxa" w:w="60"/>
              <w:left w:type="dxa" w:w="100"/>
              <w:bottom w:type="dxa" w:w="60"/>
              <w:right w:type="dxa" w:w="100"/>
            </w:tcMar>
          </w:tcPr>
          <w:p>
            <w:r>
              <w:rPr>
                <w:color w:val="1F2937"/>
                <w:sz w:val="20"/>
                <w:szCs w:val="20"/>
              </w:rPr>
              <w:t xml:space="preserve">Styling</w:t>
            </w:r>
          </w:p>
        </w:tc>
        <w:tc>
          <w:tcPr>
            <w:tcW w:type="dxa" w:w="2300"/>
            <w:shd w:fill="F3F4F6" w:color="auto" w:val="clear"/>
            <w:tcMar>
              <w:top w:type="dxa" w:w="60"/>
              <w:left w:type="dxa" w:w="100"/>
              <w:bottom w:type="dxa" w:w="60"/>
              <w:right w:type="dxa" w:w="100"/>
            </w:tcMar>
          </w:tcPr>
          <w:p>
            <w:r>
              <w:rPr>
                <w:color w:val="1F2937"/>
                <w:sz w:val="20"/>
                <w:szCs w:val="20"/>
              </w:rPr>
              <w:t xml:space="preserve">Tailwind CSS v4</w:t>
            </w:r>
          </w:p>
        </w:tc>
        <w:tc>
          <w:tcPr>
            <w:tcW w:type="dxa" w:w="5300"/>
            <w:shd w:fill="F3F4F6" w:color="auto" w:val="clear"/>
            <w:tcMar>
              <w:top w:type="dxa" w:w="60"/>
              <w:left w:type="dxa" w:w="100"/>
              <w:bottom w:type="dxa" w:w="60"/>
              <w:right w:type="dxa" w:w="100"/>
            </w:tcMar>
          </w:tcPr>
          <w:p>
            <w:r>
              <w:rPr>
                <w:color w:val="1F2937"/>
                <w:sz w:val="20"/>
                <w:szCs w:val="20"/>
              </w:rPr>
              <w:t xml:space="preserve">The design system (colors, fonts) is encoded in the theme: stepping outside the palette is impossible by construction.</w:t>
            </w:r>
          </w:p>
        </w:tc>
      </w:tr>
      <w:tr>
        <w:tc>
          <w:tcPr>
            <w:tcW w:type="dxa" w:w="1750"/>
            <w:tcMar>
              <w:top w:type="dxa" w:w="60"/>
              <w:left w:type="dxa" w:w="100"/>
              <w:bottom w:type="dxa" w:w="60"/>
              <w:right w:type="dxa" w:w="100"/>
            </w:tcMar>
          </w:tcPr>
          <w:p>
            <w:r>
              <w:rPr>
                <w:color w:val="1F2937"/>
                <w:sz w:val="20"/>
                <w:szCs w:val="20"/>
              </w:rPr>
              <w:t xml:space="preserve">Client state</w:t>
            </w:r>
          </w:p>
        </w:tc>
        <w:tc>
          <w:tcPr>
            <w:tcW w:type="dxa" w:w="2300"/>
            <w:tcMar>
              <w:top w:type="dxa" w:w="60"/>
              <w:left w:type="dxa" w:w="100"/>
              <w:bottom w:type="dxa" w:w="60"/>
              <w:right w:type="dxa" w:w="100"/>
            </w:tcMar>
          </w:tcPr>
          <w:p>
            <w:r>
              <w:rPr>
                <w:color w:val="1F2937"/>
                <w:sz w:val="20"/>
                <w:szCs w:val="20"/>
              </w:rPr>
              <w:t xml:space="preserve">Context API (2 contexts)</w:t>
            </w:r>
          </w:p>
        </w:tc>
        <w:tc>
          <w:tcPr>
            <w:tcW w:type="dxa" w:w="5300"/>
            <w:tcMar>
              <w:top w:type="dxa" w:w="60"/>
              <w:left w:type="dxa" w:w="100"/>
              <w:bottom w:type="dxa" w:w="60"/>
              <w:right w:type="dxa" w:w="100"/>
            </w:tcMar>
          </w:tcPr>
          <w:p>
            <w:r>
              <w:rPr>
                <w:color w:val="1F2937"/>
                <w:sz w:val="20"/>
                <w:szCs w:val="20"/>
              </w:rPr>
              <w:t xml:space="preserve">Redux judged over-engineered; splitting by change frequency solves the re-render problem Redux would have solved.</w:t>
            </w:r>
          </w:p>
        </w:tc>
      </w:tr>
      <w:tr>
        <w:tc>
          <w:tcPr>
            <w:tcW w:type="dxa" w:w="1750"/>
            <w:shd w:fill="F3F4F6" w:color="auto" w:val="clear"/>
            <w:tcMar>
              <w:top w:type="dxa" w:w="60"/>
              <w:left w:type="dxa" w:w="100"/>
              <w:bottom w:type="dxa" w:w="60"/>
              <w:right w:type="dxa" w:w="100"/>
            </w:tcMar>
          </w:tcPr>
          <w:p>
            <w:r>
              <w:rPr>
                <w:color w:val="1F2937"/>
                <w:sz w:val="20"/>
                <w:szCs w:val="20"/>
              </w:rPr>
              <w:t xml:space="preserve">Server</w:t>
            </w:r>
          </w:p>
        </w:tc>
        <w:tc>
          <w:tcPr>
            <w:tcW w:type="dxa" w:w="2300"/>
            <w:shd w:fill="F3F4F6" w:color="auto" w:val="clear"/>
            <w:tcMar>
              <w:top w:type="dxa" w:w="60"/>
              <w:left w:type="dxa" w:w="100"/>
              <w:bottom w:type="dxa" w:w="60"/>
              <w:right w:type="dxa" w:w="100"/>
            </w:tcMar>
          </w:tcPr>
          <w:p>
            <w:r>
              <w:rPr>
                <w:color w:val="1F2937"/>
                <w:sz w:val="20"/>
                <w:szCs w:val="20"/>
              </w:rPr>
              <w:t xml:space="preserve">Node.js 20 + Express</w:t>
            </w:r>
          </w:p>
        </w:tc>
        <w:tc>
          <w:tcPr>
            <w:tcW w:type="dxa" w:w="5300"/>
            <w:shd w:fill="F3F4F6" w:color="auto" w:val="clear"/>
            <w:tcMar>
              <w:top w:type="dxa" w:w="60"/>
              <w:left w:type="dxa" w:w="100"/>
              <w:bottom w:type="dxa" w:w="60"/>
              <w:right w:type="dxa" w:w="100"/>
            </w:tcMar>
          </w:tcPr>
          <w:p>
            <w:r>
              <w:rPr>
                <w:color w:val="1F2937"/>
                <w:sz w:val="20"/>
                <w:szCs w:val="20"/>
              </w:rPr>
              <w:t xml:space="preserve">One language across the stack; the middleware chain mirrors the security pipeline.</w:t>
            </w:r>
          </w:p>
        </w:tc>
      </w:tr>
      <w:tr>
        <w:tc>
          <w:tcPr>
            <w:tcW w:type="dxa" w:w="1750"/>
            <w:tcMar>
              <w:top w:type="dxa" w:w="60"/>
              <w:left w:type="dxa" w:w="100"/>
              <w:bottom w:type="dxa" w:w="60"/>
              <w:right w:type="dxa" w:w="100"/>
            </w:tcMar>
          </w:tcPr>
          <w:p>
            <w:r>
              <w:rPr>
                <w:color w:val="1F2937"/>
                <w:sz w:val="20"/>
                <w:szCs w:val="20"/>
              </w:rPr>
              <w:t xml:space="preserve">Real-time</w:t>
            </w:r>
          </w:p>
        </w:tc>
        <w:tc>
          <w:tcPr>
            <w:tcW w:type="dxa" w:w="2300"/>
            <w:tcMar>
              <w:top w:type="dxa" w:w="60"/>
              <w:left w:type="dxa" w:w="100"/>
              <w:bottom w:type="dxa" w:w="60"/>
              <w:right w:type="dxa" w:w="100"/>
            </w:tcMar>
          </w:tcPr>
          <w:p>
            <w:r>
              <w:rPr>
                <w:color w:val="1F2937"/>
                <w:sz w:val="20"/>
                <w:szCs w:val="20"/>
              </w:rPr>
              <w:t xml:space="preserve">Socket.IO</w:t>
            </w:r>
          </w:p>
        </w:tc>
        <w:tc>
          <w:tcPr>
            <w:tcW w:type="dxa" w:w="5300"/>
            <w:tcMar>
              <w:top w:type="dxa" w:w="60"/>
              <w:left w:type="dxa" w:w="100"/>
              <w:bottom w:type="dxa" w:w="60"/>
              <w:right w:type="dxa" w:w="100"/>
            </w:tcMar>
          </w:tcPr>
          <w:p>
            <w:r>
              <w:rPr>
                <w:color w:val="1F2937"/>
                <w:sz w:val="20"/>
                <w:szCs w:val="20"/>
              </w:rPr>
              <w:t xml:space="preserve">Adopted after experimenting with raw WebSocket: rooms, acknowledgments, reconnection and long-polling fallback would have meant weeks of infrastructure.</w:t>
            </w:r>
          </w:p>
        </w:tc>
      </w:tr>
      <w:tr>
        <w:tc>
          <w:tcPr>
            <w:tcW w:type="dxa" w:w="1750"/>
            <w:shd w:fill="F3F4F6" w:color="auto" w:val="clear"/>
            <w:tcMar>
              <w:top w:type="dxa" w:w="60"/>
              <w:left w:type="dxa" w:w="100"/>
              <w:bottom w:type="dxa" w:w="60"/>
              <w:right w:type="dxa" w:w="100"/>
            </w:tcMar>
          </w:tcPr>
          <w:p>
            <w:r>
              <w:rPr>
                <w:color w:val="1F2937"/>
                <w:sz w:val="20"/>
                <w:szCs w:val="20"/>
              </w:rPr>
              <w:t xml:space="preserve">Database</w:t>
            </w:r>
          </w:p>
        </w:tc>
        <w:tc>
          <w:tcPr>
            <w:tcW w:type="dxa" w:w="2300"/>
            <w:shd w:fill="F3F4F6" w:color="auto" w:val="clear"/>
            <w:tcMar>
              <w:top w:type="dxa" w:w="60"/>
              <w:left w:type="dxa" w:w="100"/>
              <w:bottom w:type="dxa" w:w="60"/>
              <w:right w:type="dxa" w:w="100"/>
            </w:tcMar>
          </w:tcPr>
          <w:p>
            <w:r>
              <w:rPr>
                <w:color w:val="1F2937"/>
                <w:sz w:val="20"/>
                <w:szCs w:val="20"/>
              </w:rPr>
              <w:t xml:space="preserve">MongoDB Atlas + Mongoose</w:t>
            </w:r>
          </w:p>
        </w:tc>
        <w:tc>
          <w:tcPr>
            <w:tcW w:type="dxa" w:w="5300"/>
            <w:shd w:fill="F3F4F6" w:color="auto" w:val="clear"/>
            <w:tcMar>
              <w:top w:type="dxa" w:w="60"/>
              <w:left w:type="dxa" w:w="100"/>
              <w:bottom w:type="dxa" w:w="60"/>
              <w:right w:type="dxa" w:w="100"/>
            </w:tcMar>
          </w:tcPr>
          <w:p>
            <w:r>
              <w:rPr>
                <w:color w:val="1F2937"/>
                <w:sz w:val="20"/>
                <w:szCs w:val="20"/>
              </w:rPr>
              <w:t xml:space="preserve">Document profile of messaging data; compound indexes for pagination; free managed cluster. SQL set aside for lack of strong transactional needs.</w:t>
            </w:r>
          </w:p>
        </w:tc>
      </w:tr>
      <w:tr>
        <w:tc>
          <w:tcPr>
            <w:tcW w:type="dxa" w:w="1750"/>
            <w:tcMar>
              <w:top w:type="dxa" w:w="60"/>
              <w:left w:type="dxa" w:w="100"/>
              <w:bottom w:type="dxa" w:w="60"/>
              <w:right w:type="dxa" w:w="100"/>
            </w:tcMar>
          </w:tcPr>
          <w:p>
            <w:r>
              <w:rPr>
                <w:color w:val="1F2937"/>
                <w:sz w:val="20"/>
                <w:szCs w:val="20"/>
              </w:rPr>
              <w:t xml:space="preserve">Authentication</w:t>
            </w:r>
          </w:p>
        </w:tc>
        <w:tc>
          <w:tcPr>
            <w:tcW w:type="dxa" w:w="2300"/>
            <w:tcMar>
              <w:top w:type="dxa" w:w="60"/>
              <w:left w:type="dxa" w:w="100"/>
              <w:bottom w:type="dxa" w:w="60"/>
              <w:right w:type="dxa" w:w="100"/>
            </w:tcMar>
          </w:tcPr>
          <w:p>
            <w:r>
              <w:rPr>
                <w:color w:val="1F2937"/>
                <w:sz w:val="20"/>
                <w:szCs w:val="20"/>
              </w:rPr>
              <w:t xml:space="preserve">JWT + bcrypt (12 rounds)</w:t>
            </w:r>
          </w:p>
        </w:tc>
        <w:tc>
          <w:tcPr>
            <w:tcW w:type="dxa" w:w="5300"/>
            <w:tcMar>
              <w:top w:type="dxa" w:w="60"/>
              <w:left w:type="dxa" w:w="100"/>
              <w:bottom w:type="dxa" w:w="60"/>
              <w:right w:type="dxa" w:w="100"/>
            </w:tcMar>
          </w:tcPr>
          <w:p>
            <w:r>
              <w:rPr>
                <w:color w:val="1F2937"/>
                <w:sz w:val="20"/>
                <w:szCs w:val="20"/>
              </w:rPr>
              <w:t xml:space="preserve">Stateless sessions, no session store to scale; proven adaptive hashing.</w:t>
            </w:r>
          </w:p>
        </w:tc>
      </w:tr>
      <w:tr>
        <w:tc>
          <w:tcPr>
            <w:tcW w:type="dxa" w:w="1750"/>
            <w:shd w:fill="F3F4F6" w:color="auto" w:val="clear"/>
            <w:tcMar>
              <w:top w:type="dxa" w:w="60"/>
              <w:left w:type="dxa" w:w="100"/>
              <w:bottom w:type="dxa" w:w="60"/>
              <w:right w:type="dxa" w:w="100"/>
            </w:tcMar>
          </w:tcPr>
          <w:p>
            <w:r>
              <w:rPr>
                <w:color w:val="1F2937"/>
                <w:sz w:val="20"/>
                <w:szCs w:val="20"/>
              </w:rPr>
              <w:t xml:space="preserve">Validation</w:t>
            </w:r>
          </w:p>
        </w:tc>
        <w:tc>
          <w:tcPr>
            <w:tcW w:type="dxa" w:w="2300"/>
            <w:shd w:fill="F3F4F6" w:color="auto" w:val="clear"/>
            <w:tcMar>
              <w:top w:type="dxa" w:w="60"/>
              <w:left w:type="dxa" w:w="100"/>
              <w:bottom w:type="dxa" w:w="60"/>
              <w:right w:type="dxa" w:w="100"/>
            </w:tcMar>
          </w:tcPr>
          <w:p>
            <w:r>
              <w:rPr>
                <w:color w:val="1F2937"/>
                <w:sz w:val="20"/>
                <w:szCs w:val="20"/>
              </w:rPr>
              <w:t xml:space="preserve">express-validator</w:t>
            </w:r>
          </w:p>
        </w:tc>
        <w:tc>
          <w:tcPr>
            <w:tcW w:type="dxa" w:w="5300"/>
            <w:shd w:fill="F3F4F6" w:color="auto" w:val="clear"/>
            <w:tcMar>
              <w:top w:type="dxa" w:w="60"/>
              <w:left w:type="dxa" w:w="100"/>
              <w:bottom w:type="dxa" w:w="60"/>
              <w:right w:type="dxa" w:w="100"/>
            </w:tcMar>
          </w:tcPr>
          <w:p>
            <w:r>
              <w:rPr>
                <w:color w:val="1F2937"/>
                <w:sz w:val="20"/>
                <w:szCs w:val="20"/>
              </w:rPr>
              <w:t xml:space="preserve">Three defensive layers: HTML constraints, server-side sanitization, Mongoose schema rules.</w:t>
            </w:r>
          </w:p>
        </w:tc>
      </w:tr>
      <w:tr>
        <w:tc>
          <w:tcPr>
            <w:tcW w:type="dxa" w:w="1750"/>
            <w:tcMar>
              <w:top w:type="dxa" w:w="60"/>
              <w:left w:type="dxa" w:w="100"/>
              <w:bottom w:type="dxa" w:w="60"/>
              <w:right w:type="dxa" w:w="100"/>
            </w:tcMar>
          </w:tcPr>
          <w:p>
            <w:r>
              <w:rPr>
                <w:color w:val="1F2937"/>
                <w:sz w:val="20"/>
                <w:szCs w:val="20"/>
              </w:rPr>
              <w:t xml:space="preserve">Testing</w:t>
            </w:r>
          </w:p>
        </w:tc>
        <w:tc>
          <w:tcPr>
            <w:tcW w:type="dxa" w:w="2300"/>
            <w:tcMar>
              <w:top w:type="dxa" w:w="60"/>
              <w:left w:type="dxa" w:w="100"/>
              <w:bottom w:type="dxa" w:w="60"/>
              <w:right w:type="dxa" w:w="100"/>
            </w:tcMar>
          </w:tcPr>
          <w:p>
            <w:r>
              <w:rPr>
                <w:color w:val="1F2937"/>
                <w:sz w:val="20"/>
                <w:szCs w:val="20"/>
              </w:rPr>
              <w:t xml:space="preserve">Jest, Supertest, mongodb-memory-server</w:t>
            </w:r>
          </w:p>
        </w:tc>
        <w:tc>
          <w:tcPr>
            <w:tcW w:type="dxa" w:w="5300"/>
            <w:tcMar>
              <w:top w:type="dxa" w:w="60"/>
              <w:left w:type="dxa" w:w="100"/>
              <w:bottom w:type="dxa" w:w="60"/>
              <w:right w:type="dxa" w:w="100"/>
            </w:tcMar>
          </w:tcPr>
          <w:p>
            <w:r>
              <w:rPr>
                <w:color w:val="1F2937"/>
                <w:sz w:val="20"/>
                <w:szCs w:val="20"/>
              </w:rPr>
              <w:t xml:space="preserve">Integration tests over a real in-memory MongoDB: authentic behavior (indexes, hooks) and total isolation.</w:t>
            </w:r>
          </w:p>
        </w:tc>
      </w:tr>
      <w:tr>
        <w:tc>
          <w:tcPr>
            <w:tcW w:type="dxa" w:w="1750"/>
            <w:shd w:fill="F3F4F6" w:color="auto" w:val="clear"/>
            <w:tcMar>
              <w:top w:type="dxa" w:w="60"/>
              <w:left w:type="dxa" w:w="100"/>
              <w:bottom w:type="dxa" w:w="60"/>
              <w:right w:type="dxa" w:w="100"/>
            </w:tcMar>
          </w:tcPr>
          <w:p>
            <w:r>
              <w:rPr>
                <w:color w:val="1F2937"/>
                <w:sz w:val="20"/>
                <w:szCs w:val="20"/>
              </w:rPr>
              <w:t xml:space="preserve">Documentation</w:t>
            </w:r>
          </w:p>
        </w:tc>
        <w:tc>
          <w:tcPr>
            <w:tcW w:type="dxa" w:w="2300"/>
            <w:shd w:fill="F3F4F6" w:color="auto" w:val="clear"/>
            <w:tcMar>
              <w:top w:type="dxa" w:w="60"/>
              <w:left w:type="dxa" w:w="100"/>
              <w:bottom w:type="dxa" w:w="60"/>
              <w:right w:type="dxa" w:w="100"/>
            </w:tcMar>
          </w:tcPr>
          <w:p>
            <w:r>
              <w:rPr>
                <w:color w:val="1F2937"/>
                <w:sz w:val="20"/>
                <w:szCs w:val="20"/>
              </w:rPr>
              <w:t xml:space="preserve">OpenAPI 3 + Swagger UI</w:t>
            </w:r>
          </w:p>
        </w:tc>
        <w:tc>
          <w:tcPr>
            <w:tcW w:type="dxa" w:w="5300"/>
            <w:shd w:fill="F3F4F6" w:color="auto" w:val="clear"/>
            <w:tcMar>
              <w:top w:type="dxa" w:w="60"/>
              <w:left w:type="dxa" w:w="100"/>
              <w:bottom w:type="dxa" w:w="60"/>
              <w:right w:type="dxa" w:w="100"/>
            </w:tcMar>
          </w:tcPr>
          <w:p>
            <w:r>
              <w:rPr>
                <w:color w:val="1F2937"/>
                <w:sz w:val="20"/>
                <w:szCs w:val="20"/>
              </w:rPr>
              <w:t xml:space="preserve">Specification generated from route annotations, interactive interface testable in production.</w:t>
            </w:r>
          </w:p>
        </w:tc>
      </w:tr>
      <w:tr>
        <w:tc>
          <w:tcPr>
            <w:tcW w:type="dxa" w:w="1750"/>
            <w:tcMar>
              <w:top w:type="dxa" w:w="60"/>
              <w:left w:type="dxa" w:w="100"/>
              <w:bottom w:type="dxa" w:w="60"/>
              <w:right w:type="dxa" w:w="100"/>
            </w:tcMar>
          </w:tcPr>
          <w:p>
            <w:r>
              <w:rPr>
                <w:color w:val="1F2937"/>
                <w:sz w:val="20"/>
                <w:szCs w:val="20"/>
              </w:rPr>
              <w:t xml:space="preserve">Containers</w:t>
            </w:r>
          </w:p>
        </w:tc>
        <w:tc>
          <w:tcPr>
            <w:tcW w:type="dxa" w:w="2300"/>
            <w:tcMar>
              <w:top w:type="dxa" w:w="60"/>
              <w:left w:type="dxa" w:w="100"/>
              <w:bottom w:type="dxa" w:w="60"/>
              <w:right w:type="dxa" w:w="100"/>
            </w:tcMar>
          </w:tcPr>
          <w:p>
            <w:r>
              <w:rPr>
                <w:color w:val="1F2937"/>
                <w:sz w:val="20"/>
                <w:szCs w:val="20"/>
              </w:rPr>
              <w:t xml:space="preserve">Docker + Compose</w:t>
            </w:r>
          </w:p>
        </w:tc>
        <w:tc>
          <w:tcPr>
            <w:tcW w:type="dxa" w:w="5300"/>
            <w:tcMar>
              <w:top w:type="dxa" w:w="60"/>
              <w:left w:type="dxa" w:w="100"/>
              <w:bottom w:type="dxa" w:w="60"/>
              <w:right w:type="dxa" w:w="100"/>
            </w:tcMar>
          </w:tcPr>
          <w:p>
            <w:r>
              <w:rPr>
                <w:color w:val="1F2937"/>
                <w:sz w:val="20"/>
                <w:szCs w:val="20"/>
              </w:rPr>
              <w:t xml:space="preserve">Multi-stage Alpine image, non-root user, healthcheck; environment reproducible in one command.</w:t>
            </w:r>
          </w:p>
        </w:tc>
      </w:tr>
      <w:tr>
        <w:tc>
          <w:tcPr>
            <w:tcW w:type="dxa" w:w="1750"/>
            <w:shd w:fill="F3F4F6" w:color="auto" w:val="clear"/>
            <w:tcMar>
              <w:top w:type="dxa" w:w="60"/>
              <w:left w:type="dxa" w:w="100"/>
              <w:bottom w:type="dxa" w:w="60"/>
              <w:right w:type="dxa" w:w="100"/>
            </w:tcMar>
          </w:tcPr>
          <w:p>
            <w:r>
              <w:rPr>
                <w:color w:val="1F2937"/>
                <w:sz w:val="20"/>
                <w:szCs w:val="20"/>
              </w:rPr>
              <w:t xml:space="preserve">Hosting</w:t>
            </w:r>
          </w:p>
        </w:tc>
        <w:tc>
          <w:tcPr>
            <w:tcW w:type="dxa" w:w="2300"/>
            <w:shd w:fill="F3F4F6" w:color="auto" w:val="clear"/>
            <w:tcMar>
              <w:top w:type="dxa" w:w="60"/>
              <w:left w:type="dxa" w:w="100"/>
              <w:bottom w:type="dxa" w:w="60"/>
              <w:right w:type="dxa" w:w="100"/>
            </w:tcMar>
          </w:tcPr>
          <w:p>
            <w:r>
              <w:rPr>
                <w:color w:val="1F2937"/>
                <w:sz w:val="20"/>
                <w:szCs w:val="20"/>
              </w:rPr>
              <w:t xml:space="preserve">Vercel + Render + Atlas</w:t>
            </w:r>
          </w:p>
        </w:tc>
        <w:tc>
          <w:tcPr>
            <w:tcW w:type="dxa" w:w="5300"/>
            <w:shd w:fill="F3F4F6" w:color="auto" w:val="clear"/>
            <w:tcMar>
              <w:top w:type="dxa" w:w="60"/>
              <w:left w:type="dxa" w:w="100"/>
              <w:bottom w:type="dxa" w:w="60"/>
              <w:right w:type="dxa" w:w="100"/>
            </w:tcMar>
          </w:tcPr>
          <w:p>
            <w:r>
              <w:rPr>
                <w:color w:val="1F2937"/>
                <w:sz w:val="20"/>
                <w:szCs w:val="20"/>
              </w:rPr>
              <w:t xml:space="preserve">A realistic cloud topology at zero cost, with its limits (sleep on idle) documented in section 12.</w:t>
            </w:r>
          </w:p>
        </w:tc>
      </w:tr>
    </w:tbl>
    <w:p>
      <w:pPr>
        <w:spacing w:after="100"/>
      </w:pPr>
    </w:p>
    <w:p>
      <w:pPr>
        <w:spacing w:after="160" w:line="320"/>
        <w:jc w:val="both"/>
      </w:pPr>
      <w:r>
        <w:rPr>
          <w:rFonts w:ascii="Calibri" w:cs="Calibri" w:eastAsia="Calibri" w:hAnsi="Calibri"/>
          <w:color w:val="1F2937"/>
          <w:sz w:val="22"/>
          <w:szCs w:val="22"/>
        </w:rPr>
        <w:t xml:space="preserve">Two choices deserve an extra word. JavaScript was preferred over TypeScript for the whole project: static typing would have brought valuable safety, but its learning and tooling cost within the project's time budget was judged higher than its immediate benefit; the migration is identified as a priority evolution. As for validation, it is currently expressed in three places (schema, validator, documentation), which creates a desynchronization risk; a schema-first approach with a library such as zod would unify these layers and is part of the evolution plan.</w:t>
      </w:r>
    </w:p>
    <w:p>
      <w:pPr>
        <w:pStyle w:val="Heading1"/>
        <w:spacing w:after="200" w:before="380"/>
      </w:pPr>
      <w:r>
        <w:rPr>
          <w:rFonts w:ascii="Calibri" w:cs="Calibri" w:eastAsia="Calibri" w:hAnsi="Calibri"/>
          <w:b/>
          <w:bCs/>
          <w:color w:val="312E81"/>
          <w:sz w:val="30"/>
          <w:szCs w:val="30"/>
        </w:rPr>
        <w:t xml:space="preserve">6. Implementation: Salient Points</w:t>
      </w:r>
    </w:p>
    <w:p>
      <w:pPr>
        <w:pStyle w:val="Heading2"/>
        <w:spacing w:after="140" w:before="280"/>
      </w:pPr>
      <w:r>
        <w:rPr>
          <w:rFonts w:ascii="Calibri" w:cs="Calibri" w:eastAsia="Calibri" w:hAnsi="Calibri"/>
          <w:b/>
          <w:bCs/>
          <w:color w:val="B45309"/>
          <w:sz w:val="24"/>
          <w:szCs w:val="24"/>
        </w:rPr>
        <w:t xml:space="preserve">6.1 The journey of a message</w:t>
      </w:r>
    </w:p>
    <w:p>
      <w:pPr>
        <w:spacing w:after="160" w:line="320"/>
        <w:jc w:val="both"/>
      </w:pPr>
      <w:r>
        <w:rPr>
          <w:rFonts w:ascii="Calibri" w:cs="Calibri" w:eastAsia="Calibri" w:hAnsi="Calibri"/>
          <w:color w:val="1F2937"/>
          <w:sz w:val="22"/>
          <w:szCs w:val="22"/>
        </w:rPr>
        <w:t xml:space="preserve">Sending a message illustrates how the system's mechanisms fit together. When a user submits their input, the interface immediately inserts a draft carrying a temporary identifier and a "sending" status — this is optimistic rendering, which makes the application feel instantaneous. The message:send event leaves through the socket; on the server, the handler validates the shape of the content, delegates to the shared service which checks channel access authorization, applies the room/conversation exclusivity constraint, persists the document and returns it enriched with its sender. The server then broadcasts the message to all channel members, sender included, and addresses to the sender alone an acknowledgment carrying the definitive document.</w:t>
      </w:r>
    </w:p>
    <w:p>
      <w:pPr>
        <w:spacing w:after="160" w:line="320"/>
        <w:jc w:val="both"/>
      </w:pPr>
      <w:r>
        <w:rPr>
          <w:rFonts w:ascii="Calibri" w:cs="Calibri" w:eastAsia="Calibri" w:hAnsi="Calibri"/>
          <w:color w:val="1F2937"/>
          <w:sz w:val="22"/>
          <w:szCs w:val="22"/>
        </w:rPr>
        <w:t xml:space="preserve">This double delivery — public broadcast and private acknowledgment — produced one of the project's major lessons: a race condition. Since the server broadcasts before acknowledging, the definitive message reaches the sender before the confirmation; without precaution, the acknowledgment then replaced the draft with a second copy of the same document, producing a display duplicate. The fix covers both arrival orders: each source checks whether the other has already passed before acting. The lesson goes beyond the specific case: whenever two independent sources can produce the same data, each must guard against the other's precedence.</w:t>
      </w:r>
    </w:p>
    <w:p>
      <w:pPr>
        <w:pStyle w:val="Heading2"/>
        <w:spacing w:after="140" w:before="280"/>
      </w:pPr>
      <w:r>
        <w:rPr>
          <w:rFonts w:ascii="Calibri" w:cs="Calibri" w:eastAsia="Calibri" w:hAnsi="Calibri"/>
          <w:b/>
          <w:bCs/>
          <w:color w:val="B45309"/>
          <w:sz w:val="24"/>
          <w:szCs w:val="24"/>
        </w:rPr>
        <w:t xml:space="preserve">6.2 The room lifecycle</w:t>
      </w:r>
    </w:p>
    <w:p>
      <w:pPr>
        <w:spacing w:after="160" w:line="320"/>
        <w:jc w:val="both"/>
      </w:pPr>
      <w:r>
        <w:rPr>
          <w:rFonts w:ascii="Calibri" w:cs="Calibri" w:eastAsia="Calibri" w:hAnsi="Calibri"/>
          <w:color w:val="1F2937"/>
          <w:sz w:val="22"/>
          <w:szCs w:val="22"/>
        </w:rPr>
        <w:t xml:space="preserve">Room business rules concentrate the richest logic of the server. At creation, the author becomes owner and first member. Joining checks, in this order, the room's existence, the absence of a ban, and prior non-membership — each refusal carrying the semantically correct HTTP status (404, 403, 409). When a member leaves, three outcomes are possible: a simple departure; ownership transfer to the oldest remaining member if the departing user was the owner; deletion of the room if it becomes empty. Moderation distinguishes kicking, a reversible warning, from banning, which places the user on a list blocking any re-joining. Voluntary deletion by the owner cascades to the room's messages — in MongoDB, referential integrity is the responsibility of application code, not of the database.</w:t>
      </w:r>
    </w:p>
    <w:p>
      <w:pPr>
        <w:pStyle w:val="Heading2"/>
        <w:spacing w:after="140" w:before="280"/>
      </w:pPr>
      <w:r>
        <w:rPr>
          <w:rFonts w:ascii="Calibri" w:cs="Calibri" w:eastAsia="Calibri" w:hAnsi="Calibri"/>
          <w:b/>
          <w:bCs/>
          <w:color w:val="B45309"/>
          <w:sz w:val="24"/>
          <w:szCs w:val="24"/>
        </w:rPr>
        <w:t xml:space="preserve">6.3 Reconnection, a textbook real-time case</w:t>
      </w:r>
    </w:p>
    <w:p>
      <w:pPr>
        <w:spacing w:after="160" w:line="320"/>
        <w:jc w:val="both"/>
      </w:pPr>
      <w:r>
        <w:rPr>
          <w:rFonts w:ascii="Calibri" w:cs="Calibri" w:eastAsia="Calibri" w:hAnsi="Calibri"/>
          <w:color w:val="1F2937"/>
          <w:sz w:val="22"/>
          <w:szCs w:val="22"/>
        </w:rPr>
        <w:t xml:space="preserve">Socket.IO broadcast rooms are bound to the connection, not to the user: a network cut followed by automatic reconnection produces a fresh session, devoid of any membership. The first implementation, which only emitted the channel join when the screen opened, therefore silently stopped receiving messages after any reconnection — a defect all the more insidious as it produces no error. The fix re-emits the join on every connect event. This case, documented in the incident journal, illustrates the fundamental distinction between connection state and application session state: everything the server maintains for a given connection must be rebuilt after each reconnection.</w:t>
      </w:r>
    </w:p>
    <w:p>
      <w:pPr>
        <w:pStyle w:val="Heading2"/>
        <w:spacing w:after="140" w:before="280"/>
      </w:pPr>
      <w:r>
        <w:rPr>
          <w:rFonts w:ascii="Calibri" w:cs="Calibri" w:eastAsia="Calibri" w:hAnsi="Calibri"/>
          <w:b/>
          <w:bCs/>
          <w:color w:val="B45309"/>
          <w:sz w:val="24"/>
          <w:szCs w:val="24"/>
        </w:rPr>
        <w:t xml:space="preserve">6.4 The loading experience</w:t>
      </w:r>
    </w:p>
    <w:p>
      <w:pPr>
        <w:spacing w:after="160" w:line="320"/>
        <w:jc w:val="both"/>
      </w:pPr>
      <w:r>
        <w:rPr>
          <w:rFonts w:ascii="Calibri" w:cs="Calibri" w:eastAsia="Calibri" w:hAnsi="Calibri"/>
          <w:color w:val="1F2937"/>
          <w:sz w:val="22"/>
          <w:szCs w:val="22"/>
        </w:rPr>
        <w:t xml:space="preserve">Loading received specific treatment, based on three levels suited to the situation: a full-screen splash when the application does not yet know the user's identity; skeletons reproducing the layout of the expected content when the structure is known but the data is in flight; and a discreet reconnection pill for network incidents, appearing only after a 1.2-second delay so as not to flash on every normal load. This last detail applies an established usability principle: an indicator that appears and disappears instantly is more disturbing than no indicator at all.</w:t>
      </w:r>
    </w:p>
    <w:p>
      <w:pPr>
        <w:pStyle w:val="Heading1"/>
        <w:spacing w:after="200" w:before="380"/>
      </w:pPr>
      <w:r>
        <w:rPr>
          <w:rFonts w:ascii="Calibri" w:cs="Calibri" w:eastAsia="Calibri" w:hAnsi="Calibri"/>
          <w:b/>
          <w:bCs/>
          <w:color w:val="312E81"/>
          <w:sz w:val="30"/>
          <w:szCs w:val="30"/>
        </w:rPr>
        <w:t xml:space="preserve">7. Security</w:t>
      </w:r>
    </w:p>
    <w:p>
      <w:pPr>
        <w:spacing w:after="160" w:line="320"/>
        <w:jc w:val="both"/>
      </w:pPr>
      <w:r>
        <w:rPr>
          <w:rFonts w:ascii="Calibri" w:cs="Calibri" w:eastAsia="Calibri" w:hAnsi="Calibri"/>
          <w:color w:val="1F2937"/>
          <w:sz w:val="22"/>
          <w:szCs w:val="22"/>
        </w:rPr>
        <w:t xml:space="preserve">Security was treated as a cross-cutting concern, guided by the OWASP reference, and structured in depth: several independent layers defend each invariant.</w:t>
      </w:r>
    </w:p>
    <w:p>
      <w:pPr>
        <w:pStyle w:val="ListParagraph"/>
        <w:numPr>
          <w:ilvl w:val="0"/>
          <w:numId w:val="2"/>
        </w:numPr>
        <w:spacing w:after="100" w:line="300"/>
        <w:jc w:val="both"/>
      </w:pPr>
      <w:r>
        <w:rPr>
          <w:color w:val="1F2937"/>
          <w:sz w:val="22"/>
          <w:szCs w:val="22"/>
        </w:rPr>
        <w:t xml:space="preserve">Authentication on both channels: a JWT middleware for the REST API, a handshake middleware for Socket.IO — a socket connection without a valid token is refused before any event is processed.</w:t>
      </w:r>
    </w:p>
    <w:p>
      <w:pPr>
        <w:pStyle w:val="ListParagraph"/>
        <w:numPr>
          <w:ilvl w:val="0"/>
          <w:numId w:val="2"/>
        </w:numPr>
        <w:spacing w:after="100" w:line="300"/>
        <w:jc w:val="both"/>
      </w:pPr>
      <w:r>
        <w:rPr>
          <w:color w:val="1F2937"/>
          <w:sz w:val="22"/>
          <w:szCs w:val="22"/>
        </w:rPr>
        <w:t xml:space="preserve">Per-channel authorization, distinct from authentication: being logged in grants access to no room and no conversation of which one is not a member. The central guard assertCanAccess, called by both channels, closes the most widespread flaw of messaging projects.</w:t>
      </w:r>
    </w:p>
    <w:p>
      <w:pPr>
        <w:pStyle w:val="ListParagraph"/>
        <w:numPr>
          <w:ilvl w:val="0"/>
          <w:numId w:val="2"/>
        </w:numPr>
        <w:spacing w:after="100" w:line="300"/>
        <w:jc w:val="both"/>
      </w:pPr>
      <w:r>
        <w:rPr>
          <w:color w:val="1F2937"/>
          <w:sz w:val="22"/>
          <w:szCs w:val="22"/>
        </w:rPr>
        <w:t xml:space="preserve">Passwords hashed with bcrypt (12 rounds), excluded by default from every query and every serialization; identical login failure messages, never revealing whether an email address is registered.</w:t>
      </w:r>
    </w:p>
    <w:p>
      <w:pPr>
        <w:pStyle w:val="ListParagraph"/>
        <w:numPr>
          <w:ilvl w:val="0"/>
          <w:numId w:val="2"/>
        </w:numPr>
        <w:spacing w:after="100" w:line="300"/>
        <w:jc w:val="both"/>
      </w:pPr>
      <w:r>
        <w:rPr>
          <w:color w:val="1F2937"/>
          <w:sz w:val="22"/>
          <w:szCs w:val="22"/>
        </w:rPr>
        <w:t xml:space="preserve">Validation and sanitization of all inputs; the user-search input is escaped before feeding a regular expression, preventing denial-of-service attacks (ReDoS); email addresses are never exposed by the search.</w:t>
      </w:r>
    </w:p>
    <w:p>
      <w:pPr>
        <w:pStyle w:val="ListParagraph"/>
        <w:numPr>
          <w:ilvl w:val="0"/>
          <w:numId w:val="2"/>
        </w:numPr>
        <w:spacing w:after="100" w:line="300"/>
        <w:jc w:val="both"/>
      </w:pPr>
      <w:r>
        <w:rPr>
          <w:color w:val="1F2937"/>
          <w:sz w:val="22"/>
          <w:szCs w:val="22"/>
        </w:rPr>
        <w:t xml:space="preserve">Rate limiting: 300 requests per quarter hour globally, 10 on authentication routes against brute force; the Socket.IO path is exempted, its own protection being the authenticated handshake.</w:t>
      </w:r>
    </w:p>
    <w:p>
      <w:pPr>
        <w:pStyle w:val="ListParagraph"/>
        <w:numPr>
          <w:ilvl w:val="0"/>
          <w:numId w:val="2"/>
        </w:numPr>
        <w:spacing w:after="100" w:line="300"/>
        <w:jc w:val="both"/>
      </w:pPr>
      <w:r>
        <w:rPr>
          <w:color w:val="1F2937"/>
          <w:sz w:val="22"/>
          <w:szCs w:val="22"/>
        </w:rPr>
        <w:t xml:space="preserve">Security headers (helmet), a strict multi-origin CORS allow-list, JSON bodies capped at 1 MB, messages capped at 2,000 characters, pagination capped at 100 items.</w:t>
      </w:r>
    </w:p>
    <w:p>
      <w:pPr>
        <w:pStyle w:val="ListParagraph"/>
        <w:numPr>
          <w:ilvl w:val="0"/>
          <w:numId w:val="2"/>
        </w:numPr>
        <w:spacing w:after="100" w:line="300"/>
        <w:jc w:val="both"/>
      </w:pPr>
      <w:r>
        <w:rPr>
          <w:color w:val="1F2937"/>
          <w:sz w:val="22"/>
          <w:szCs w:val="22"/>
        </w:rPr>
        <w:t xml:space="preserve">Container running as an unprivileged user; test tooling and secrets excluded from the production image; production secret generated independently from the development secret.</w:t>
      </w:r>
    </w:p>
    <w:p>
      <w:pPr>
        <w:spacing w:after="160" w:line="320"/>
        <w:jc w:val="both"/>
      </w:pPr>
      <w:r>
        <w:rPr>
          <w:rFonts w:ascii="Calibri" w:cs="Calibri" w:eastAsia="Calibri" w:hAnsi="Calibri"/>
          <w:color w:val="1F2937"/>
          <w:sz w:val="22"/>
          <w:szCs w:val="22"/>
        </w:rPr>
        <w:t xml:space="preserve">One incident deserves to be reported candidly: the authentication middleware was missing for a time on the messages router — imported but never applied — leaving message reading and writing accessible without authentication. The flaw revealed itself through an application crash rather than an audit, led to a systematic check of all four routers, and is now locked by regression tests. The lesson learned stands as a principle: a declared but unused import is a warning signal, and protecting a router is an explicit decision to be verified route by route.</w:t>
      </w:r>
    </w:p>
    <w:p>
      <w:pPr>
        <w:pStyle w:val="Heading1"/>
        <w:spacing w:after="200" w:before="380"/>
      </w:pPr>
      <w:r>
        <w:rPr>
          <w:rFonts w:ascii="Calibri" w:cs="Calibri" w:eastAsia="Calibri" w:hAnsi="Calibri"/>
          <w:b/>
          <w:bCs/>
          <w:color w:val="312E81"/>
          <w:sz w:val="30"/>
          <w:szCs w:val="30"/>
        </w:rPr>
        <w:t xml:space="preserve">8. Testing and Continuous Integration</w:t>
      </w:r>
    </w:p>
    <w:p>
      <w:pPr>
        <w:spacing w:after="160" w:line="320"/>
        <w:jc w:val="both"/>
      </w:pPr>
      <w:r>
        <w:rPr>
          <w:rFonts w:ascii="Calibri" w:cs="Calibri" w:eastAsia="Calibri" w:hAnsi="Calibri"/>
          <w:color w:val="1F2937"/>
          <w:sz w:val="22"/>
          <w:szCs w:val="22"/>
        </w:rPr>
        <w:t xml:space="preserve">The testing strategy favors integration: in an API, the value lies in the assembly of layers, and verifying that a join request refused to a banned user indeed returns a 403 proves the entire chain works — middleware, validation, controller, service, database — where an isolated unit test would prove little. The suite counts 39 tests spread across four families: authentication (including the security property of identical failure messages), room business rules (ownership transfer, ban persistence, cascade deletion), message authorization and pagination (page arithmetic, chronological order), and the real-time server — this last family starting an ephemeral server on a random port and connecting genuine Socket.IO clients to it, verifying the rejection of forged tokens, the refusal of non-member joins, and the actual broadcast from one client to another with persistence.</w:t>
      </w:r>
    </w:p>
    <w:p>
      <w:pPr>
        <w:spacing w:after="160" w:line="320"/>
        <w:jc w:val="both"/>
      </w:pPr>
      <w:r>
        <w:rPr>
          <w:rFonts w:ascii="Calibri" w:cs="Calibri" w:eastAsia="Calibri" w:hAnsi="Calibri"/>
          <w:color w:val="1F2937"/>
          <w:sz w:val="22"/>
          <w:szCs w:val="22"/>
        </w:rPr>
        <w:t xml:space="preserve">Tests run against a real MongoDB started in memory (mongodb-memory-server), wiped between tests: authentic Mongoose behavior — unique indexes, hooks, validations — with total isolation and no network. This choice has a decisive side benefit: since the suite depends on no external infrastructure, it runs in continuous integration without any secret to configure.</w:t>
      </w:r>
    </w:p>
    <w:p>
      <w:pPr>
        <w:spacing w:after="160" w:line="320"/>
        <w:jc w:val="both"/>
      </w:pPr>
      <w:r>
        <w:rPr>
          <w:rFonts w:ascii="Calibri" w:cs="Calibri" w:eastAsia="Calibri" w:hAnsi="Calibri"/>
          <w:color w:val="1F2937"/>
          <w:sz w:val="22"/>
          <w:szCs w:val="22"/>
        </w:rPr>
        <w:t xml:space="preserve">The suite's value was demonstrated immediately: its very first run revealed a real contract inconsistency — the room-creation endpoint returned an unpopulated document where the other endpoints returned the complete entity — an inconsistency until then masked by defensive code on the client. That is precisely the role of a test suite: revealing what silent protections conceal. Continuous integration (GitHub Actions) runs the full suite and the frontend production build on every push: no broken code can reach production without a signal.</w:t>
      </w:r>
    </w:p>
    <w:p>
      <w:pPr>
        <w:pStyle w:val="Heading1"/>
        <w:spacing w:after="200" w:before="380"/>
      </w:pPr>
      <w:r>
        <w:rPr>
          <w:rFonts w:ascii="Calibri" w:cs="Calibri" w:eastAsia="Calibri" w:hAnsi="Calibri"/>
          <w:b/>
          <w:bCs/>
          <w:color w:val="312E81"/>
          <w:sz w:val="30"/>
          <w:szCs w:val="30"/>
        </w:rPr>
        <w:t xml:space="preserve">9. Cloud Deployment</w:t>
      </w:r>
    </w:p>
    <w:p>
      <w:pPr>
        <w:spacing w:after="160" w:line="320"/>
        <w:jc w:val="both"/>
      </w:pPr>
      <w:r>
        <w:rPr>
          <w:rFonts w:ascii="Calibri" w:cs="Calibri" w:eastAsia="Calibri" w:hAnsi="Calibri"/>
          <w:color w:val="1F2937"/>
          <w:sz w:val="22"/>
          <w:szCs w:val="22"/>
        </w:rPr>
        <w:t xml:space="preserve">The backend is containerized by a two-stage Dockerfile: the first stage installs production dependencies only, the second assembles a minimal Alpine image (about 50 MB) embedding nothing but the application code — no tests, no tooling, no secrets, the exclusion being guaranteed by a .dockerignore. The process runs under an unprivileged user and the image declares a healthcheck on /api/health. A docker-compose file reproduces the complete environment — API and MongoDB — in one command, giving any evaluator or contributor a configuration-free start: this is the reproducibility argument at the heart of the problem stated in section 2.</w:t>
      </w:r>
    </w:p>
    <w:p>
      <w:pPr>
        <w:spacing w:after="160" w:line="320"/>
        <w:jc w:val="both"/>
      </w:pPr>
      <w:r>
        <w:rPr>
          <w:rFonts w:ascii="Calibri" w:cs="Calibri" w:eastAsia="Calibri" w:hAnsi="Calibri"/>
          <w:color w:val="1F2937"/>
          <w:sz w:val="22"/>
          <w:szCs w:val="22"/>
        </w:rPr>
        <w:t xml:space="preserve">In production, Render builds and runs this image from the backend subfolder, while Vercel builds the frontend from its own subfolder and serves it statically, the API URL being injected at build time. Three production-specific adaptations were necessary: enabling trust proxy, without which Express would read the address of Render's proxy instead of the client's and the rate limiter would block all users together; multi-origin CORS, since production and local development must coexist; and the generation of an independent production JWT secret. The first real-world test in fact failed on an expected CORS error — the server did not yet allow the Vercel origin — resolved by closing the cross-configuration loop between the two platforms; the episode is documented as an illustration of the classic circular dependency between a frontend and a backend deployed separately.</w:t>
      </w:r>
    </w:p>
    <w:p>
      <w:pPr>
        <w:spacing w:after="160" w:line="320"/>
        <w:jc w:val="both"/>
      </w:pPr>
      <w:r>
        <w:rPr>
          <w:rFonts w:ascii="Calibri" w:cs="Calibri" w:eastAsia="Calibri" w:hAnsi="Calibri"/>
          <w:color w:val="1F2937"/>
          <w:sz w:val="22"/>
          <w:szCs w:val="22"/>
        </w:rPr>
        <w:t xml:space="preserve">Two limits of free-tier hosting are accepted and documented: the server going to sleep after fifteen minutes of inactivity, whose wake-up (about fifty seconds) is covered by the splash screen and the reconnection indicator; and the database's network access being open to any address, since free-tier Render provides no fixed IP — security then resting entirely on the credentials, where a paid tier would allow private network peering.</w:t>
      </w:r>
    </w:p>
    <w:p>
      <w:pPr>
        <w:pStyle w:val="Heading1"/>
        <w:spacing w:after="200" w:before="380"/>
      </w:pPr>
      <w:r>
        <w:rPr>
          <w:rFonts w:ascii="Calibri" w:cs="Calibri" w:eastAsia="Calibri" w:hAnsi="Calibri"/>
          <w:b/>
          <w:bCs/>
          <w:color w:val="312E81"/>
          <w:sz w:val="30"/>
          <w:szCs w:val="30"/>
        </w:rPr>
        <w:t xml:space="preserve">10. Results and Discussion</w:t>
      </w:r>
    </w:p>
    <w:p>
      <w:pPr>
        <w:spacing w:after="160" w:line="320"/>
        <w:jc w:val="both"/>
      </w:pPr>
      <w:r>
        <w:rPr>
          <w:rFonts w:ascii="Calibri" w:cs="Calibri" w:eastAsia="Calibri" w:hAnsi="Calibri"/>
          <w:color w:val="1F2937"/>
          <w:sz w:val="22"/>
          <w:szCs w:val="22"/>
        </w:rPr>
        <w:t xml:space="preserve">All the essential and desirable requirements of the specification are delivered and verifiable in production: authentication, rooms with their complete lifecycle, moderation, private conversations with user search, real-time messaging with paginated history, all served by a responsive interface with its own visual identity. The application is online, documented through an interactive OpenAPI interface, covered by 39 continuously executed tests, and locally reproducible in a single command.</w:t>
      </w:r>
    </w:p>
    <w:p>
      <w:pPr>
        <w:spacing w:after="160" w:line="320"/>
        <w:jc w:val="both"/>
      </w:pPr>
      <w:r>
        <w:rPr>
          <w:rFonts w:ascii="Calibri" w:cs="Calibri" w:eastAsia="Calibri" w:hAnsi="Calibri"/>
          <w:color w:val="1F2937"/>
          <w:sz w:val="22"/>
          <w:szCs w:val="22"/>
        </w:rPr>
        <w:t xml:space="preserve">Beyond the deliverable, the project produced formalized knowledge: twenty anomalies documented in a structured journal, whose analysis yields generalizable lessons. The defects of the API development phase were mostly wiring and inter-layer contract errors — detected at startup or on the first call, fixed in minutes once the stack trace was read methodically. The defects of the real-time phase were of another nature: race conditions and connection lifecycle issues, whose manifestation depends on timing and whose diagnosis requires reconstructing a sequence of events. This difference in nature between the two families of defects is, from a learning standpoint, the most valuable result of the project.</w:t>
      </w:r>
    </w:p>
    <w:p>
      <w:pPr>
        <w:spacing w:after="160" w:line="320"/>
        <w:jc w:val="both"/>
      </w:pPr>
      <w:r>
        <w:rPr>
          <w:rFonts w:ascii="Calibri" w:cs="Calibri" w:eastAsia="Calibri" w:hAnsi="Calibri"/>
          <w:color w:val="1F2937"/>
          <w:sz w:val="22"/>
          <w:szCs w:val="22"/>
        </w:rPr>
        <w:t xml:space="preserve">Three cross-cutting lessons deserve to be retained. First, the distinction between loud and silent defects: an immediate crash costs minutes, an incorrect behavior without an error can cost days; hence the principles of failing fast on configuration, logging every caught error, and using defensive access sparingly, since it turns loud defects into silent ones. Second, the value of explicit contracts between layers: the majority of anomalies came from a divergence between what one layer produces and what the next expects, and the rule "all endpoints returning the same entity return it in an identical shape" proved the most profitable of the project. Third, architecture as a diagnostic instrument: the separation into layers consistently allowed defects to be located — wiring in the routes, business rules in the services, lifecycle in the components.</w:t>
      </w:r>
    </w:p>
    <w:p>
      <w:pPr>
        <w:pStyle w:val="Heading1"/>
        <w:spacing w:after="200" w:before="380"/>
      </w:pPr>
      <w:r>
        <w:rPr>
          <w:rFonts w:ascii="Calibri" w:cs="Calibri" w:eastAsia="Calibri" w:hAnsi="Calibri"/>
          <w:b/>
          <w:bCs/>
          <w:color w:val="312E81"/>
          <w:sz w:val="30"/>
          <w:szCs w:val="30"/>
        </w:rPr>
        <w:t xml:space="preserve">11. Limitations and Future Work</w:t>
      </w:r>
    </w:p>
    <w:p>
      <w:pPr>
        <w:spacing w:after="160" w:line="320"/>
        <w:jc w:val="both"/>
      </w:pPr>
      <w:r>
        <w:rPr>
          <w:rFonts w:ascii="Calibri" w:cs="Calibri" w:eastAsia="Calibri" w:hAnsi="Calibri"/>
          <w:color w:val="1F2937"/>
          <w:sz w:val="22"/>
          <w:szCs w:val="22"/>
        </w:rPr>
        <w:t xml:space="preserve">The project accepts its current limitations. Presence indicators are static: user status is never updated, so everyone appears offline — live presence is the first planned evolution, the required socket event pattern being already in place. Messages are not end-to-end encrypted: protected in transit by TLS and access-controlled at rest, they remain readable by the server. Native browser dialogs still serve as confirmations for destructive actions. Finally, the triply expressed validation and the absence of static typing constitute an identified technical debt.</w:t>
      </w:r>
    </w:p>
    <w:p>
      <w:pPr>
        <w:spacing w:after="160" w:line="320"/>
        <w:jc w:val="both"/>
      </w:pPr>
      <w:r>
        <w:rPr>
          <w:rFonts w:ascii="Calibri" w:cs="Calibri" w:eastAsia="Calibri" w:hAnsi="Calibri"/>
          <w:color w:val="1F2937"/>
          <w:sz w:val="22"/>
          <w:szCs w:val="22"/>
        </w:rPr>
        <w:t xml:space="preserve">The perspectives are organized over three horizons. Short term: online presence, typing indicator, read receipts and unread counters — four applications of the same proven socket pattern. Medium term: invitation-only private rooms (the field is already modeled), file and image sharing, message editing and deletion, and a deeper development of the Thoth-inspired visual identity. Longer term: migration to TypeScript and to schema-first validation, then horizontal scaling of Socket.IO through the Redis adapter, which would allow connections to be distributed over several instances — the design point that separates a prototype from a high-traffic service.</w:t>
      </w:r>
    </w:p>
    <w:p>
      <w:pPr>
        <w:pStyle w:val="Heading1"/>
        <w:spacing w:after="200" w:before="380"/>
      </w:pPr>
      <w:r>
        <w:rPr>
          <w:rFonts w:ascii="Calibri" w:cs="Calibri" w:eastAsia="Calibri" w:hAnsi="Calibri"/>
          <w:b/>
          <w:bCs/>
          <w:color w:val="312E81"/>
          <w:sz w:val="30"/>
          <w:szCs w:val="30"/>
        </w:rPr>
        <w:t xml:space="preserve">12. Conclusion</w:t>
      </w:r>
    </w:p>
    <w:p>
      <w:pPr>
        <w:spacing w:after="160" w:line="320"/>
        <w:jc w:val="both"/>
      </w:pPr>
      <w:r>
        <w:rPr>
          <w:rFonts w:ascii="Calibri" w:cs="Calibri" w:eastAsia="Calibri" w:hAnsi="Calibri"/>
          <w:color w:val="1F2937"/>
          <w:sz w:val="22"/>
          <w:szCs w:val="22"/>
        </w:rPr>
        <w:t xml:space="preserve">ThotTalk demonstrates that a complete real-time messaging platform — authenticated, authorized channel by channel, tested, documented, containerized and deployed — can be built with exclusively open technologies and a zero hosting budget. The system is in production, its code is public, its documentation covers the entire lifecycle, from the initial UML diagram to the incident journal, and its environment is reproduced in one command.</w:t>
      </w:r>
    </w:p>
    <w:p>
      <w:pPr>
        <w:spacing w:after="160" w:line="320"/>
        <w:jc w:val="both"/>
      </w:pPr>
      <w:r>
        <w:rPr>
          <w:rFonts w:ascii="Calibri" w:cs="Calibri" w:eastAsia="Calibri" w:hAnsi="Calibri"/>
          <w:color w:val="1F2937"/>
          <w:sz w:val="22"/>
          <w:szCs w:val="22"/>
        </w:rPr>
        <w:t xml:space="preserve">As the final checkpoint of a Master's degree in Software Engineering, the project meets its dual objective: delivering a working system answering a real need for open, self-hostable alternatives, and demonstrating mastery of the skills that make a software engineer — model-driven design, justified and documented architecture decisions, defense in depth, integration testing, a continuous delivery chain, and above all the ability to diagnose methodically, to document one's errors honestly and to extract reusable principles from them. This last point is perhaps the most durable outcome: the twenty incidents of the journal are worth, for the rest of my career, as much as the features delivered.</w:t>
      </w:r>
    </w:p>
    <w:p>
      <w:pPr>
        <w:pStyle w:val="Heading1"/>
        <w:spacing w:after="200" w:before="380"/>
      </w:pPr>
      <w:r>
        <w:rPr>
          <w:rFonts w:ascii="Calibri" w:cs="Calibri" w:eastAsia="Calibri" w:hAnsi="Calibri"/>
          <w:b/>
          <w:bCs/>
          <w:color w:val="312E81"/>
          <w:sz w:val="30"/>
          <w:szCs w:val="30"/>
        </w:rPr>
        <w:t xml:space="preserve">References</w:t>
      </w:r>
    </w:p>
    <w:p>
      <w:pPr>
        <w:pStyle w:val="ListParagraph"/>
        <w:numPr>
          <w:ilvl w:val="0"/>
          <w:numId w:val="2"/>
        </w:numPr>
        <w:spacing w:after="100" w:line="300"/>
        <w:jc w:val="both"/>
      </w:pPr>
      <w:r>
        <w:rPr>
          <w:color w:val="1F2937"/>
          <w:sz w:val="22"/>
          <w:szCs w:val="22"/>
        </w:rPr>
        <w:t xml:space="preserve">Fette, I. &amp; Melnikov, A. (2011). The WebSocket Protocol, RFC 6455, IETF.</w:t>
      </w:r>
    </w:p>
    <w:p>
      <w:pPr>
        <w:pStyle w:val="ListParagraph"/>
        <w:numPr>
          <w:ilvl w:val="0"/>
          <w:numId w:val="2"/>
        </w:numPr>
        <w:spacing w:after="100" w:line="300"/>
        <w:jc w:val="both"/>
      </w:pPr>
      <w:r>
        <w:rPr>
          <w:color w:val="1F2937"/>
          <w:sz w:val="22"/>
          <w:szCs w:val="22"/>
        </w:rPr>
        <w:t xml:space="preserve">OWASP Foundation (2021). OWASP Top Ten — the ten most critical web application security risks. owasp.org</w:t>
      </w:r>
    </w:p>
    <w:p>
      <w:pPr>
        <w:pStyle w:val="ListParagraph"/>
        <w:numPr>
          <w:ilvl w:val="0"/>
          <w:numId w:val="2"/>
        </w:numPr>
        <w:spacing w:after="100" w:line="300"/>
        <w:jc w:val="both"/>
      </w:pPr>
      <w:r>
        <w:rPr>
          <w:color w:val="1F2937"/>
          <w:sz w:val="22"/>
          <w:szCs w:val="22"/>
        </w:rPr>
        <w:t xml:space="preserve">Socket.IO official documentation — rooms, acknowledgements, connection state recovery. socket.io/docs</w:t>
      </w:r>
    </w:p>
    <w:p>
      <w:pPr>
        <w:pStyle w:val="ListParagraph"/>
        <w:numPr>
          <w:ilvl w:val="0"/>
          <w:numId w:val="2"/>
        </w:numPr>
        <w:spacing w:after="100" w:line="300"/>
        <w:jc w:val="both"/>
      </w:pPr>
      <w:r>
        <w:rPr>
          <w:color w:val="1F2937"/>
          <w:sz w:val="22"/>
          <w:szCs w:val="22"/>
        </w:rPr>
        <w:t xml:space="preserve">MongoDB documentation — Data Modeling: Embedding vs. Referencing; Compound Indexes. mongodb.com/docs</w:t>
      </w:r>
    </w:p>
    <w:p>
      <w:pPr>
        <w:pStyle w:val="ListParagraph"/>
        <w:numPr>
          <w:ilvl w:val="0"/>
          <w:numId w:val="2"/>
        </w:numPr>
        <w:spacing w:after="100" w:line="300"/>
        <w:jc w:val="both"/>
      </w:pPr>
      <w:r>
        <w:rPr>
          <w:color w:val="1F2937"/>
          <w:sz w:val="22"/>
          <w:szCs w:val="22"/>
        </w:rPr>
        <w:t xml:space="preserve">Mongoose documentation — Middleware (hooks) and schema validation. mongoosejs.com</w:t>
      </w:r>
    </w:p>
    <w:p>
      <w:pPr>
        <w:pStyle w:val="ListParagraph"/>
        <w:numPr>
          <w:ilvl w:val="0"/>
          <w:numId w:val="2"/>
        </w:numPr>
        <w:spacing w:after="100" w:line="300"/>
        <w:jc w:val="both"/>
      </w:pPr>
      <w:r>
        <w:rPr>
          <w:color w:val="1F2937"/>
          <w:sz w:val="22"/>
          <w:szCs w:val="22"/>
        </w:rPr>
        <w:t xml:space="preserve">Nielsen, J. (1993). Response Times: The 3 Important Limits. Nielsen Norman Group.</w:t>
      </w:r>
    </w:p>
    <w:p>
      <w:pPr>
        <w:pStyle w:val="ListParagraph"/>
        <w:numPr>
          <w:ilvl w:val="0"/>
          <w:numId w:val="2"/>
        </w:numPr>
        <w:spacing w:after="100" w:line="300"/>
        <w:jc w:val="both"/>
      </w:pPr>
      <w:r>
        <w:rPr>
          <w:color w:val="1F2937"/>
          <w:sz w:val="22"/>
          <w:szCs w:val="22"/>
        </w:rPr>
        <w:t xml:space="preserve">Wiggins, A. (2017). The Twelve-Factor App — III. Config. 12factor.net</w:t>
      </w:r>
    </w:p>
    <w:p>
      <w:pPr>
        <w:pStyle w:val="ListParagraph"/>
        <w:numPr>
          <w:ilvl w:val="0"/>
          <w:numId w:val="2"/>
        </w:numPr>
        <w:spacing w:after="100" w:line="300"/>
        <w:jc w:val="both"/>
      </w:pPr>
      <w:r>
        <w:rPr>
          <w:color w:val="1F2937"/>
          <w:sz w:val="22"/>
          <w:szCs w:val="22"/>
        </w:rPr>
        <w:t xml:space="preserve">Conventional Commits 1.0.0. conventionalcommits.org</w:t>
      </w:r>
    </w:p>
    <w:p>
      <w:pPr>
        <w:pStyle w:val="ListParagraph"/>
        <w:numPr>
          <w:ilvl w:val="0"/>
          <w:numId w:val="2"/>
        </w:numPr>
        <w:spacing w:after="100" w:line="300"/>
        <w:jc w:val="both"/>
      </w:pPr>
      <w:r>
        <w:rPr>
          <w:color w:val="1F2937"/>
          <w:sz w:val="22"/>
          <w:szCs w:val="22"/>
        </w:rPr>
        <w:t xml:space="preserve">OpenAPI Specification 3.0. spec.openapis.org</w:t>
      </w:r>
    </w:p>
    <w:p>
      <w:pPr>
        <w:pStyle w:val="ListParagraph"/>
        <w:numPr>
          <w:ilvl w:val="0"/>
          <w:numId w:val="2"/>
        </w:numPr>
        <w:spacing w:after="100" w:line="300"/>
        <w:jc w:val="both"/>
      </w:pPr>
      <w:r>
        <w:rPr>
          <w:color w:val="1F2937"/>
          <w:sz w:val="22"/>
          <w:szCs w:val="22"/>
        </w:rPr>
        <w:t xml:space="preserve">Project repository: github.com/Sylviedistribution/Real-time-Chat-Application — including the requirements specification, UML diagrams, incident journal and acceptance grids cited in this report.</w:t>
      </w:r>
    </w:p>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Sylvestre IBOMBO GAKOSSO — GOMYCODE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ThotTalk — Final Project Report (Master's in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2026-07-26T20:09:08.746Z</dcterms:created>
  <dcterms:modified xsi:type="dcterms:W3CDTF">2026-07-26T20:09:08.775Z</dcterms:modified>
</cp:coreProperties>
</file>

<file path=docProps/custom.xml><?xml version="1.0" encoding="utf-8"?>
<Properties xmlns="http://schemas.openxmlformats.org/officeDocument/2006/custom-properties" xmlns:vt="http://schemas.openxmlformats.org/officeDocument/2006/docPropsVTypes"/>
</file>