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312E81"/>
          <w:sz w:val="48"/>
          <w:szCs w:val="48"/>
        </w:rPr>
        <w:t xml:space="preserve">JOURNAL DES INCIDENTS</w:t>
      </w:r>
    </w:p>
    <w:p>
      <w:pPr>
        <w:spacing w:before="160"/>
        <w:jc w:val="center"/>
      </w:pPr>
      <w:r>
        <w:rPr>
          <w:rFonts w:ascii="Calibri" w:cs="Calibri" w:eastAsia="Calibri" w:hAnsi="Calibri"/>
          <w:b/>
          <w:bCs/>
          <w:color w:val="B45309"/>
          <w:sz w:val="84"/>
          <w:szCs w:val="84"/>
        </w:rPr>
        <w:t xml:space="preserve">ThotTalk</w:t>
      </w:r>
    </w:p>
    <w:p>
      <w:pPr>
        <w:spacing w:before="100"/>
        <w:jc w:val="center"/>
      </w:pPr>
      <w:r>
        <w:rPr>
          <w:i/>
          <w:iCs/>
          <w:color w:val="1F2937"/>
          <w:sz w:val="26"/>
          <w:szCs w:val="26"/>
        </w:rPr>
        <w:t xml:space="preserve">Lots B3 et B4 — API REST et communication temps réel</w:t>
      </w:r>
    </w:p>
    <w:p>
      <w:pPr>
        <w:spacing w:before="60"/>
        <w:jc w:val="center"/>
      </w:pPr>
      <w:r>
        <w:rPr>
          <w:color w:val="6B7280"/>
          <w:sz w:val="22"/>
          <w:szCs w:val="22"/>
        </w:rPr>
        <w:t xml:space="preserve">Anomalies rencontrées, diagnostics et corrections</w:t>
      </w:r>
    </w:p>
    <w:p>
      <w:pPr>
        <w:spacing w:before="1400"/>
        <w:jc w:val="center"/>
      </w:pPr>
      <w:r>
        <w:rPr>
          <w:b/>
          <w:bCs/>
          <w:color w:val="1F2937"/>
          <w:sz w:val="24"/>
          <w:szCs w:val="24"/>
        </w:rPr>
        <w:t xml:space="preserve">Projet de Fin d'Études — Software Engineering</w:t>
      </w:r>
    </w:p>
    <w:p>
      <w:pPr>
        <w:spacing w:before="60"/>
        <w:jc w:val="center"/>
      </w:pPr>
      <w:r>
        <w:rPr>
          <w:color w:val="1F2937"/>
          <w:sz w:val="22"/>
          <w:szCs w:val="22"/>
        </w:rPr>
        <w:t xml:space="preserve">GOMYCODE — Learn/Lab Phase</w:t>
      </w:r>
    </w:p>
    <w:p>
      <w:pPr>
        <w:spacing w:before="360"/>
        <w:jc w:val="center"/>
      </w:pPr>
      <w:r>
        <w:rPr>
          <w:color w:val="1F2937"/>
          <w:sz w:val="24"/>
          <w:szCs w:val="24"/>
        </w:rPr>
        <w:t xml:space="preserve">Auteur : Sylvestre IBOMBO GAKOSSO</w:t>
      </w:r>
    </w:p>
    <w:p>
      <w:pPr>
        <w:spacing w:before="60"/>
        <w:jc w:val="center"/>
      </w:pPr>
      <w:r>
        <w:rPr>
          <w:color w:val="6B7280"/>
          <w:sz w:val="22"/>
          <w:szCs w:val="22"/>
        </w:rPr>
        <w:t xml:space="preserve">Version 1.0 — Juillet 2026</w:t>
      </w:r>
    </w:p>
    <w:p>
      <w:r>
        <w:br w:type="page"/>
      </w:r>
    </w:p>
    <w:p>
      <w:pPr>
        <w:pStyle w:val="Heading1"/>
        <w:spacing w:after="200" w:before="360"/>
      </w:pPr>
      <w:r>
        <w:rPr>
          <w:rFonts w:ascii="Calibri" w:cs="Calibri" w:eastAsia="Calibri" w:hAnsi="Calibri"/>
          <w:b/>
          <w:bCs/>
          <w:color w:val="312E81"/>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312E81"/>
          <w:sz w:val="32"/>
          <w:szCs w:val="32"/>
        </w:rPr>
        <w:t xml:space="preserve">1. Objet du document</w:t>
      </w:r>
    </w:p>
    <w:p>
      <w:pPr>
        <w:spacing w:after="150" w:line="300"/>
        <w:jc w:val="both"/>
      </w:pPr>
      <w:r>
        <w:rPr>
          <w:rFonts w:ascii="Calibri" w:cs="Calibri" w:eastAsia="Calibri" w:hAnsi="Calibri"/>
          <w:color w:val="1F2937"/>
          <w:sz w:val="22"/>
          <w:szCs w:val="22"/>
        </w:rPr>
        <w:t xml:space="preserve">Ce document recense les anomalies rencontrées durant le développement des lots B3 (API REST des salons, conversations et messages) et B4 (communication temps réel par Socket.IO) du projet ThotTalk, ainsi que les diagnostics menés et les corrections apportées.</w:t>
      </w:r>
    </w:p>
    <w:p>
      <w:pPr>
        <w:spacing w:after="150" w:line="300"/>
        <w:jc w:val="both"/>
      </w:pPr>
      <w:r>
        <w:rPr>
          <w:rFonts w:ascii="Calibri" w:cs="Calibri" w:eastAsia="Calibri" w:hAnsi="Calibri"/>
          <w:color w:val="1F2937"/>
          <w:sz w:val="22"/>
          <w:szCs w:val="22"/>
        </w:rPr>
        <w:t xml:space="preserve">Il ne s'agit pas d'un simple relevé de bugs. Chaque incident est documenté selon une grille constante — symptôme, démarche de diagnostic, cause racine, correction, leçon retenue — afin de constituer une base de connaissances réutilisable. En ingénierie logicielle, la valeur d'un incident réside moins dans sa correction que dans la compréhension du mécanisme qui l'a produit : un même défaut, une fois identifié, se reconnaît ensuite en quelques secondes.</w:t>
      </w:r>
    </w:p>
    <w:p>
      <w:pPr>
        <w:pStyle w:val="Heading2"/>
        <w:spacing w:after="140" w:before="300"/>
      </w:pPr>
      <w:r>
        <w:rPr>
          <w:rFonts w:ascii="Calibri" w:cs="Calibri" w:eastAsia="Calibri" w:hAnsi="Calibri"/>
          <w:b/>
          <w:bCs/>
          <w:color w:val="B45309"/>
          <w:sz w:val="25"/>
          <w:szCs w:val="25"/>
        </w:rPr>
        <w:t xml:space="preserve">Grille de lecture</w:t>
      </w:r>
    </w:p>
    <w:p>
      <w:pPr>
        <w:pStyle w:val="ListParagraph"/>
        <w:numPr>
          <w:ilvl w:val="0"/>
          <w:numId w:val="2"/>
        </w:numPr>
        <w:spacing w:after="100" w:line="290"/>
      </w:pPr>
      <w:r>
        <w:rPr>
          <w:color w:val="1F2937"/>
          <w:sz w:val="22"/>
          <w:szCs w:val="22"/>
        </w:rPr>
        <w:t xml:space="preserve">Symptôme observé : ce que l'utilisateur ou le développeur constate, avant toute interprétation.</w:t>
      </w:r>
    </w:p>
    <w:p>
      <w:pPr>
        <w:pStyle w:val="ListParagraph"/>
        <w:numPr>
          <w:ilvl w:val="0"/>
          <w:numId w:val="2"/>
        </w:numPr>
        <w:spacing w:after="100" w:line="290"/>
      </w:pPr>
      <w:r>
        <w:rPr>
          <w:color w:val="1F2937"/>
          <w:sz w:val="22"/>
          <w:szCs w:val="22"/>
        </w:rPr>
        <w:t xml:space="preserve">Démarche de diagnostic : les vérifications qui ont permis de localiser le défaut.</w:t>
      </w:r>
    </w:p>
    <w:p>
      <w:pPr>
        <w:pStyle w:val="ListParagraph"/>
        <w:numPr>
          <w:ilvl w:val="0"/>
          <w:numId w:val="2"/>
        </w:numPr>
        <w:spacing w:after="100" w:line="290"/>
      </w:pPr>
      <w:r>
        <w:rPr>
          <w:color w:val="1F2937"/>
          <w:sz w:val="22"/>
          <w:szCs w:val="22"/>
        </w:rPr>
        <w:t xml:space="preserve">Cause racine : l'origine réelle, distinguée du symptôme qu'elle produit.</w:t>
      </w:r>
    </w:p>
    <w:p>
      <w:pPr>
        <w:pStyle w:val="ListParagraph"/>
        <w:numPr>
          <w:ilvl w:val="0"/>
          <w:numId w:val="2"/>
        </w:numPr>
        <w:spacing w:after="100" w:line="290"/>
      </w:pPr>
      <w:r>
        <w:rPr>
          <w:color w:val="1F2937"/>
          <w:sz w:val="22"/>
          <w:szCs w:val="22"/>
        </w:rPr>
        <w:t xml:space="preserve">Correction appliquée : la modification retenue.</w:t>
      </w:r>
    </w:p>
    <w:p>
      <w:pPr>
        <w:pStyle w:val="ListParagraph"/>
        <w:numPr>
          <w:ilvl w:val="0"/>
          <w:numId w:val="2"/>
        </w:numPr>
        <w:spacing w:after="100" w:line="290"/>
      </w:pPr>
      <w:r>
        <w:rPr>
          <w:color w:val="1F2937"/>
          <w:sz w:val="22"/>
          <w:szCs w:val="22"/>
        </w:rPr>
        <w:t xml:space="preserve">Leçon retenue : le principe généralisable, transposable à d'autres situations.</w:t>
      </w:r>
    </w:p>
    <w:p>
      <w:pPr>
        <w:pStyle w:val="Heading2"/>
        <w:spacing w:after="140" w:before="300"/>
      </w:pPr>
      <w:r>
        <w:rPr>
          <w:rFonts w:ascii="Calibri" w:cs="Calibri" w:eastAsia="Calibri" w:hAnsi="Calibri"/>
          <w:b/>
          <w:bCs/>
          <w:color w:val="B45309"/>
          <w:sz w:val="25"/>
          <w:szCs w:val="25"/>
        </w:rPr>
        <w:t xml:space="preserve">Synthèse par catégorie</w:t>
      </w:r>
    </w:p>
    <w:tbl>
      <w:tblPr>
        <w:tblW w:type="dxa" w:w="9360"/>
        <w:tblBorders>
          <w:top w:val="single" w:color="C7C9D9" w:sz="4"/>
          <w:left w:val="single" w:color="C7C9D9" w:sz="4"/>
          <w:bottom w:val="single" w:color="C7C9D9" w:sz="4"/>
          <w:right w:val="single" w:color="C7C9D9" w:sz="4"/>
          <w:insideH w:val="single" w:color="C7C9D9" w:sz="4"/>
          <w:insideV w:val="single" w:color="C7C9D9" w:sz="4"/>
        </w:tblBorders>
      </w:tblPr>
      <w:tblGrid>
        <w:gridCol w:w="4560"/>
        <w:gridCol w:w="1400"/>
        <w:gridCol w:w="3400"/>
      </w:tblGrid>
      <w:tr>
        <w:trPr>
          <w:tblHeader/>
        </w:trPr>
        <w:tc>
          <w:tcPr>
            <w:tcW w:type="dxa" w:w="4560"/>
            <w:shd w:fill="312E81" w:color="auto" w:val="clear"/>
            <w:tcMar>
              <w:top w:type="dxa" w:w="80"/>
              <w:left w:type="dxa" w:w="100"/>
              <w:bottom w:type="dxa" w:w="80"/>
              <w:right w:type="dxa" w:w="100"/>
            </w:tcMar>
          </w:tcPr>
          <w:p>
            <w:r>
              <w:rPr>
                <w:b/>
                <w:bCs/>
                <w:color w:val="FFFFFF"/>
                <w:sz w:val="20"/>
                <w:szCs w:val="20"/>
              </w:rPr>
              <w:t xml:space="preserve">Catégorie d'anomalie</w:t>
            </w:r>
          </w:p>
        </w:tc>
        <w:tc>
          <w:tcPr>
            <w:tcW w:type="dxa" w:w="1400"/>
            <w:shd w:fill="312E81" w:color="auto" w:val="clear"/>
            <w:tcMar>
              <w:top w:type="dxa" w:w="80"/>
              <w:left w:type="dxa" w:w="100"/>
              <w:bottom w:type="dxa" w:w="80"/>
              <w:right w:type="dxa" w:w="100"/>
            </w:tcMar>
          </w:tcPr>
          <w:p>
            <w:r>
              <w:rPr>
                <w:b/>
                <w:bCs/>
                <w:color w:val="FFFFFF"/>
                <w:sz w:val="20"/>
                <w:szCs w:val="20"/>
              </w:rPr>
              <w:t xml:space="preserve">Nombre</w:t>
            </w:r>
          </w:p>
        </w:tc>
        <w:tc>
          <w:tcPr>
            <w:tcW w:type="dxa" w:w="3400"/>
            <w:shd w:fill="312E81" w:color="auto" w:val="clear"/>
            <w:tcMar>
              <w:top w:type="dxa" w:w="80"/>
              <w:left w:type="dxa" w:w="100"/>
              <w:bottom w:type="dxa" w:w="80"/>
              <w:right w:type="dxa" w:w="100"/>
            </w:tcMar>
          </w:tcPr>
          <w:p>
            <w:r>
              <w:rPr>
                <w:b/>
                <w:bCs/>
                <w:color w:val="FFFFFF"/>
                <w:sz w:val="20"/>
                <w:szCs w:val="20"/>
              </w:rPr>
              <w:t xml:space="preserve">Références</w:t>
            </w:r>
          </w:p>
        </w:tc>
      </w:tr>
      <w:tr>
        <w:tc>
          <w:tcPr>
            <w:tcW w:type="dxa" w:w="4560"/>
            <w:tcMar>
              <w:top w:type="dxa" w:w="60"/>
              <w:left w:type="dxa" w:w="100"/>
              <w:bottom w:type="dxa" w:w="60"/>
              <w:right w:type="dxa" w:w="100"/>
            </w:tcMar>
          </w:tcPr>
          <w:p>
            <w:r>
              <w:rPr>
                <w:color w:val="1F2937"/>
                <w:sz w:val="20"/>
                <w:szCs w:val="20"/>
              </w:rPr>
              <w:t xml:space="preserve">Câblage, imports et exports</w:t>
            </w:r>
          </w:p>
        </w:tc>
        <w:tc>
          <w:tcPr>
            <w:tcW w:type="dxa" w:w="1400"/>
            <w:tcMar>
              <w:top w:type="dxa" w:w="60"/>
              <w:left w:type="dxa" w:w="100"/>
              <w:bottom w:type="dxa" w:w="60"/>
              <w:right w:type="dxa" w:w="100"/>
            </w:tcMar>
          </w:tcPr>
          <w:p>
            <w:r>
              <w:rPr>
                <w:color w:val="1F2937"/>
                <w:sz w:val="20"/>
                <w:szCs w:val="20"/>
              </w:rPr>
              <w:t xml:space="preserve">5</w:t>
            </w:r>
          </w:p>
        </w:tc>
        <w:tc>
          <w:tcPr>
            <w:tcW w:type="dxa" w:w="3400"/>
            <w:tcMar>
              <w:top w:type="dxa" w:w="60"/>
              <w:left w:type="dxa" w:w="100"/>
              <w:bottom w:type="dxa" w:w="60"/>
              <w:right w:type="dxa" w:w="100"/>
            </w:tcMar>
          </w:tcPr>
          <w:p>
            <w:r>
              <w:rPr>
                <w:color w:val="1F2937"/>
                <w:sz w:val="20"/>
                <w:szCs w:val="20"/>
              </w:rPr>
              <w:t xml:space="preserve">B3.1, B3.3, B3.4, B3.6, B3.11</w:t>
            </w:r>
          </w:p>
        </w:tc>
      </w:tr>
      <w:tr>
        <w:tc>
          <w:tcPr>
            <w:tcW w:type="dxa" w:w="4560"/>
            <w:shd w:fill="F3F4F6" w:color="auto" w:val="clear"/>
            <w:tcMar>
              <w:top w:type="dxa" w:w="60"/>
              <w:left w:type="dxa" w:w="100"/>
              <w:bottom w:type="dxa" w:w="60"/>
              <w:right w:type="dxa" w:w="100"/>
            </w:tcMar>
          </w:tcPr>
          <w:p>
            <w:r>
              <w:rPr>
                <w:color w:val="1F2937"/>
                <w:sz w:val="20"/>
                <w:szCs w:val="20"/>
              </w:rPr>
              <w:t xml:space="preserve">Contrats entre couches</w:t>
            </w:r>
          </w:p>
        </w:tc>
        <w:tc>
          <w:tcPr>
            <w:tcW w:type="dxa" w:w="1400"/>
            <w:shd w:fill="F3F4F6" w:color="auto" w:val="clear"/>
            <w:tcMar>
              <w:top w:type="dxa" w:w="60"/>
              <w:left w:type="dxa" w:w="100"/>
              <w:bottom w:type="dxa" w:w="60"/>
              <w:right w:type="dxa" w:w="100"/>
            </w:tcMar>
          </w:tcPr>
          <w:p>
            <w:r>
              <w:rPr>
                <w:color w:val="1F2937"/>
                <w:sz w:val="20"/>
                <w:szCs w:val="20"/>
              </w:rPr>
              <w:t xml:space="preserve">4</w:t>
            </w:r>
          </w:p>
        </w:tc>
        <w:tc>
          <w:tcPr>
            <w:tcW w:type="dxa" w:w="3400"/>
            <w:shd w:fill="F3F4F6" w:color="auto" w:val="clear"/>
            <w:tcMar>
              <w:top w:type="dxa" w:w="60"/>
              <w:left w:type="dxa" w:w="100"/>
              <w:bottom w:type="dxa" w:w="60"/>
              <w:right w:type="dxa" w:w="100"/>
            </w:tcMar>
          </w:tcPr>
          <w:p>
            <w:r>
              <w:rPr>
                <w:color w:val="1F2937"/>
                <w:sz w:val="20"/>
                <w:szCs w:val="20"/>
              </w:rPr>
              <w:t xml:space="preserve">B3.2, B3.7, B3.8, B3.12</w:t>
            </w:r>
          </w:p>
        </w:tc>
      </w:tr>
      <w:tr>
        <w:tc>
          <w:tcPr>
            <w:tcW w:type="dxa" w:w="4560"/>
            <w:tcMar>
              <w:top w:type="dxa" w:w="60"/>
              <w:left w:type="dxa" w:w="100"/>
              <w:bottom w:type="dxa" w:w="60"/>
              <w:right w:type="dxa" w:w="100"/>
            </w:tcMar>
          </w:tcPr>
          <w:p>
            <w:r>
              <w:rPr>
                <w:color w:val="1F2937"/>
                <w:sz w:val="20"/>
                <w:szCs w:val="20"/>
              </w:rPr>
              <w:t xml:space="preserve">Sécurité</w:t>
            </w:r>
          </w:p>
        </w:tc>
        <w:tc>
          <w:tcPr>
            <w:tcW w:type="dxa" w:w="1400"/>
            <w:tcMar>
              <w:top w:type="dxa" w:w="60"/>
              <w:left w:type="dxa" w:w="100"/>
              <w:bottom w:type="dxa" w:w="60"/>
              <w:right w:type="dxa" w:w="100"/>
            </w:tcMar>
          </w:tcPr>
          <w:p>
            <w:r>
              <w:rPr>
                <w:color w:val="1F2937"/>
                <w:sz w:val="20"/>
                <w:szCs w:val="20"/>
              </w:rPr>
              <w:t xml:space="preserve">3</w:t>
            </w:r>
          </w:p>
        </w:tc>
        <w:tc>
          <w:tcPr>
            <w:tcW w:type="dxa" w:w="3400"/>
            <w:tcMar>
              <w:top w:type="dxa" w:w="60"/>
              <w:left w:type="dxa" w:w="100"/>
              <w:bottom w:type="dxa" w:w="60"/>
              <w:right w:type="dxa" w:w="100"/>
            </w:tcMar>
          </w:tcPr>
          <w:p>
            <w:r>
              <w:rPr>
                <w:color w:val="1F2937"/>
                <w:sz w:val="20"/>
                <w:szCs w:val="20"/>
              </w:rPr>
              <w:t xml:space="preserve">B3.5, B3.9, B4.8</w:t>
            </w:r>
          </w:p>
        </w:tc>
      </w:tr>
      <w:tr>
        <w:tc>
          <w:tcPr>
            <w:tcW w:type="dxa" w:w="4560"/>
            <w:shd w:fill="F3F4F6" w:color="auto" w:val="clear"/>
            <w:tcMar>
              <w:top w:type="dxa" w:w="60"/>
              <w:left w:type="dxa" w:w="100"/>
              <w:bottom w:type="dxa" w:w="60"/>
              <w:right w:type="dxa" w:w="100"/>
            </w:tcMar>
          </w:tcPr>
          <w:p>
            <w:r>
              <w:rPr>
                <w:color w:val="1F2937"/>
                <w:sz w:val="20"/>
                <w:szCs w:val="20"/>
              </w:rPr>
              <w:t xml:space="preserve">Temps réel et concurrence</w:t>
            </w:r>
          </w:p>
        </w:tc>
        <w:tc>
          <w:tcPr>
            <w:tcW w:type="dxa" w:w="1400"/>
            <w:shd w:fill="F3F4F6" w:color="auto" w:val="clear"/>
            <w:tcMar>
              <w:top w:type="dxa" w:w="60"/>
              <w:left w:type="dxa" w:w="100"/>
              <w:bottom w:type="dxa" w:w="60"/>
              <w:right w:type="dxa" w:w="100"/>
            </w:tcMar>
          </w:tcPr>
          <w:p>
            <w:r>
              <w:rPr>
                <w:color w:val="1F2937"/>
                <w:sz w:val="20"/>
                <w:szCs w:val="20"/>
              </w:rPr>
              <w:t xml:space="preserve">3</w:t>
            </w:r>
          </w:p>
        </w:tc>
        <w:tc>
          <w:tcPr>
            <w:tcW w:type="dxa" w:w="3400"/>
            <w:shd w:fill="F3F4F6" w:color="auto" w:val="clear"/>
            <w:tcMar>
              <w:top w:type="dxa" w:w="60"/>
              <w:left w:type="dxa" w:w="100"/>
              <w:bottom w:type="dxa" w:w="60"/>
              <w:right w:type="dxa" w:w="100"/>
            </w:tcMar>
          </w:tcPr>
          <w:p>
            <w:r>
              <w:rPr>
                <w:color w:val="1F2937"/>
                <w:sz w:val="20"/>
                <w:szCs w:val="20"/>
              </w:rPr>
              <w:t xml:space="preserve">B4.3, B4.4, B4.5</w:t>
            </w:r>
          </w:p>
        </w:tc>
      </w:tr>
      <w:tr>
        <w:tc>
          <w:tcPr>
            <w:tcW w:type="dxa" w:w="4560"/>
            <w:tcMar>
              <w:top w:type="dxa" w:w="60"/>
              <w:left w:type="dxa" w:w="100"/>
              <w:bottom w:type="dxa" w:w="60"/>
              <w:right w:type="dxa" w:w="100"/>
            </w:tcMar>
          </w:tcPr>
          <w:p>
            <w:r>
              <w:rPr>
                <w:color w:val="1F2937"/>
                <w:sz w:val="20"/>
                <w:szCs w:val="20"/>
              </w:rPr>
              <w:t xml:space="preserve">Cycle de vie React</w:t>
            </w:r>
          </w:p>
        </w:tc>
        <w:tc>
          <w:tcPr>
            <w:tcW w:type="dxa" w:w="1400"/>
            <w:tcMar>
              <w:top w:type="dxa" w:w="60"/>
              <w:left w:type="dxa" w:w="100"/>
              <w:bottom w:type="dxa" w:w="60"/>
              <w:right w:type="dxa" w:w="100"/>
            </w:tcMar>
          </w:tcPr>
          <w:p>
            <w:r>
              <w:rPr>
                <w:color w:val="1F2937"/>
                <w:sz w:val="20"/>
                <w:szCs w:val="20"/>
              </w:rPr>
              <w:t xml:space="preserve">2</w:t>
            </w:r>
          </w:p>
        </w:tc>
        <w:tc>
          <w:tcPr>
            <w:tcW w:type="dxa" w:w="3400"/>
            <w:tcMar>
              <w:top w:type="dxa" w:w="60"/>
              <w:left w:type="dxa" w:w="100"/>
              <w:bottom w:type="dxa" w:w="60"/>
              <w:right w:type="dxa" w:w="100"/>
            </w:tcMar>
          </w:tcPr>
          <w:p>
            <w:r>
              <w:rPr>
                <w:color w:val="1F2937"/>
                <w:sz w:val="20"/>
                <w:szCs w:val="20"/>
              </w:rPr>
              <w:t xml:space="preserve">B4.6, B4.7</w:t>
            </w:r>
          </w:p>
        </w:tc>
      </w:tr>
      <w:tr>
        <w:tc>
          <w:tcPr>
            <w:tcW w:type="dxa" w:w="4560"/>
            <w:shd w:fill="F3F4F6" w:color="auto" w:val="clear"/>
            <w:tcMar>
              <w:top w:type="dxa" w:w="60"/>
              <w:left w:type="dxa" w:w="100"/>
              <w:bottom w:type="dxa" w:w="60"/>
              <w:right w:type="dxa" w:w="100"/>
            </w:tcMar>
          </w:tcPr>
          <w:p>
            <w:r>
              <w:rPr>
                <w:color w:val="1F2937"/>
                <w:sz w:val="20"/>
                <w:szCs w:val="20"/>
              </w:rPr>
              <w:t xml:space="preserve">Versions de dépendances</w:t>
            </w:r>
          </w:p>
        </w:tc>
        <w:tc>
          <w:tcPr>
            <w:tcW w:type="dxa" w:w="1400"/>
            <w:shd w:fill="F3F4F6" w:color="auto" w:val="clear"/>
            <w:tcMar>
              <w:top w:type="dxa" w:w="60"/>
              <w:left w:type="dxa" w:w="100"/>
              <w:bottom w:type="dxa" w:w="60"/>
              <w:right w:type="dxa" w:w="100"/>
            </w:tcMar>
          </w:tcPr>
          <w:p>
            <w:r>
              <w:rPr>
                <w:color w:val="1F2937"/>
                <w:sz w:val="20"/>
                <w:szCs w:val="20"/>
              </w:rPr>
              <w:t xml:space="preserve">1</w:t>
            </w:r>
          </w:p>
        </w:tc>
        <w:tc>
          <w:tcPr>
            <w:tcW w:type="dxa" w:w="3400"/>
            <w:shd w:fill="F3F4F6" w:color="auto" w:val="clear"/>
            <w:tcMar>
              <w:top w:type="dxa" w:w="60"/>
              <w:left w:type="dxa" w:w="100"/>
              <w:bottom w:type="dxa" w:w="60"/>
              <w:right w:type="dxa" w:w="100"/>
            </w:tcMar>
          </w:tcPr>
          <w:p>
            <w:r>
              <w:rPr>
                <w:color w:val="1F2937"/>
                <w:sz w:val="20"/>
                <w:szCs w:val="20"/>
              </w:rPr>
              <w:t xml:space="preserve">B4.2</w:t>
            </w:r>
          </w:p>
        </w:tc>
      </w:tr>
      <w:tr>
        <w:tc>
          <w:tcPr>
            <w:tcW w:type="dxa" w:w="4560"/>
            <w:tcMar>
              <w:top w:type="dxa" w:w="60"/>
              <w:left w:type="dxa" w:w="100"/>
              <w:bottom w:type="dxa" w:w="60"/>
              <w:right w:type="dxa" w:w="100"/>
            </w:tcMar>
          </w:tcPr>
          <w:p>
            <w:r>
              <w:rPr>
                <w:color w:val="1F2937"/>
                <w:sz w:val="20"/>
                <w:szCs w:val="20"/>
              </w:rPr>
              <w:t xml:space="preserve">Observabilité</w:t>
            </w:r>
          </w:p>
        </w:tc>
        <w:tc>
          <w:tcPr>
            <w:tcW w:type="dxa" w:w="1400"/>
            <w:tcMar>
              <w:top w:type="dxa" w:w="60"/>
              <w:left w:type="dxa" w:w="100"/>
              <w:bottom w:type="dxa" w:w="60"/>
              <w:right w:type="dxa" w:w="100"/>
            </w:tcMar>
          </w:tcPr>
          <w:p>
            <w:r>
              <w:rPr>
                <w:color w:val="1F2937"/>
                <w:sz w:val="20"/>
                <w:szCs w:val="20"/>
              </w:rPr>
              <w:t xml:space="preserve">2</w:t>
            </w:r>
          </w:p>
        </w:tc>
        <w:tc>
          <w:tcPr>
            <w:tcW w:type="dxa" w:w="3400"/>
            <w:tcMar>
              <w:top w:type="dxa" w:w="60"/>
              <w:left w:type="dxa" w:w="100"/>
              <w:bottom w:type="dxa" w:w="60"/>
              <w:right w:type="dxa" w:w="100"/>
            </w:tcMar>
          </w:tcPr>
          <w:p>
            <w:r>
              <w:rPr>
                <w:color w:val="1F2937"/>
                <w:sz w:val="20"/>
                <w:szCs w:val="20"/>
              </w:rPr>
              <w:t xml:space="preserve">B3.10, B4.1</w:t>
            </w:r>
          </w:p>
        </w:tc>
      </w:tr>
    </w:tbl>
    <w:p>
      <w:pPr>
        <w:spacing w:after="120"/>
      </w:pPr>
    </w:p>
    <w:p>
      <w:pPr>
        <w:spacing w:after="150" w:line="300"/>
        <w:jc w:val="both"/>
      </w:pPr>
      <w:r>
        <w:rPr>
          <w:rFonts w:ascii="Calibri" w:cs="Calibri" w:eastAsia="Calibri" w:hAnsi="Calibri"/>
          <w:color w:val="1F2937"/>
          <w:sz w:val="22"/>
          <w:szCs w:val="22"/>
        </w:rPr>
        <w:t xml:space="preserve">Vingt anomalies documentées, dont trois présentaient un impact de sécurité et trois relevaient de phénomènes de concurrence propres au temps réel. Aucune n'a nécessité de remettre en cause l'architecture retenue en phase de conception.</w:t>
      </w:r>
    </w:p>
    <w:p>
      <w:r>
        <w:br w:type="page"/>
      </w:r>
    </w:p>
    <w:p>
      <w:pPr>
        <w:pStyle w:val="Heading1"/>
        <w:spacing w:after="200" w:before="360"/>
      </w:pPr>
      <w:r>
        <w:rPr>
          <w:rFonts w:ascii="Calibri" w:cs="Calibri" w:eastAsia="Calibri" w:hAnsi="Calibri"/>
          <w:b/>
          <w:bCs/>
          <w:color w:val="312E81"/>
          <w:sz w:val="32"/>
          <w:szCs w:val="32"/>
        </w:rPr>
        <w:t xml:space="preserve">2. Lot B3 — API REST</w:t>
      </w:r>
    </w:p>
    <w:p>
      <w:pPr>
        <w:spacing w:after="150" w:line="300"/>
        <w:jc w:val="both"/>
      </w:pPr>
      <w:r>
        <w:rPr>
          <w:rFonts w:ascii="Calibri" w:cs="Calibri" w:eastAsia="Calibri" w:hAnsi="Calibri"/>
          <w:color w:val="1F2937"/>
          <w:sz w:val="22"/>
          <w:szCs w:val="22"/>
        </w:rPr>
        <w:t xml:space="preserve">Le lot B3 a consisté à exposer les salons, conversations et messages par une API REST, puis à basculer le frontend depuis ses données simulées vers cette API. La majorité des anomalies de ce lot relèvent du câblage entre modules et des contrats entre couches, ce qui est caractéristique d'une phase d'intégration.</w:t>
      </w:r>
    </w:p>
    <w:p>
      <w:pPr>
        <w:pStyle w:val="Heading2"/>
        <w:spacing w:after="140" w:before="300"/>
      </w:pPr>
      <w:r>
        <w:rPr>
          <w:rFonts w:ascii="Calibri" w:cs="Calibri" w:eastAsia="Calibri" w:hAnsi="Calibri"/>
          <w:b/>
          <w:bCs/>
          <w:color w:val="B45309"/>
          <w:sz w:val="25"/>
          <w:szCs w:val="25"/>
        </w:rPr>
        <w:t xml:space="preserve">B3.1 — Module introuvable au démarrage</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 serveur refuse de démarrer ; nodemon s'arrête sur une trace d'exécution.</w:t>
      </w:r>
    </w:p>
    <w:p>
      <w:pPr>
        <w:shd w:fill="F3F4F6" w:color="auto" w:val="clear"/>
        <w:spacing w:after="130" w:before="60"/>
        <w:ind w:left="200"/>
      </w:pPr>
      <w:r>
        <w:rPr>
          <w:rFonts w:ascii="Consolas" w:cs="Consolas" w:eastAsia="Consolas" w:hAnsi="Consolas"/>
          <w:color w:val="991B1B"/>
          <w:sz w:val="19"/>
          <w:szCs w:val="19"/>
        </w:rPr>
        <w:t xml:space="preserve">Error: Cannot find module './conversation.routes'</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Lecture méthodique de la trace : le message indique le module manquant, la pile de requires (« Require stack ») indique qui le demande — ici le sommaire des routes — et la référence fichier:ligne:colonne indique l'emplacement exact de l'appel fautif.</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Le sommaire des routes montait un routeur dont le fichier n'avait jamais été créé.</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Création du fichier conversation.routes.js avec ses deux routes et son export.</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Une trace d'exécution se lit, elle ne se subit pas : première ligne pour le « quoi », pile de requires pour le « qui », référence fichier:ligne pour le « où ». La grande majorité des erreurs de câblage Node se résolvent par cette seule lecture.</w:t>
      </w:r>
    </w:p>
    <w:p>
      <w:pPr>
        <w:pStyle w:val="Heading2"/>
        <w:spacing w:after="140" w:before="300"/>
      </w:pPr>
      <w:r>
        <w:rPr>
          <w:rFonts w:ascii="Calibri" w:cs="Calibri" w:eastAsia="Calibri" w:hAnsi="Calibri"/>
          <w:b/>
          <w:bCs/>
          <w:color w:val="B45309"/>
          <w:sz w:val="25"/>
          <w:szCs w:val="25"/>
        </w:rPr>
        <w:t xml:space="preserve">B3.2 — Contrat rompu entre la route et le contrôleur</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L'endpoint de création de conversation répond systématiquement 404 « Utilisateur introuvable », quel que soit l'identifiant fourni. Aucune erreur serveur, aucune trace.</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Lecture croisée de la route et du contrôleur : le contrôleur lit req.params.userId, alors que la route déclare le chemin « / », sans segment dynamique.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Sans segment dynamique dans le chemin, req.params.userId vaut undefined. La recherche en base est donc effectuée avec une valeur nulle, ne renvoie rien, et le service lève un 404 parfaitement légitime — mais fondé sur une donnée absente.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Déclaration du segment dynamique : router.post("/with/:userId", ctrl.getOrCreate). Cette forme correspond également à l'URL attendue par la couche d'appel du frontend.</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 fichier de routes doit se relire contre ses deux contrats : ce que le contrôleur attend en entrée, et l'URL que l'appelant construit. Ce type de défaut ne produit aucune erreur technique — il produit une fonctionnalité qui ne fonctionnera jamais, découverte parfois plusieurs jours plus tard.</w:t>
      </w:r>
    </w:p>
    <w:p>
      <w:pPr>
        <w:pStyle w:val="Heading2"/>
        <w:spacing w:after="140" w:before="300"/>
      </w:pPr>
      <w:r>
        <w:rPr>
          <w:rFonts w:ascii="Calibri" w:cs="Calibri" w:eastAsia="Calibri" w:hAnsi="Calibri"/>
          <w:b/>
          <w:bCs/>
          <w:color w:val="B45309"/>
          <w:sz w:val="25"/>
          <w:szCs w:val="25"/>
        </w:rPr>
        <w:t xml:space="preserve">B3.3 — Handler non reconnu comme fonction</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Arrêt au démarrage lors du montage des routes.</w:t>
      </w:r>
    </w:p>
    <w:p>
      <w:pPr>
        <w:shd w:fill="F3F4F6" w:color="auto" w:val="clear"/>
        <w:spacing w:after="130" w:before="60"/>
        <w:ind w:left="200"/>
      </w:pPr>
      <w:r>
        <w:rPr>
          <w:rFonts w:ascii="Consolas" w:cs="Consolas" w:eastAsia="Consolas" w:hAnsi="Consolas"/>
          <w:color w:val="991B1B"/>
          <w:sz w:val="19"/>
          <w:szCs w:val="19"/>
        </w:rPr>
        <w:t xml:space="preserve">TypeError: argument handler must be a function</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La trace désigne la ligne exacte du montage fautif. Vérification directe du module concerné en ligne de commande : node -e "console.log(typeof require('./src/routes/x.routes'))". Un routeur Express correctement exporté affiche « function » ; le module fautif affichait « object ».</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L'instruction module.exports = router était absente en fin de fichier. Un module sans export explicite renvoie un objet vide, qu'Express refuse comme handler.</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Rétablissement de l'export.</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Deux erreurs voisines couvrent l'essentiel des défauts de câblage : MODULE_NOT_FOUND signifie « le fichier n'existe pas », tandis que « argument handler must be a function » signifie « le fichier existe mais n'exporte pas ce que l'on croit ».</w:t>
      </w:r>
    </w:p>
    <w:p>
      <w:pPr>
        <w:pStyle w:val="Heading2"/>
        <w:spacing w:after="140" w:before="300"/>
      </w:pPr>
      <w:r>
        <w:rPr>
          <w:rFonts w:ascii="Calibri" w:cs="Calibri" w:eastAsia="Calibri" w:hAnsi="Calibri"/>
          <w:b/>
          <w:bCs/>
          <w:color w:val="B45309"/>
          <w:sz w:val="25"/>
          <w:szCs w:val="25"/>
        </w:rPr>
        <w:t xml:space="preserve">B3.4 — Double montage des routes après refactoring</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Arrêt au démarrage sur une variable non définie, alors que le fichier semblait complet.</w:t>
      </w:r>
    </w:p>
    <w:p>
      <w:pPr>
        <w:shd w:fill="F3F4F6" w:color="auto" w:val="clear"/>
        <w:spacing w:after="130" w:before="60"/>
        <w:ind w:left="200"/>
      </w:pPr>
      <w:r>
        <w:rPr>
          <w:rFonts w:ascii="Consolas" w:cs="Consolas" w:eastAsia="Consolas" w:hAnsi="Consolas"/>
          <w:color w:val="991B1B"/>
          <w:sz w:val="19"/>
          <w:szCs w:val="19"/>
        </w:rPr>
        <w:t xml:space="preserve">ReferenceError: roomRoutes is not defined</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Inspection de app.js : les montages individuels de chaque routeur y subsistaient alors que le montage unifié via le sommaire avait été ajouté, et que les imports correspondants avaient été retirés.</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Refactoring appliqué à moitié : le nouveau chemin avait été introduit sans que l'ancien soit supprimé.</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Suppression complète des montages individuels et de leurs imports ; app.js ne connaît plus que le montage unique du sommaire.</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 refactoring se termine. Laisser cohabiter l'ancien et le nouveau chemin produit soit un arrêt immédiat, soit — plus grave — un fonctionnement en double qui masque les divergences jusqu'au jour où elles se manifestent.</w:t>
      </w:r>
    </w:p>
    <w:p>
      <w:pPr>
        <w:pStyle w:val="Heading2"/>
        <w:spacing w:after="140" w:before="300"/>
      </w:pPr>
      <w:r>
        <w:rPr>
          <w:rFonts w:ascii="Calibri" w:cs="Calibri" w:eastAsia="Calibri" w:hAnsi="Calibri"/>
          <w:b/>
          <w:bCs/>
          <w:color w:val="B45309"/>
          <w:sz w:val="25"/>
          <w:szCs w:val="25"/>
        </w:rPr>
        <w:t xml:space="preserve">B3.5 — Validation des entrées absente</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Aucune erreur visible : l'API acceptait des noms de salon vides, des contenus de message de taille arbitraire et des paramètres de pagination non numériques.</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Revue de couverture : comparaison des règles déclarées dans les schémas de données avec celles réellement appliquées à l'entrée HTTP.</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Les fichiers de validateurs des salons et des messages n'avaient jamais été créés.</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Création des règles de validation, avec conversion explicite des paramètres d'URL en entiers et plafonnement de la taille de page à cent éléments.</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L'absence de validation ne produit pas d'erreur : elle produit une vulnérabilité. Les paramètres transmis dans une URL sont toujours des chaînes de caractères ; leur conversion doit être explicite, faute de quoi les calculs de pagination reposent sur des coercitions implicites.</w:t>
      </w:r>
    </w:p>
    <w:p>
      <w:pPr>
        <w:pStyle w:val="Heading2"/>
        <w:spacing w:after="140" w:before="300"/>
      </w:pPr>
      <w:r>
        <w:rPr>
          <w:rFonts w:ascii="Calibri" w:cs="Calibri" w:eastAsia="Calibri" w:hAnsi="Calibri"/>
          <w:b/>
          <w:bCs/>
          <w:color w:val="B45309"/>
          <w:sz w:val="25"/>
          <w:szCs w:val="25"/>
        </w:rPr>
        <w:t xml:space="preserve">B3.6 — Domaine utilisateur inexistant</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La recherche d'utilisateurs affiche un message d'erreur dans l'interface.</w:t>
      </w:r>
    </w:p>
    <w:p>
      <w:pPr>
        <w:shd w:fill="F3F4F6" w:color="auto" w:val="clear"/>
        <w:spacing w:after="130" w:before="60"/>
        <w:ind w:left="200"/>
      </w:pPr>
      <w:r>
        <w:rPr>
          <w:rFonts w:ascii="Consolas" w:cs="Consolas" w:eastAsia="Consolas" w:hAnsi="Consolas"/>
          <w:color w:val="991B1B"/>
          <w:sz w:val="19"/>
          <w:szCs w:val="19"/>
        </w:rPr>
        <w:t xml:space="preserve">Route introuvable : GET /api/users/search?q=...</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 message provient du middleware de gestion des routes inconnues, ce qui prouve que la requête a bien atteint le serveur et traversé toute la chaîne sans preneur. Le défaut est donc un montage manquant, non un problème d'authentification.</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Le contrôleur, le routeur et les validateurs du domaine utilisateur n'avaient jamais été créés, et la ligne correspondante manquait au sommaire des routes.</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Création des trois fichiers et montage du domaine.</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Le middleware de route inconnue est un instrument de diagnostic : son déclenchement établit que le réseau, l'origine et le serveur fonctionnent, et que seul le montage est en cause.</w:t>
      </w:r>
    </w:p>
    <w:p>
      <w:pPr>
        <w:pStyle w:val="Heading2"/>
        <w:spacing w:after="140" w:before="300"/>
      </w:pPr>
      <w:r>
        <w:rPr>
          <w:rFonts w:ascii="Calibri" w:cs="Calibri" w:eastAsia="Calibri" w:hAnsi="Calibri"/>
          <w:b/>
          <w:bCs/>
          <w:color w:val="B45309"/>
          <w:sz w:val="25"/>
          <w:szCs w:val="25"/>
        </w:rPr>
        <w:t xml:space="preserve">B3.7 — Population Mongoose partielle</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Quatre symptômes distincts et simultanés dans le panneau des membres : avatars affichant un point d'interrogation, compteur indiquant zéro membre en ligne, absence du marqueur de propriétaire, et avertissements React sur l'unicité des clés de liste.</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Journalisation ponctuelle du tableau des membres côté client : celui-ci contenait des chaînes de caractères — des identifiants bruts — et non des objets utilisateur. Toutes les propriétés lues étaient donc indéfinies.</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La fonction de liste des salons ne peuplait que le propriétaire, sans les membres ; la fonction de création renvoyait le document brut issu de l'insertion, jamais peuplé.</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Ajout de la population des membres à la liste, et retour du salon complet après création.</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Tous les points d'accès qui renvoient une même entité doivent la renvoyer sous une forme identique, faute de quoi le client doit deviner au cas par cas ce qu'il a reçu. Ce cas illustre aussi qu'un défaut unique de données peut produire plusieurs symptômes visuels sans rapport apparent entre eux.</w:t>
      </w:r>
    </w:p>
    <w:p>
      <w:pPr>
        <w:pStyle w:val="Heading2"/>
        <w:spacing w:after="140" w:before="300"/>
      </w:pPr>
      <w:r>
        <w:rPr>
          <w:rFonts w:ascii="Calibri" w:cs="Calibri" w:eastAsia="Calibri" w:hAnsi="Calibri"/>
          <w:b/>
          <w:bCs/>
          <w:color w:val="B45309"/>
          <w:sz w:val="25"/>
          <w:szCs w:val="25"/>
        </w:rPr>
        <w:t xml:space="preserve">B3.8 — Route de suppression absente</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 bouton de suppression d'un salon affiche une erreur de route introuvable.</w:t>
      </w:r>
    </w:p>
    <w:p>
      <w:pPr>
        <w:shd w:fill="F3F4F6" w:color="auto" w:val="clear"/>
        <w:spacing w:after="130" w:before="60"/>
        <w:ind w:left="200"/>
      </w:pPr>
      <w:r>
        <w:rPr>
          <w:rFonts w:ascii="Consolas" w:cs="Consolas" w:eastAsia="Consolas" w:hAnsi="Consolas"/>
          <w:color w:val="991B1B"/>
          <w:sz w:val="19"/>
          <w:szCs w:val="19"/>
        </w:rPr>
        <w:t xml:space="preserve">Route introuvable : DELETE /api/rooms/:id</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 service et le contrôleur de suppression existaient ; seule la déclaration de route manquait.</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Fonctionnalité livrée en trois éléments dont le troisième — la route — n'avait pas été appliqué.</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Ajout de la route DELETE.</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Une vérification croisée systématique entre le fichier d'appel du client et le routeur serveur — chaque fonction d'appel doit avoir sa contrepartie déclarée — coûte quelques minutes et évite une succession de découvertes au cas par cas.</w:t>
      </w:r>
    </w:p>
    <w:p>
      <w:pPr>
        <w:pStyle w:val="Heading2"/>
        <w:spacing w:after="140" w:before="300"/>
      </w:pPr>
      <w:r>
        <w:rPr>
          <w:rFonts w:ascii="Calibri" w:cs="Calibri" w:eastAsia="Calibri" w:hAnsi="Calibri"/>
          <w:b/>
          <w:bCs/>
          <w:color w:val="B45309"/>
          <w:sz w:val="25"/>
          <w:szCs w:val="25"/>
        </w:rPr>
        <w:t xml:space="preserve">B3.9 — Authentification absente sur le routeur des messages</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Erreur 500 au chargement de l'historique d'une conversation, avec disparition apparente de tous les messages à l'écran.</w:t>
      </w:r>
    </w:p>
    <w:p>
      <w:pPr>
        <w:shd w:fill="F3F4F6" w:color="auto" w:val="clear"/>
        <w:spacing w:after="130" w:before="60"/>
        <w:ind w:left="200"/>
      </w:pPr>
      <w:r>
        <w:rPr>
          <w:rFonts w:ascii="Consolas" w:cs="Consolas" w:eastAsia="Consolas" w:hAnsi="Consolas"/>
          <w:color w:val="991B1B"/>
          <w:sz w:val="19"/>
          <w:szCs w:val="19"/>
        </w:rPr>
        <w:t xml:space="preserve">TypeError: Cannot read properties of undefined (reading '_id')</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La pile d'exécution montre la chaîne validation puis contrôleur, sans passage par le middleware d'authentification. Confirmation par inspection du fichier de routes : le middleware y était importé mais jamais appliqué — un import inutilisé constituant en lui-même un signal d'alerte.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L'instruction protégeant l'ensemble du routeur était absente. Le contrôleur lisait donc l'identifiant d'un utilisateur inexistant.</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Application du middleware d'authentification au routeur, puis audit des quatre routeurs du projet.</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Incident à impact de sécurité : sans cette protection, la lecture et l'écriture de messages étaient accessibles sans authentification. Le choix entre middleware global et middleware ciblé est structurant — global lorsque toutes les routes partagent la même exigence, ciblé lorsqu'elles diffèrent, comme pour l'authentification dont les routes d'inscription et de connexion doivent rester publiques.</w:t>
      </w:r>
    </w:p>
    <w:p>
      <w:pPr>
        <w:pStyle w:val="Heading2"/>
        <w:spacing w:after="140" w:before="300"/>
      </w:pPr>
      <w:r>
        <w:rPr>
          <w:rFonts w:ascii="Calibri" w:cs="Calibri" w:eastAsia="Calibri" w:hAnsi="Calibri"/>
          <w:b/>
          <w:bCs/>
          <w:color w:val="B45309"/>
          <w:sz w:val="25"/>
          <w:szCs w:val="25"/>
        </w:rPr>
        <w:t xml:space="preserve">B3.10 — Erreur silencieusement absorbée côté client</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Listes de salons et de conversations vides, sans message ni erreur, donnant l'impression d'une perte de données.</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Inspection de la gestion d'erreur du contexte : un bloc de capture vide absorbait toute exception, y compris celles provenant du réseau ou d'une variable non définie.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Un gestionnaire de rejet réduit à une fonction vide, initialement destiné à éviter un arrêt de l'interface.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Journalisation explicite de l'erreur en développement, tout en conservant le repli sur une liste vide.</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Une erreur absorbée est une erreur qui devient invisible. La robustesse consiste à empêcher l'arrêt de l'application, non à masquer la cause. Ce défaut a directement rallongé le diagnostic de deux autres incidents.</w:t>
      </w:r>
    </w:p>
    <w:p>
      <w:pPr>
        <w:pStyle w:val="Heading2"/>
        <w:spacing w:after="140" w:before="300"/>
      </w:pPr>
      <w:r>
        <w:rPr>
          <w:rFonts w:ascii="Calibri" w:cs="Calibri" w:eastAsia="Calibri" w:hAnsi="Calibri"/>
          <w:b/>
          <w:bCs/>
          <w:color w:val="B45309"/>
          <w:sz w:val="25"/>
          <w:szCs w:val="25"/>
        </w:rPr>
        <w:t xml:space="preserve">B3.11 — Incohérence de nommage entre couches</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Les listes de salons et de conversations restent vides sans explication, malgré des réponses correctes du serveur.</w:t>
      </w:r>
    </w:p>
    <w:p>
      <w:pPr>
        <w:shd w:fill="F3F4F6" w:color="auto" w:val="clear"/>
        <w:spacing w:after="130" w:before="60"/>
        <w:ind w:left="200"/>
      </w:pPr>
      <w:r>
        <w:rPr>
          <w:rFonts w:ascii="Consolas" w:cs="Consolas" w:eastAsia="Consolas" w:hAnsi="Consolas"/>
          <w:color w:val="991B1B"/>
          <w:sz w:val="19"/>
          <w:szCs w:val="19"/>
        </w:rPr>
        <w:t xml:space="preserve">ReferenceError: fetchConversations is not defined</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Comparaison de l'import et de l'appel dans le contexte : la fonction était importée sous un nom et appelée sous un autre.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Divergence de nommage entre la couche d'appel et son utilisation, l'erreur étant de surcroît absorbée par le défaut B3.10 et donc invisible.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Alignement des noms.</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Ce type d'erreur est signalé par l'analyseur statique avant même l'exécution ; encore faut-il consulter les avertissements de l'éditeur après chaque modification.</w:t>
      </w:r>
    </w:p>
    <w:p>
      <w:pPr>
        <w:pStyle w:val="Heading2"/>
        <w:spacing w:after="140" w:before="300"/>
      </w:pPr>
      <w:r>
        <w:rPr>
          <w:rFonts w:ascii="Calibri" w:cs="Calibri" w:eastAsia="Calibri" w:hAnsi="Calibri"/>
          <w:b/>
          <w:bCs/>
          <w:color w:val="B45309"/>
          <w:sz w:val="25"/>
          <w:szCs w:val="25"/>
        </w:rPr>
        <w:t xml:space="preserve">B3.12 — Récursion infinie dans la couche d'appel</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Fonction s'appelant elle-même indéfiniment, et référence à un état React depuis un fichier qui n'en contient aucun.</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Lecture directe du fichier : la fonction d'appel réseau contenait le corps d'une action de contexte.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Code destiné au contexte de chat inséré par erreur dans le fichier d'appel réseau, produisant à la fois une récursion et une référence non définie.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Suppression de la fonction erronée ; l'action de mise à jour d'état demeure dans le contexte, l'appel réseau dans la couche d'API.</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Avant d'insérer un fragment de code, identifier la couche à laquelle il appartient. Un appel de mise à jour d'état ou un hook n'a jamais sa place dans un fichier d'appel réseau, qui ne doit connaître ni React ni l'état de l'application.</w:t>
      </w:r>
    </w:p>
    <w:p>
      <w:r>
        <w:br w:type="page"/>
      </w:r>
    </w:p>
    <w:p>
      <w:pPr>
        <w:pStyle w:val="Heading1"/>
        <w:spacing w:after="200" w:before="360"/>
      </w:pPr>
      <w:r>
        <w:rPr>
          <w:rFonts w:ascii="Calibri" w:cs="Calibri" w:eastAsia="Calibri" w:hAnsi="Calibri"/>
          <w:b/>
          <w:bCs/>
          <w:color w:val="312E81"/>
          <w:sz w:val="32"/>
          <w:szCs w:val="32"/>
        </w:rPr>
        <w:t xml:space="preserve">3. Lot B4 — Communication temps réel</w:t>
      </w:r>
    </w:p>
    <w:p>
      <w:pPr>
        <w:spacing w:after="150" w:line="300"/>
        <w:jc w:val="both"/>
      </w:pPr>
      <w:r>
        <w:rPr>
          <w:rFonts w:ascii="Calibri" w:cs="Calibri" w:eastAsia="Calibri" w:hAnsi="Calibri"/>
          <w:color w:val="1F2937"/>
          <w:sz w:val="22"/>
          <w:szCs w:val="22"/>
        </w:rPr>
        <w:t xml:space="preserve">Le lot B4 a introduit Socket.IO pour la diffusion instantanée des messages. Les anomalies de ce lot se distinguent nettement de celles du précédent : elles relèvent principalement de phénomènes de concurrence — ordre d'arrivée d'événements indépendants, cycle de vie des connexions — et non plus de câblage. Ce sont des défauts intrinsèquement plus difficiles à reproduire et à diagnostiquer, car leur manifestation dépend du minutage.</w:t>
      </w:r>
    </w:p>
    <w:p>
      <w:pPr>
        <w:pStyle w:val="Heading2"/>
        <w:spacing w:after="140" w:before="300"/>
      </w:pPr>
      <w:r>
        <w:rPr>
          <w:rFonts w:ascii="Calibri" w:cs="Calibri" w:eastAsia="Calibri" w:hAnsi="Calibri"/>
          <w:b/>
          <w:bCs/>
          <w:color w:val="B45309"/>
          <w:sz w:val="25"/>
          <w:szCs w:val="25"/>
        </w:rPr>
        <w:t xml:space="preserve">B4.1 — Échec répété de la connexion temps réel</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 client de test échoue toutes les quelques secondes avec un message répété en boucle.</w:t>
      </w:r>
    </w:p>
    <w:p>
      <w:pPr>
        <w:shd w:fill="F3F4F6" w:color="auto" w:val="clear"/>
        <w:spacing w:after="130" w:before="60"/>
        <w:ind w:left="200"/>
      </w:pPr>
      <w:r>
        <w:rPr>
          <w:rFonts w:ascii="Consolas" w:cs="Consolas" w:eastAsia="Consolas" w:hAnsi="Consolas"/>
          <w:color w:val="991B1B"/>
          <w:sz w:val="19"/>
          <w:szCs w:val="19"/>
        </w:rPr>
        <w:t xml:space="preserve">xhr poll error</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Analyse du message : « xhr poll » désigne la phase de sondage HTTP qui précède la bascule vers le protocole WebSocket ; l'échec porte donc sur la toute première requête, et non sur l'authentification. Vérification directe par appel du point d'entrée du service temps réel dans un navigateur : la réponse obtenue était celle du middleware de route inconnue.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L'instruction greffant le service temps réel sur le serveur HTTP était restée en commentaire.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Activation du greffage dans le point d'entrée du serveur.</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La réponse de la phase de sondage documente elle-même le protocole : elle annonce la bascule proposée vers WebSocket, l'intervalle de battement de cœur servant à détecter les déconnexions, et la taille maximale des trames. La répétition en boucle du message correspond au mécanisme de reconnexion automatique de la bibliothèque.</w:t>
      </w:r>
    </w:p>
    <w:p>
      <w:pPr>
        <w:pStyle w:val="Heading2"/>
        <w:spacing w:after="140" w:before="300"/>
      </w:pPr>
      <w:r>
        <w:rPr>
          <w:rFonts w:ascii="Calibri" w:cs="Calibri" w:eastAsia="Calibri" w:hAnsi="Calibri"/>
          <w:b/>
          <w:bCs/>
          <w:color w:val="B45309"/>
          <w:sz w:val="25"/>
          <w:szCs w:val="25"/>
        </w:rPr>
        <w:t xml:space="preserve">B4.2 — Rupture de contrat des hooks Mongoose</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L'envoi d'un message échoue ; l'accusé de réception renvoie une erreur et le message n'est jamais enregistré.</w:t>
      </w:r>
    </w:p>
    <w:p>
      <w:pPr>
        <w:shd w:fill="F3F4F6" w:color="auto" w:val="clear"/>
        <w:spacing w:after="130" w:before="60"/>
        <w:ind w:left="200"/>
      </w:pPr>
      <w:r>
        <w:rPr>
          <w:rFonts w:ascii="Consolas" w:cs="Consolas" w:eastAsia="Consolas" w:hAnsi="Consolas"/>
          <w:color w:val="991B1B"/>
          <w:sz w:val="19"/>
          <w:szCs w:val="19"/>
        </w:rPr>
        <w:t xml:space="preserve">TypeError: next is not a function</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La pile d'exécution traverse la bibliothèque interne d'exécution des hooks de Mongoose et s'arrête sur la ligne du hook de validation du modèle de message.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Le hook était déclaré comme fonction asynchrone tout en recevant le paramètre de continuation. Depuis Mongoose 7, ce paramètre n'est plus transmis aux fonctions asynchrones : sa valeur est indéfinie, et son appel produit l'erreur observée. Le même défaut avait déjà été corrigé sur le modèle utilisateur lors d'une phase antérieure.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Migration du hook vers le style de continuation pur, sans déclaration asynchrone, puis audit de l'ensemble des hooks des quatre modèles.</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Les ruptures de contrat entre versions majeures d'une dépendance produisent des erreurs déroutantes, car le code concerné est correct au regard de la documentation antérieure — largement reproduite dans les tutoriels en ligne. La règle applicable est exclusive : soit fonction asynchrone sans paramètre de continuation, soit fonction classique avec ce paramètre, jamais les deux.</w:t>
      </w:r>
    </w:p>
    <w:p>
      <w:pPr>
        <w:pStyle w:val="Heading2"/>
        <w:spacing w:after="140" w:before="300"/>
      </w:pPr>
      <w:r>
        <w:rPr>
          <w:rFonts w:ascii="Calibri" w:cs="Calibri" w:eastAsia="Calibri" w:hAnsi="Calibri"/>
          <w:b/>
          <w:bCs/>
          <w:color w:val="B45309"/>
          <w:sz w:val="25"/>
          <w:szCs w:val="25"/>
        </w:rPr>
        <w:t xml:space="preserve">B4.3 — Connexions temps réel dupliquées</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 journal du serveur enregistre deux connexions simultanées pour un même utilisateur, avec deux identifiants de session distincts.</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Observation du journal serveur au rechargement d'une page, comparée au comportement attendu d'une instance unique.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La fonction de déconnexion réinitialisait à nul la variable détenant l'instance unique. En mode strict de développement, React monte chaque composant deux fois pour détecter les effets mal nettoyés ; la destruction de l'instance au premier démontage entraînait la création d'une seconde connexion au remontage.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La fonction de déconnexion ferme désormais la connexion sans détruire l'instance, laquelle demeure unique pour toute la durée de vie de l'application.</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Une instance unique ne se détruit pas, elle se déconnecte. Le journal du serveur constitue l'indicateur de santé le plus fiable pour ce type de défaut : une ligne de connexion par utilisateur, jamais davantage.</w:t>
      </w:r>
    </w:p>
    <w:p>
      <w:pPr>
        <w:pStyle w:val="Heading2"/>
        <w:spacing w:after="140" w:before="300"/>
      </w:pPr>
      <w:r>
        <w:rPr>
          <w:rFonts w:ascii="Calibri" w:cs="Calibri" w:eastAsia="Calibri" w:hAnsi="Calibri"/>
          <w:b/>
          <w:bCs/>
          <w:color w:val="B45309"/>
          <w:sz w:val="25"/>
          <w:szCs w:val="25"/>
        </w:rPr>
        <w:t xml:space="preserve">B4.4 — Duplication d'affichage par concurrence entre diffusion et accusé</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Chaque message envoyé apparaît deux fois dans l'interface de son auteur, alors qu'un seul enregistrement existe en base.</w:t>
      </w:r>
    </w:p>
    <w:p>
      <w:pPr>
        <w:shd w:fill="F3F4F6" w:color="auto" w:val="clear"/>
        <w:spacing w:after="130" w:before="60"/>
        <w:ind w:left="200"/>
      </w:pPr>
      <w:r>
        <w:rPr>
          <w:rFonts w:ascii="Consolas" w:cs="Consolas" w:eastAsia="Consolas" w:hAnsi="Consolas"/>
          <w:color w:val="991B1B"/>
          <w:sz w:val="19"/>
          <w:szCs w:val="19"/>
        </w:rPr>
        <w:t xml:space="preserve">Encountered two children with the same key</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L'avertissement React indique que deux éléments portent un identifiant identique, donc que le même message figure deux fois dans l'état. Reconstitution de la séquence : le serveur diffuse le message au canal avant d'émettre l'accusé de réception à l'expéditeur, lequel reçoit donc deux copies du même message par deux voies indépendantes.</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L'affichage optimiste insère d'abord un brouillon porteur d'un identifiant temporaire. La diffusion arrivant en premier ajoutait le message définitif — la garde vérifiant la présence de l'identifiant définitif, absent puisque seul le brouillon figurait alors dans la liste. L'accusé remplaçait ensuite le brouillon par ce même message définitif, produisant deux entrées identiques.</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Le traitement de l'accusé vérifie désormais si l'identifiant définitif est déjà présent : dans l'affirmative il se limite à retirer le brouillon, sinon il effectue le remplacement classique. Les deux ordres d'arrivée sont ainsi couverts.</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Lorsque deux sources indépendantes peuvent produire la même donnée, chacune doit vérifier si l'autre est déjà passée. Une garde placée d'un seul côté ne suffit jamais. Ce défaut illustre également qu'un mécanisme peut fonctionner correctement en environnement simulé et révéler une concurrence en conditions réelles.</w:t>
      </w:r>
    </w:p>
    <w:p>
      <w:pPr>
        <w:pStyle w:val="Heading2"/>
        <w:spacing w:after="140" w:before="300"/>
      </w:pPr>
      <w:r>
        <w:rPr>
          <w:rFonts w:ascii="Calibri" w:cs="Calibri" w:eastAsia="Calibri" w:hAnsi="Calibri"/>
          <w:b/>
          <w:bCs/>
          <w:color w:val="B45309"/>
          <w:sz w:val="25"/>
          <w:szCs w:val="25"/>
        </w:rPr>
        <w:t xml:space="preserve">B4.5 — Perte des messages après reconnexion</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Après une coupure réseau et le rétablissement automatique de la connexion, l'utilisateur ne reçoit plus aucun message, sans aucune erreur apparente.</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Analyse du modèle de diffusion : les groupes de diffusion de Socket.IO sont attachés à une connexion, identifiée par une session ; une reconnexion produit une nouvelle session, dépourvue de toute appartenance.</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L'adhésion au canal n'était émise qu'au montage du composant, jamais réémise après un rétablissement de connexion.</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Réémission de l'adhésion sur l'événement de connexion, avec désabonnement au nettoyage de l'effet.</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Distinguer ce qui est attaché à la connexion de ce qui est attaché à la session applicative. Tout état maintenu côté serveur pour une connexion donnée doit être reconstitué après chaque reconnexion — défaut d'autant plus insidieux qu'il ne produit aucune erreur, seulement un silence.</w:t>
      </w:r>
    </w:p>
    <w:p>
      <w:pPr>
        <w:pStyle w:val="Heading2"/>
        <w:spacing w:after="140" w:before="300"/>
      </w:pPr>
      <w:r>
        <w:rPr>
          <w:rFonts w:ascii="Calibri" w:cs="Calibri" w:eastAsia="Calibri" w:hAnsi="Calibri"/>
          <w:b/>
          <w:bCs/>
          <w:color w:val="B45309"/>
          <w:sz w:val="25"/>
          <w:szCs w:val="25"/>
        </w:rPr>
        <w:t xml:space="preserve">B4.6 — Violation de la règle des hooks React</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Arrêt de l'interface lors d'un rechargement direct sur l'adresse d'un salon, alors que la navigation depuis la barre latérale fonctionnait normalement.</w:t>
      </w:r>
    </w:p>
    <w:p>
      <w:pPr>
        <w:shd w:fill="F3F4F6" w:color="auto" w:val="clear"/>
        <w:spacing w:after="130" w:before="60"/>
        <w:ind w:left="200"/>
      </w:pPr>
      <w:r>
        <w:rPr>
          <w:rFonts w:ascii="Consolas" w:cs="Consolas" w:eastAsia="Consolas" w:hAnsi="Consolas"/>
          <w:color w:val="991B1B"/>
          <w:sz w:val="19"/>
          <w:szCs w:val="19"/>
        </w:rPr>
        <w:t xml:space="preserve">Rendered more hooks than during the previous render</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 message de React détaille le comptage des hooks entre deux rendus successifs et désigne la ligne excédentaire. Inspection du composant : un hook de navigation était déclaré après un retour conditionnel.</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React identifie les hooks par leur ordre d'appel. Lors du premier rendu, les données n'étant pas encore chargées, le composant sortait avant d'atteindre le hook concerné ; au rendu suivant, celui-ci apparaissait, modifiant le comptage. La navigation depuis la barre latérale ne déclenchait pas le défaut, les données étant déjà en mémoire.</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Réorganisation du composant en quatre blocs successifs : hooks, données dérivées et gestionnaires, retours conditionnels, rendu principal.</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Cette structure rend la violation structurellement impossible, puisque plus aucun appel ne peut se trouver après un retour. Le fait qu'un défaut ne se manifeste que sur un chemin d'accès particulier constitue en soi une indication : il révèle une dépendance à l'état initial.</w:t>
      </w:r>
    </w:p>
    <w:p>
      <w:pPr>
        <w:pStyle w:val="Heading2"/>
        <w:spacing w:after="140" w:before="300"/>
      </w:pPr>
      <w:r>
        <w:rPr>
          <w:rFonts w:ascii="Calibri" w:cs="Calibri" w:eastAsia="Calibri" w:hAnsi="Calibri"/>
          <w:b/>
          <w:bCs/>
          <w:color w:val="B45309"/>
          <w:sz w:val="25"/>
          <w:szCs w:val="25"/>
        </w:rPr>
        <w:t xml:space="preserve">B4.7 — Imbrication conditionnelle erronée dans la barre latérale</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Trois anomalies simultanées : le bouton de nouvelle conversation disparaît lorsque tous les salons ont été rejoints, un titre de section apparaît en double, et la fenêtre modale ne s'ouvre jamais.</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Lecture de la structure du composant : le bloc de la section des conversations avait été inséré à l'intérieur du bloc conditionnel affichant les salons non rejoints, et le montage de la fenêtre modale était absent.</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Insertion au mauvais niveau d'imbrication lors de l'intégration, l'élément héritant ainsi d'une condition sans rapport avec sa fonction.</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Extraction du bloc hors de la condition, suppression du titre en double, montage de la fenêtre modale.</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Un élément d'interface ne doit jamais hériter d'une condition qui ne le concerne pas. Le cas limite — ici, l'utilisateur ayant rejoint tous les salons — révèle immédiatement ce type de défaut et mérite d'être testé systématiquement.</w:t>
      </w:r>
    </w:p>
    <w:p>
      <w:pPr>
        <w:pStyle w:val="Heading2"/>
        <w:spacing w:after="140" w:before="300"/>
      </w:pPr>
      <w:r>
        <w:rPr>
          <w:rFonts w:ascii="Calibri" w:cs="Calibri" w:eastAsia="Calibri" w:hAnsi="Calibri"/>
          <w:b/>
          <w:bCs/>
          <w:color w:val="B45309"/>
          <w:sz w:val="25"/>
          <w:szCs w:val="25"/>
        </w:rPr>
        <w:t xml:space="preserve">B4.8 — Secret présent dans un fichier de test</w:t>
      </w:r>
    </w:p>
    <w:p>
      <w:pPr>
        <w:spacing w:after="110" w:line="290"/>
        <w:ind w:left="200"/>
        <w:jc w:val="both"/>
      </w:pPr>
      <w:r>
        <w:rPr>
          <w:rFonts w:ascii="Calibri" w:cs="Calibri" w:eastAsia="Calibri" w:hAnsi="Calibri"/>
          <w:b/>
          <w:bCs/>
          <w:color w:val="1F2937"/>
          <w:sz w:val="21"/>
          <w:szCs w:val="21"/>
        </w:rPr>
        <w:t xml:space="preserve">Symptôme observé : </w:t>
      </w:r>
      <w:r>
        <w:rPr>
          <w:rFonts w:ascii="Calibri" w:cs="Calibri" w:eastAsia="Calibri" w:hAnsi="Calibri"/>
          <w:color w:val="1F2937"/>
          <w:sz w:val="21"/>
          <w:szCs w:val="21"/>
        </w:rPr>
        <w:t xml:space="preserve">Le script de validation du service temps réel contenait un jeton d'authentification valide en clair, et se trouvait placé dans le répertoire du code applicatif.</w:t>
      </w:r>
    </w:p>
    <w:p>
      <w:pPr>
        <w:spacing w:after="110" w:line="290"/>
        <w:ind w:left="200"/>
        <w:jc w:val="both"/>
      </w:pPr>
      <w:r>
        <w:rPr>
          <w:rFonts w:ascii="Calibri" w:cs="Calibri" w:eastAsia="Calibri" w:hAnsi="Calibri"/>
          <w:b/>
          <w:bCs/>
          <w:color w:val="1F2937"/>
          <w:sz w:val="21"/>
          <w:szCs w:val="21"/>
        </w:rPr>
        <w:t xml:space="preserve">Démarche de diagnostic : </w:t>
      </w:r>
      <w:r>
        <w:rPr>
          <w:rFonts w:ascii="Calibri" w:cs="Calibri" w:eastAsia="Calibri" w:hAnsi="Calibri"/>
          <w:color w:val="1F2937"/>
          <w:sz w:val="21"/>
          <w:szCs w:val="21"/>
        </w:rPr>
        <w:t xml:space="preserve">Revue avant enregistrement dans le gestionnaire de versions.</w:t>
      </w:r>
    </w:p>
    <w:p>
      <w:pPr>
        <w:spacing w:after="110" w:line="290"/>
        <w:ind w:left="200"/>
        <w:jc w:val="both"/>
      </w:pPr>
      <w:r>
        <w:rPr>
          <w:rFonts w:ascii="Calibri" w:cs="Calibri" w:eastAsia="Calibri" w:hAnsi="Calibri"/>
          <w:b/>
          <w:bCs/>
          <w:color w:val="991B1B"/>
          <w:sz w:val="21"/>
          <w:szCs w:val="21"/>
        </w:rPr>
        <w:t xml:space="preserve">Cause racine : </w:t>
      </w:r>
      <w:r>
        <w:rPr>
          <w:rFonts w:ascii="Calibri" w:cs="Calibri" w:eastAsia="Calibri" w:hAnsi="Calibri"/>
          <w:color w:val="1F2937"/>
          <w:sz w:val="21"/>
          <w:szCs w:val="21"/>
        </w:rPr>
        <w:t xml:space="preserve">Fichier de test créé au plus près du code testé, sans distinction entre code applicatif et outillage de vérification.</w:t>
      </w:r>
    </w:p>
    <w:p>
      <w:pPr>
        <w:spacing w:after="110" w:line="290"/>
        <w:ind w:left="200"/>
        <w:jc w:val="both"/>
      </w:pPr>
      <w:r>
        <w:rPr>
          <w:rFonts w:ascii="Calibri" w:cs="Calibri" w:eastAsia="Calibri" w:hAnsi="Calibri"/>
          <w:b/>
          <w:bCs/>
          <w:color w:val="166534"/>
          <w:sz w:val="21"/>
          <w:szCs w:val="21"/>
        </w:rPr>
        <w:t xml:space="preserve">Correction appliquée : </w:t>
      </w:r>
      <w:r>
        <w:rPr>
          <w:rFonts w:ascii="Calibri" w:cs="Calibri" w:eastAsia="Calibri" w:hAnsi="Calibri"/>
          <w:color w:val="1F2937"/>
          <w:sz w:val="21"/>
          <w:szCs w:val="21"/>
        </w:rPr>
        <w:t xml:space="preserve">Déplacement vers un répertoire de tests distinct et exclusion du gestionnaire de versions.</w:t>
      </w:r>
    </w:p>
    <w:p>
      <w:pPr>
        <w:spacing w:after="110" w:line="290"/>
        <w:ind w:left="200"/>
        <w:jc w:val="both"/>
      </w:pPr>
      <w:r>
        <w:rPr>
          <w:rFonts w:ascii="Calibri" w:cs="Calibri" w:eastAsia="Calibri" w:hAnsi="Calibri"/>
          <w:b/>
          <w:bCs/>
          <w:color w:val="B45309"/>
          <w:sz w:val="21"/>
          <w:szCs w:val="21"/>
        </w:rPr>
        <w:t xml:space="preserve">Leçon retenue : </w:t>
      </w:r>
      <w:r>
        <w:rPr>
          <w:rFonts w:ascii="Calibri" w:cs="Calibri" w:eastAsia="Calibri" w:hAnsi="Calibri"/>
          <w:color w:val="1F2937"/>
          <w:sz w:val="21"/>
          <w:szCs w:val="21"/>
        </w:rPr>
        <w:t xml:space="preserve">Le répertoire du code applicatif contient ce qui sera déployé en production ; l'outillage de vérification n'y a pas sa place. Un secret enregistré dans un dépôt est compromis de façon définitive, sa suppression ultérieure ne l'effaçant pas de l'historique.</w:t>
      </w:r>
    </w:p>
    <w:p>
      <w:r>
        <w:br w:type="page"/>
      </w:r>
    </w:p>
    <w:p>
      <w:pPr>
        <w:pStyle w:val="Heading1"/>
        <w:spacing w:after="200" w:before="360"/>
      </w:pPr>
      <w:r>
        <w:rPr>
          <w:rFonts w:ascii="Calibri" w:cs="Calibri" w:eastAsia="Calibri" w:hAnsi="Calibri"/>
          <w:b/>
          <w:bCs/>
          <w:color w:val="312E81"/>
          <w:sz w:val="32"/>
          <w:szCs w:val="32"/>
        </w:rPr>
        <w:t xml:space="preserve">4. Leçons transversales</w:t>
      </w:r>
    </w:p>
    <w:p>
      <w:pPr>
        <w:pStyle w:val="Heading2"/>
        <w:spacing w:after="140" w:before="300"/>
      </w:pPr>
      <w:r>
        <w:rPr>
          <w:rFonts w:ascii="Calibri" w:cs="Calibri" w:eastAsia="Calibri" w:hAnsi="Calibri"/>
          <w:b/>
          <w:bCs/>
          <w:color w:val="B45309"/>
          <w:sz w:val="25"/>
          <w:szCs w:val="25"/>
        </w:rPr>
        <w:t xml:space="preserve">4.1 Typologie des erreurs de câblage</w:t>
      </w:r>
    </w:p>
    <w:p>
      <w:pPr>
        <w:spacing w:after="150" w:line="300"/>
        <w:jc w:val="both"/>
      </w:pPr>
      <w:r>
        <w:rPr>
          <w:rFonts w:ascii="Calibri" w:cs="Calibri" w:eastAsia="Calibri" w:hAnsi="Calibri"/>
          <w:color w:val="1F2937"/>
          <w:sz w:val="22"/>
          <w:szCs w:val="22"/>
        </w:rPr>
        <w:t xml:space="preserve">Trois messages d'erreur couvrent la quasi-totalité des défauts de câblage rencontrés dans un projet Node. Les distinguer permet d'identifier la cause sans investigation :</w:t>
      </w:r>
    </w:p>
    <w:tbl>
      <w:tblPr>
        <w:tblW w:type="dxa" w:w="9360"/>
        <w:tblBorders>
          <w:top w:val="single" w:color="C7C9D9" w:sz="4"/>
          <w:left w:val="single" w:color="C7C9D9" w:sz="4"/>
          <w:bottom w:val="single" w:color="C7C9D9" w:sz="4"/>
          <w:right w:val="single" w:color="C7C9D9" w:sz="4"/>
          <w:insideH w:val="single" w:color="C7C9D9" w:sz="4"/>
          <w:insideV w:val="single" w:color="C7C9D9" w:sz="4"/>
        </w:tblBorders>
      </w:tblPr>
      <w:tblGrid>
        <w:gridCol w:w="3200"/>
        <w:gridCol w:w="3200"/>
        <w:gridCol w:w="2960"/>
      </w:tblGrid>
      <w:tr>
        <w:trPr>
          <w:tblHeader/>
        </w:trPr>
        <w:tc>
          <w:tcPr>
            <w:tcW w:type="dxa" w:w="3200"/>
            <w:shd w:fill="312E81" w:color="auto" w:val="clear"/>
            <w:tcMar>
              <w:top w:type="dxa" w:w="80"/>
              <w:left w:type="dxa" w:w="100"/>
              <w:bottom w:type="dxa" w:w="80"/>
              <w:right w:type="dxa" w:w="100"/>
            </w:tcMar>
          </w:tcPr>
          <w:p>
            <w:r>
              <w:rPr>
                <w:b/>
                <w:bCs/>
                <w:color w:val="FFFFFF"/>
                <w:sz w:val="20"/>
                <w:szCs w:val="20"/>
              </w:rPr>
              <w:t xml:space="preserve">Message</w:t>
            </w:r>
          </w:p>
        </w:tc>
        <w:tc>
          <w:tcPr>
            <w:tcW w:type="dxa" w:w="3200"/>
            <w:shd w:fill="312E81" w:color="auto" w:val="clear"/>
            <w:tcMar>
              <w:top w:type="dxa" w:w="80"/>
              <w:left w:type="dxa" w:w="100"/>
              <w:bottom w:type="dxa" w:w="80"/>
              <w:right w:type="dxa" w:w="100"/>
            </w:tcMar>
          </w:tcPr>
          <w:p>
            <w:r>
              <w:rPr>
                <w:b/>
                <w:bCs/>
                <w:color w:val="FFFFFF"/>
                <w:sz w:val="20"/>
                <w:szCs w:val="20"/>
              </w:rPr>
              <w:t xml:space="preserve">Signification</w:t>
            </w:r>
          </w:p>
        </w:tc>
        <w:tc>
          <w:tcPr>
            <w:tcW w:type="dxa" w:w="2960"/>
            <w:shd w:fill="312E81" w:color="auto" w:val="clear"/>
            <w:tcMar>
              <w:top w:type="dxa" w:w="80"/>
              <w:left w:type="dxa" w:w="100"/>
              <w:bottom w:type="dxa" w:w="80"/>
              <w:right w:type="dxa" w:w="100"/>
            </w:tcMar>
          </w:tcPr>
          <w:p>
            <w:r>
              <w:rPr>
                <w:b/>
                <w:bCs/>
                <w:color w:val="FFFFFF"/>
                <w:sz w:val="20"/>
                <w:szCs w:val="20"/>
              </w:rPr>
              <w:t xml:space="preserve">Où chercher</w:t>
            </w:r>
          </w:p>
        </w:tc>
      </w:tr>
      <w:tr>
        <w:tc>
          <w:tcPr>
            <w:tcW w:type="dxa" w:w="3200"/>
            <w:tcMar>
              <w:top w:type="dxa" w:w="60"/>
              <w:left w:type="dxa" w:w="100"/>
              <w:bottom w:type="dxa" w:w="60"/>
              <w:right w:type="dxa" w:w="100"/>
            </w:tcMar>
          </w:tcPr>
          <w:p>
            <w:r>
              <w:rPr>
                <w:color w:val="1F2937"/>
                <w:sz w:val="20"/>
                <w:szCs w:val="20"/>
              </w:rPr>
              <w:t xml:space="preserve">Cannot find module</w:t>
            </w:r>
          </w:p>
        </w:tc>
        <w:tc>
          <w:tcPr>
            <w:tcW w:type="dxa" w:w="3200"/>
            <w:tcMar>
              <w:top w:type="dxa" w:w="60"/>
              <w:left w:type="dxa" w:w="100"/>
              <w:bottom w:type="dxa" w:w="60"/>
              <w:right w:type="dxa" w:w="100"/>
            </w:tcMar>
          </w:tcPr>
          <w:p>
            <w:r>
              <w:rPr>
                <w:color w:val="1F2937"/>
                <w:sz w:val="20"/>
                <w:szCs w:val="20"/>
              </w:rPr>
              <w:t xml:space="preserve">Le fichier n'existe pas au chemin indiqué</w:t>
            </w:r>
          </w:p>
        </w:tc>
        <w:tc>
          <w:tcPr>
            <w:tcW w:type="dxa" w:w="2960"/>
            <w:tcMar>
              <w:top w:type="dxa" w:w="60"/>
              <w:left w:type="dxa" w:w="100"/>
              <w:bottom w:type="dxa" w:w="60"/>
              <w:right w:type="dxa" w:w="100"/>
            </w:tcMar>
          </w:tcPr>
          <w:p>
            <w:r>
              <w:rPr>
                <w:color w:val="1F2937"/>
                <w:sz w:val="20"/>
                <w:szCs w:val="20"/>
              </w:rPr>
              <w:t xml:space="preserve">Création du fichier, ou correction du chemin relatif</w:t>
            </w:r>
          </w:p>
        </w:tc>
      </w:tr>
      <w:tr>
        <w:tc>
          <w:tcPr>
            <w:tcW w:type="dxa" w:w="3200"/>
            <w:shd w:fill="F3F4F6" w:color="auto" w:val="clear"/>
            <w:tcMar>
              <w:top w:type="dxa" w:w="60"/>
              <w:left w:type="dxa" w:w="100"/>
              <w:bottom w:type="dxa" w:w="60"/>
              <w:right w:type="dxa" w:w="100"/>
            </w:tcMar>
          </w:tcPr>
          <w:p>
            <w:r>
              <w:rPr>
                <w:color w:val="1F2937"/>
                <w:sz w:val="20"/>
                <w:szCs w:val="20"/>
              </w:rPr>
              <w:t xml:space="preserve">argument handler must be a function</w:t>
            </w:r>
          </w:p>
        </w:tc>
        <w:tc>
          <w:tcPr>
            <w:tcW w:type="dxa" w:w="3200"/>
            <w:shd w:fill="F3F4F6" w:color="auto" w:val="clear"/>
            <w:tcMar>
              <w:top w:type="dxa" w:w="60"/>
              <w:left w:type="dxa" w:w="100"/>
              <w:bottom w:type="dxa" w:w="60"/>
              <w:right w:type="dxa" w:w="100"/>
            </w:tcMar>
          </w:tcPr>
          <w:p>
            <w:r>
              <w:rPr>
                <w:color w:val="1F2937"/>
                <w:sz w:val="20"/>
                <w:szCs w:val="20"/>
              </w:rPr>
              <w:t xml:space="preserve">Le fichier existe mais n'exporte pas ce qui est attendu</w:t>
            </w:r>
          </w:p>
        </w:tc>
        <w:tc>
          <w:tcPr>
            <w:tcW w:type="dxa" w:w="2960"/>
            <w:shd w:fill="F3F4F6" w:color="auto" w:val="clear"/>
            <w:tcMar>
              <w:top w:type="dxa" w:w="60"/>
              <w:left w:type="dxa" w:w="100"/>
              <w:bottom w:type="dxa" w:w="60"/>
              <w:right w:type="dxa" w:w="100"/>
            </w:tcMar>
          </w:tcPr>
          <w:p>
            <w:r>
              <w:rPr>
                <w:color w:val="1F2937"/>
                <w:sz w:val="20"/>
                <w:szCs w:val="20"/>
              </w:rPr>
              <w:t xml:space="preserve">L'export en fin de module</w:t>
            </w:r>
          </w:p>
        </w:tc>
      </w:tr>
      <w:tr>
        <w:tc>
          <w:tcPr>
            <w:tcW w:type="dxa" w:w="3200"/>
            <w:tcMar>
              <w:top w:type="dxa" w:w="60"/>
              <w:left w:type="dxa" w:w="100"/>
              <w:bottom w:type="dxa" w:w="60"/>
              <w:right w:type="dxa" w:w="100"/>
            </w:tcMar>
          </w:tcPr>
          <w:p>
            <w:r>
              <w:rPr>
                <w:color w:val="1F2937"/>
                <w:sz w:val="20"/>
                <w:szCs w:val="20"/>
              </w:rPr>
              <w:t xml:space="preserve">ReferenceError: x is not defined</w:t>
            </w:r>
          </w:p>
        </w:tc>
        <w:tc>
          <w:tcPr>
            <w:tcW w:type="dxa" w:w="3200"/>
            <w:tcMar>
              <w:top w:type="dxa" w:w="60"/>
              <w:left w:type="dxa" w:w="100"/>
              <w:bottom w:type="dxa" w:w="60"/>
              <w:right w:type="dxa" w:w="100"/>
            </w:tcMar>
          </w:tcPr>
          <w:p>
            <w:r>
              <w:rPr>
                <w:color w:val="1F2937"/>
                <w:sz w:val="20"/>
                <w:szCs w:val="20"/>
              </w:rPr>
              <w:t xml:space="preserve">Une variable est utilisée sans avoir été déclarée ou importée</w:t>
            </w:r>
          </w:p>
        </w:tc>
        <w:tc>
          <w:tcPr>
            <w:tcW w:type="dxa" w:w="2960"/>
            <w:tcMar>
              <w:top w:type="dxa" w:w="60"/>
              <w:left w:type="dxa" w:w="100"/>
              <w:bottom w:type="dxa" w:w="60"/>
              <w:right w:type="dxa" w:w="100"/>
            </w:tcMar>
          </w:tcPr>
          <w:p>
            <w:r>
              <w:rPr>
                <w:color w:val="1F2937"/>
                <w:sz w:val="20"/>
                <w:szCs w:val="20"/>
              </w:rPr>
              <w:t xml:space="preserve">Les imports en tête de fichier</w:t>
            </w:r>
          </w:p>
        </w:tc>
      </w:tr>
    </w:tbl>
    <w:p>
      <w:pPr>
        <w:spacing w:after="120"/>
      </w:pPr>
    </w:p>
    <w:p>
      <w:pPr>
        <w:pStyle w:val="Heading2"/>
        <w:spacing w:after="140" w:before="300"/>
      </w:pPr>
      <w:r>
        <w:rPr>
          <w:rFonts w:ascii="Calibri" w:cs="Calibri" w:eastAsia="Calibri" w:hAnsi="Calibri"/>
          <w:b/>
          <w:bCs/>
          <w:color w:val="B45309"/>
          <w:sz w:val="25"/>
          <w:szCs w:val="25"/>
        </w:rPr>
        <w:t xml:space="preserve">4.2 Défauts silencieux et défauts bruyants</w:t>
      </w:r>
    </w:p>
    <w:p>
      <w:pPr>
        <w:spacing w:after="150" w:line="300"/>
        <w:jc w:val="both"/>
      </w:pPr>
      <w:r>
        <w:rPr>
          <w:rFonts w:ascii="Calibri" w:cs="Calibri" w:eastAsia="Calibri" w:hAnsi="Calibri"/>
          <w:color w:val="1F2937"/>
          <w:sz w:val="22"/>
          <w:szCs w:val="22"/>
        </w:rPr>
        <w:t xml:space="preserve">Un défaut qui provoque un arrêt immédiat coûte quelques minutes ; un défaut silencieux peut coûter plusieurs jours. Trois incidents de ce recensement — le contrat rompu entre route et contrôleur, l'erreur absorbée dans le contexte, et la population partielle des données — n'ont produit aucune erreur technique, seulement un comportement incorrect.</w:t>
      </w:r>
    </w:p>
    <w:p>
      <w:pPr>
        <w:spacing w:after="150" w:line="300"/>
        <w:jc w:val="both"/>
      </w:pPr>
      <w:r>
        <w:rPr>
          <w:rFonts w:ascii="Calibri" w:cs="Calibri" w:eastAsia="Calibri" w:hAnsi="Calibri"/>
          <w:color w:val="1F2937"/>
          <w:sz w:val="22"/>
          <w:szCs w:val="22"/>
        </w:rPr>
        <w:t xml:space="preserve">Trois principes en découlent. Le premier consiste à échouer tôt et bruyamment : le serveur refuse de démarrer si une variable d'environnement est absente, plutôt que d'échouer à la première requête. Le deuxième consiste à ne jamais absorber une erreur sans la journaliser. Le troisième consiste à réserver les accès défensifs — chaînage optionnel et valeurs de repli — aux cas où l'absence de donnée constitue un état normal du système, et non un défaut : les employer partout revient à transformer des défauts bruyants en défauts silencieux.</w:t>
      </w:r>
    </w:p>
    <w:p>
      <w:pPr>
        <w:pStyle w:val="Heading2"/>
        <w:spacing w:after="140" w:before="300"/>
      </w:pPr>
      <w:r>
        <w:rPr>
          <w:rFonts w:ascii="Calibri" w:cs="Calibri" w:eastAsia="Calibri" w:hAnsi="Calibri"/>
          <w:b/>
          <w:bCs/>
          <w:color w:val="B45309"/>
          <w:sz w:val="25"/>
          <w:szCs w:val="25"/>
        </w:rPr>
        <w:t xml:space="preserve">4.3 Contrats entre couches</w:t>
      </w:r>
    </w:p>
    <w:p>
      <w:pPr>
        <w:spacing w:after="150" w:line="300"/>
        <w:jc w:val="both"/>
      </w:pPr>
      <w:r>
        <w:rPr>
          <w:rFonts w:ascii="Calibri" w:cs="Calibri" w:eastAsia="Calibri" w:hAnsi="Calibri"/>
          <w:color w:val="1F2937"/>
          <w:sz w:val="22"/>
          <w:szCs w:val="22"/>
        </w:rPr>
        <w:t xml:space="preserve">Sept des vingt anomalies proviennent d'une divergence entre ce qu'une couche produit et ce que la couche suivante attend. Trois contrats se sont révélés déterminants : entre une route et son contrôleur, quant aux paramètres transmis ; entre le serveur et le client, quant à la forme des entités renvoyées ; et entre les couches du frontend, quant à la responsabilité de chaque fichier.</w:t>
      </w:r>
    </w:p>
    <w:p>
      <w:pPr>
        <w:spacing w:after="150" w:line="300"/>
        <w:jc w:val="both"/>
      </w:pPr>
      <w:r>
        <w:rPr>
          <w:rFonts w:ascii="Calibri" w:cs="Calibri" w:eastAsia="Calibri" w:hAnsi="Calibri"/>
          <w:color w:val="1F2937"/>
          <w:sz w:val="22"/>
          <w:szCs w:val="22"/>
        </w:rPr>
        <w:t xml:space="preserve">La règle la plus rentable établie durant ces lots est la suivante : tous les points d'accès renvoyant une même entité doivent la renvoyer sous une forme identique. Toute exception oblige le client à des vérifications défensives qui masquent les incohérences au lieu de les révéler.</w:t>
      </w:r>
    </w:p>
    <w:p>
      <w:pPr>
        <w:pStyle w:val="Heading2"/>
        <w:spacing w:after="140" w:before="300"/>
      </w:pPr>
      <w:r>
        <w:rPr>
          <w:rFonts w:ascii="Calibri" w:cs="Calibri" w:eastAsia="Calibri" w:hAnsi="Calibri"/>
          <w:b/>
          <w:bCs/>
          <w:color w:val="B45309"/>
          <w:sz w:val="25"/>
          <w:szCs w:val="25"/>
        </w:rPr>
        <w:t xml:space="preserve">4.4 Concurrence en temps réel</w:t>
      </w:r>
    </w:p>
    <w:p>
      <w:pPr>
        <w:spacing w:after="150" w:line="300"/>
        <w:jc w:val="both"/>
      </w:pPr>
      <w:r>
        <w:rPr>
          <w:rFonts w:ascii="Calibri" w:cs="Calibri" w:eastAsia="Calibri" w:hAnsi="Calibri"/>
          <w:color w:val="1F2937"/>
          <w:sz w:val="22"/>
          <w:szCs w:val="22"/>
        </w:rPr>
        <w:t xml:space="preserve">Le passage au temps réel a introduit une catégorie d'anomalies inconnue des lots précédents : celles dont la manifestation dépend de l'ordre d'arrivée d'événements indépendants. Trois enseignements s'en dégagent.</w:t>
      </w:r>
    </w:p>
    <w:p>
      <w:pPr>
        <w:pStyle w:val="ListParagraph"/>
        <w:numPr>
          <w:ilvl w:val="0"/>
          <w:numId w:val="2"/>
        </w:numPr>
        <w:spacing w:after="100" w:line="290"/>
      </w:pPr>
      <w:r>
        <w:rPr>
          <w:color w:val="1F2937"/>
          <w:sz w:val="22"/>
          <w:szCs w:val="22"/>
        </w:rPr>
        <w:t xml:space="preserve">Lorsque plusieurs sources peuvent produire la même donnée, chacune doit vérifier si les autres l'ont déjà produite.</w:t>
      </w:r>
    </w:p>
    <w:p>
      <w:pPr>
        <w:pStyle w:val="ListParagraph"/>
        <w:numPr>
          <w:ilvl w:val="0"/>
          <w:numId w:val="2"/>
        </w:numPr>
        <w:spacing w:after="100" w:line="290"/>
      </w:pPr>
      <w:r>
        <w:rPr>
          <w:color w:val="1F2937"/>
          <w:sz w:val="22"/>
          <w:szCs w:val="22"/>
        </w:rPr>
        <w:t xml:space="preserve">Tout état maintenu par le serveur pour une connexion donnée doit être reconstitué après chaque reconnexion.</w:t>
      </w:r>
    </w:p>
    <w:p>
      <w:pPr>
        <w:pStyle w:val="ListParagraph"/>
        <w:numPr>
          <w:ilvl w:val="0"/>
          <w:numId w:val="2"/>
        </w:numPr>
        <w:spacing w:after="100" w:line="290"/>
      </w:pPr>
      <w:r>
        <w:rPr>
          <w:color w:val="1F2937"/>
          <w:sz w:val="22"/>
          <w:szCs w:val="22"/>
        </w:rPr>
        <w:t xml:space="preserve">Un mécanisme validé en environnement simulé doit être revalidé en conditions réelles : la simulation ne reproduit pas les décalages de minutage.</w:t>
      </w:r>
    </w:p>
    <w:p>
      <w:pPr>
        <w:pStyle w:val="Heading2"/>
        <w:spacing w:after="140" w:before="300"/>
      </w:pPr>
      <w:r>
        <w:rPr>
          <w:rFonts w:ascii="Calibri" w:cs="Calibri" w:eastAsia="Calibri" w:hAnsi="Calibri"/>
          <w:b/>
          <w:bCs/>
          <w:color w:val="B45309"/>
          <w:sz w:val="25"/>
          <w:szCs w:val="25"/>
        </w:rPr>
        <w:t xml:space="preserve">4.5 Dérive d'intégration</w:t>
      </w:r>
    </w:p>
    <w:p>
      <w:pPr>
        <w:spacing w:after="150" w:line="300"/>
        <w:jc w:val="both"/>
      </w:pPr>
      <w:r>
        <w:rPr>
          <w:rFonts w:ascii="Calibri" w:cs="Calibri" w:eastAsia="Calibri" w:hAnsi="Calibri"/>
          <w:color w:val="1F2937"/>
          <w:sz w:val="22"/>
          <w:szCs w:val="22"/>
        </w:rPr>
        <w:t xml:space="preserve">Plusieurs anomalies proviennent d'un écart entre le code conçu et le code effectivement appliqué : gestionnaires laissés à l'état d'ébauche, correctifs partiellement reportés, blocs insérés au mauvais niveau d'imbrication. Ce phénomène est inhérent à tout processus où la conception et l'intégration sont séparées.</w:t>
      </w:r>
    </w:p>
    <w:p>
      <w:pPr>
        <w:spacing w:after="150" w:line="300"/>
        <w:jc w:val="both"/>
      </w:pPr>
      <w:r>
        <w:rPr>
          <w:rFonts w:ascii="Calibri" w:cs="Calibri" w:eastAsia="Calibri" w:hAnsi="Calibri"/>
          <w:color w:val="1F2937"/>
          <w:sz w:val="22"/>
          <w:szCs w:val="22"/>
        </w:rPr>
        <w:t xml:space="preserve">Deux pratiques le réduisent efficacement. D'une part, le remplacement intégral d'un fichier plutôt que le report ligne à ligne des modifications, le gestionnaire de versions permettant de revenir en arrière sans risque. D'autre part, la relecture systématique des différences avant enregistrement, qui constitue une revue de code de soi-même et intercepte les instructions de débogage oubliées comme les fragments mal placés.</w:t>
      </w:r>
    </w:p>
    <w:p>
      <w:pPr>
        <w:pStyle w:val="Heading2"/>
        <w:spacing w:after="140" w:before="300"/>
      </w:pPr>
      <w:r>
        <w:rPr>
          <w:rFonts w:ascii="Calibri" w:cs="Calibri" w:eastAsia="Calibri" w:hAnsi="Calibri"/>
          <w:b/>
          <w:bCs/>
          <w:color w:val="B45309"/>
          <w:sz w:val="25"/>
          <w:szCs w:val="25"/>
        </w:rPr>
        <w:t xml:space="preserve">4.6 Sécurité découverte par l'incident</w:t>
      </w:r>
    </w:p>
    <w:p>
      <w:pPr>
        <w:spacing w:after="150" w:line="300"/>
        <w:jc w:val="both"/>
      </w:pPr>
      <w:r>
        <w:rPr>
          <w:rFonts w:ascii="Calibri" w:cs="Calibri" w:eastAsia="Calibri" w:hAnsi="Calibri"/>
          <w:color w:val="1F2937"/>
          <w:sz w:val="22"/>
          <w:szCs w:val="22"/>
        </w:rPr>
        <w:t xml:space="preserve">L'anomalie la plus significative de ce recensement — l'absence de protection sur le routeur des messages — s'est révélée par un arrêt applicatif et non par un audit. Sans cet arrêt, la lecture et l'écriture de messages seraient demeurées accessibles sans authentification, sans qu'aucun symptôme fonctionnel ne le signale.</w:t>
      </w:r>
    </w:p>
    <w:p>
      <w:pPr>
        <w:spacing w:after="150" w:line="300"/>
        <w:jc w:val="both"/>
      </w:pPr>
      <w:r>
        <w:rPr>
          <w:rFonts w:ascii="Calibri" w:cs="Calibri" w:eastAsia="Calibri" w:hAnsi="Calibri"/>
          <w:color w:val="1F2937"/>
          <w:sz w:val="22"/>
          <w:szCs w:val="22"/>
        </w:rPr>
        <w:t xml:space="preserve">Deux enseignements en découlent. Un import déclaré mais inutilisé constitue un signal d'alerte et non une simple imperfection stylistique. Et la protection d'un routeur relève d'une décision explicite, à vérifier route par route : globale lorsque toutes les routes partagent la même exigence, ciblée lorsqu'elles diffèrent.</w:t>
      </w:r>
    </w:p>
    <w:p>
      <w:pPr>
        <w:pStyle w:val="Heading1"/>
        <w:spacing w:after="200" w:before="360"/>
      </w:pPr>
      <w:r>
        <w:rPr>
          <w:rFonts w:ascii="Calibri" w:cs="Calibri" w:eastAsia="Calibri" w:hAnsi="Calibri"/>
          <w:b/>
          <w:bCs/>
          <w:color w:val="312E81"/>
          <w:sz w:val="32"/>
          <w:szCs w:val="32"/>
        </w:rPr>
        <w:t xml:space="preserve">5. Conclusion</w:t>
      </w:r>
    </w:p>
    <w:p>
      <w:pPr>
        <w:spacing w:after="150" w:line="300"/>
        <w:jc w:val="both"/>
      </w:pPr>
      <w:r>
        <w:rPr>
          <w:rFonts w:ascii="Calibri" w:cs="Calibri" w:eastAsia="Calibri" w:hAnsi="Calibri"/>
          <w:color w:val="1F2937"/>
          <w:sz w:val="22"/>
          <w:szCs w:val="22"/>
        </w:rPr>
        <w:t xml:space="preserve">Les vingt anomalies recensées dans ces deux lots se répartissent en deux familles nettement distinctes. Le lot B3, consacré à l'exposition d'une API REST et à son intégration, a produit des défauts de câblage et de contrat, généralement détectés au démarrage ou au premier appel, et corrigés rapidement une fois la trace correctement lue. Le lot B4, consacré au temps réel, a produit des défauts de concurrence et de cycle de vie, dont la manifestation dépend du minutage et dont le diagnostic exige la reconstitution d'une séquence d'événements.</w:t>
      </w:r>
    </w:p>
    <w:p>
      <w:pPr>
        <w:spacing w:after="150" w:line="300"/>
        <w:jc w:val="both"/>
      </w:pPr>
      <w:r>
        <w:rPr>
          <w:rFonts w:ascii="Calibri" w:cs="Calibri" w:eastAsia="Calibri" w:hAnsi="Calibri"/>
          <w:color w:val="1F2937"/>
          <w:sz w:val="22"/>
          <w:szCs w:val="22"/>
        </w:rPr>
        <w:t xml:space="preserve">Aucune de ces anomalies n'a remis en cause les choix d'architecture établis en phase de conception. La séparation en couches a au contraire facilité les diagnostics, chaque défaut se localisant dans une couche identifiable : le câblage dans les routes, les règles métier dans les services, les contrats dans les points d'accès, le cycle de vie dans les composants d'interface.</w:t>
      </w:r>
    </w:p>
    <w:p>
      <w:pPr>
        <w:spacing w:after="150" w:line="300"/>
        <w:jc w:val="both"/>
      </w:pPr>
      <w:r>
        <w:rPr>
          <w:rFonts w:ascii="Calibri" w:cs="Calibri" w:eastAsia="Calibri" w:hAnsi="Calibri"/>
          <w:i/>
          <w:iCs/>
          <w:color w:val="1F2937"/>
          <w:sz w:val="22"/>
          <w:szCs w:val="22"/>
        </w:rPr>
        <w:t xml:space="preserve">Ce recensement constitue, au-delà de son intérêt documentaire, un instrument de travail : la majorité des incidents décrits se reconnaissent désormais à leur symptôme, sans reprise du diagnostic complet.</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Sylvestre IBOMBO GAKOSSO — GOMYCODE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ThotTalk — Journal des incidents (lots B3 et B4)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2026-07-23T11:03:26.986Z</dcterms:created>
  <dcterms:modified xsi:type="dcterms:W3CDTF">2026-07-23T11:03:27.001Z</dcterms:modified>
</cp:coreProperties>
</file>

<file path=docProps/custom.xml><?xml version="1.0" encoding="utf-8"?>
<Properties xmlns="http://schemas.openxmlformats.org/officeDocument/2006/custom-properties" xmlns:vt="http://schemas.openxmlformats.org/officeDocument/2006/docPropsVTypes"/>
</file>