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eastAsia="Microsoft YaHei" w:hAnsi="Arial"/>
          <w:b/>
          <w:bCs/>
          <w:sz w:val="48"/>
          <w:szCs w:val="48"/>
        </w:rPr>
        <w:t xml:space="preserve">数据筛选标准文档</w:t>
      </w:r>
    </w:p>
    <w:p>
      <w:pPr>
        <w:spacing w:before="200"/>
        <w:jc w:val="center"/>
      </w:pPr>
      <w:r>
        <w:rPr>
          <w:rFonts w:ascii="Arial" w:eastAsia="Microsoft YaHei" w:hAnsi="Arial"/>
          <w:sz w:val="28"/>
          <w:szCs w:val="28"/>
        </w:rPr>
        <w:t xml:space="preserve">——战争·技术·金融数据收集与筛选规范</w:t>
      </w:r>
    </w:p>
    <w:p>
      <w:pPr>
        <w:spacing w:before="800"/>
      </w:pPr>
    </w:p>
    <w:p>
      <w:pPr>
        <w:jc w:val="center"/>
      </w:pPr>
      <w:r>
        <w:rPr>
          <w:rFonts w:ascii="Arial" w:eastAsia="Microsoft YaHei" w:hAnsi="Arial"/>
          <w:sz w:val="24"/>
          <w:szCs w:val="24"/>
        </w:rPr>
        <w:t xml:space="preserve">Data Collection and Filtering Criteria</w:t>
      </w:r>
    </w:p>
    <w:p>
      <w:pPr>
        <w:spacing w:before="1600"/>
      </w:pPr>
    </w:p>
    <w:p>
      <w:pPr>
        <w:jc w:val="center"/>
      </w:pPr>
      <w:r>
        <w:rPr>
          <w:rFonts w:ascii="Arial" w:eastAsia="Microsoft YaHei" w:hAnsi="Arial"/>
          <w:sz w:val="24"/>
          <w:szCs w:val="24"/>
        </w:rPr>
        <w:t xml:space="preserve">版本：V1.0</w:t>
      </w:r>
    </w:p>
    <w:p>
      <w:pPr>
        <w:spacing w:before="100"/>
        <w:jc w:val="center"/>
      </w:pPr>
      <w:r>
        <w:rPr>
          <w:rFonts w:ascii="Arial" w:eastAsia="Microsoft YaHei" w:hAnsi="Arial"/>
          <w:sz w:val="24"/>
          <w:szCs w:val="24"/>
        </w:rPr>
        <w:t xml:space="preserve">日期：2026年5月</w:t>
      </w:r>
    </w:p>
    <w:p>
      <w:r>
        <w:br w:type="page"/>
      </w:r>
    </w:p>
    <w:p>
      <w:pPr>
        <w:pStyle w:val="Heading1"/>
      </w:pPr>
      <w:r>
        <w:t xml:space="preserve">一、数据筛选总则</w:t>
      </w:r>
    </w:p>
    <w:p>
      <w:pPr>
        <w:pStyle w:val="Heading2"/>
      </w:pPr>
      <w:r>
        <w:t xml:space="preserve">1.1 筛选原则</w:t>
      </w:r>
    </w:p>
    <w:p>
      <w:pPr>
        <w:spacing w:after="120"/>
      </w:pPr>
      <w:r>
        <w:rPr>
          <w:rFonts w:ascii="Arial" w:eastAsia="Microsoft YaHei" w:hAnsi="Arial"/>
        </w:rPr>
        <w:t xml:space="preserve">数据筛选遵循"相关性、显著性、可追溯性、可比性"四大原则，确保收集的数据能够有效支撑战争-技术-金融同构逻辑的研究目标。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**相关性原则**：数据必须与战争、技术、金融三大核心领域直接相关，能够反映三者之间的互动关系。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**显著性原则**：数据必须具有足够的影响力和代表性，能够对历史进程产生实质性影响或反映重大趋势变化。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**可追溯性原则**：数据来源必须权威可靠，具备明确的出处和验证机制，确保数据的真实性和可信度。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eastAsia="Microsoft YaHei" w:hAnsi="Arial"/>
        </w:rPr>
        <w:t xml:space="preserve">**可比性原则**：数据必须具备跨时间、跨空间的可比性，支持不同时期、不同地区的对比分析。</w:t>
      </w:r>
    </w:p>
    <w:p>
      <w:pPr>
        <w:pStyle w:val="Heading1"/>
      </w:pPr>
      <w:r>
        <w:t xml:space="preserve">二、战争数据筛选标准</w:t>
      </w:r>
    </w:p>
    <w:p>
      <w:pPr>
        <w:pStyle w:val="Heading2"/>
      </w:pPr>
      <w:r>
        <w:t xml:space="preserve">2.1 纳入标准</w:t>
      </w:r>
    </w:p>
    <w:p>
      <w:pPr>
        <w:spacing w:after="80"/>
      </w:pPr>
      <w:r>
        <w:rPr>
          <w:rFonts w:ascii="Arial" w:eastAsia="Microsoft YaHei" w:hAnsi="Arial"/>
          <w:b/>
          <w:bCs/>
        </w:rPr>
        <w:t xml:space="preserve">**2.1.1 基本纳入条件**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条件类型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具体标准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参战方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至少包含一个主权国家或具有国家行为体的政治实体（如联合国授权的维和行动）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持续时间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连续作战时间≥7天，或累计作战时间≥15天（排除零星冲突）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伤亡规模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总伤亡人数（军事+平民）≥100人，或单日伤亡≥10人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地理范围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涉及≥2个国家领土，或单国领土内影响范围≥1000平方公里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时间范围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1850年1月1日至今的战争事件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rFonts w:ascii="Arial" w:eastAsia="Microsoft YaHei" w:hAnsi="Arial"/>
          <w:b/>
          <w:bCs/>
        </w:rPr>
        <w:t xml:space="preserve">**2.1.2 战争类型分类标准**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486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战争类型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定义标准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数据收集重点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国际战争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两个或多个主权国家之间的武装冲突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参战方、战争目标、国际干预、外交斡旋、战争结果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内战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同一国家内不同政治派别、民族、宗教团体间的武装冲突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起因、意识形态、外部干预、持续时间、伤亡统计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殖民战争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殖民国家与殖民地人民之间的武装冲突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殖民动机、反抗强度、国际反应、独立进程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代理人战争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大国通过第三方进行的间接武装冲突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支持方、代理方、战略目标、资源投入、战争结果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混合战争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结合传统军事手段与非军事手段（网络战、信息战、经济战）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混合手段运用、技术依赖程度、国际规则影响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战争发动原因分类与影响分析</w:t>
      </w:r>
    </w:p>
    <w:p>
      <w:pPr>
        <w:spacing w:after="80"/>
      </w:pPr>
      <w:r>
        <w:rPr>
          <w:rFonts w:ascii="Arial" w:eastAsia="Microsoft YaHei" w:hAnsi="Arial"/>
          <w:b/>
          <w:bCs/>
        </w:rPr>
        <w:t xml:space="preserve">**2.2.1 发动原因分类体系**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8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原因类型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具体表现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对数据分析的影响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领土扩张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领土争端、边境冲突、资源争夺、战略要地控制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直接影响军事技术研发方向（如防御工事、武器精度），影响军费预算分配，塑造国家安全战略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意识形态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意识形态对抗、制度输出、价值观冲突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影响技术发展路径选择（如冷战时期的科技竞争），影响国际合作模式，影响金融制裁手段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经济利益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资源控制、市场争夺、经济制裁、金融利益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催生军民两用技术发展，影响投资方向，影响金融政策制定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安全威胁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预防性战争、先发制人、威慑战略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推动防御技术研发，影响军事预算结构，影响金融资源调配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国际干预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人道主义干预、维和行动、反恐行动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影响军事技术国际合作，影响国际金融机制，影响技术标准制定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rFonts w:ascii="Arial" w:eastAsia="Microsoft YaHei" w:hAnsi="Arial"/>
          <w:b/>
          <w:bCs/>
        </w:rPr>
        <w:t xml:space="preserve">**2.2.2 战争类型对数据分析的影响处理**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**分层分析策略**：根据战争类型和发动原因进行分层分析，识别不同类型战争对技术发展和金融市场的影响差异。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**交叉影响分析**：分析不同战争类型之间的交叉影响，如殖民战争如何影响后续的国际战争模式。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**时间序列分析**：分析不同类型战争的时间分布特征，识别战争周期的变化规律。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**地理空间分析**：分析不同类型战争的地理分布特征，识别地缘政治热点区域。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eastAsia="Microsoft YaHei" w:hAnsi="Arial"/>
        </w:rPr>
        <w:t xml:space="preserve">**权重调整**：根据战争类型和发动原因的重要性，为不同战争赋予不同的分析权重。</w:t>
      </w:r>
    </w:p>
    <w:p>
      <w:pPr>
        <w:pStyle w:val="Heading1"/>
      </w:pPr>
      <w:r>
        <w:t xml:space="preserve">三、技术数据筛选标准</w:t>
      </w:r>
    </w:p>
    <w:p>
      <w:pPr>
        <w:pStyle w:val="Heading2"/>
      </w:pPr>
      <w:r>
        <w:t xml:space="preserve">3.1 纳入标准</w:t>
      </w:r>
    </w:p>
    <w:p>
      <w:pPr>
        <w:spacing w:after="80"/>
      </w:pPr>
      <w:r>
        <w:rPr>
          <w:rFonts w:ascii="Arial" w:eastAsia="Microsoft YaHei" w:hAnsi="Arial"/>
          <w:b/>
          <w:bCs/>
        </w:rPr>
        <w:t xml:space="preserve">**3.1.1 基本纳入条件**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条件类型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具体标准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技术领域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军事技术、军民两用技术、战争催生技术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影响力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对战争进程产生实质性影响，或对经济社会发展产生重大影响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创新程度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具有突破性创新或重大改进，而非渐进式改良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应用范围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在≥2个国家或地区得到实际应用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时间范围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1850年1月1日至今的技术发明与应用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技术时间节点解析</w:t>
      </w:r>
    </w:p>
    <w:p>
      <w:pPr>
        <w:spacing w:after="80"/>
      </w:pPr>
      <w:r>
        <w:rPr>
          <w:rFonts w:ascii="Arial" w:eastAsia="Microsoft YaHei" w:hAnsi="Arial"/>
          <w:b/>
          <w:bCs/>
        </w:rPr>
        <w:t xml:space="preserve">**3.2.1 三个关键时间节点的定义与意义**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8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时间节点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定义标准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分析意义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发明时间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技术原理首次被验证或专利首次被授予的时间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反映技术创新的源头，识别技术突破的关键时刻，分析战争需求对技术创新的催生作用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投资时间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国家或资本开始大规模投入研发或应用的时间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反映国家战略重点和资本流向，分析资源配置决策，识别技术发展的政治经济驱动力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普及时间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技术达到广泛应用或成熟应用的时间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反映技术的社会影响和经济价值，分析技术扩散路径，评估技术的长期影响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rFonts w:ascii="Arial" w:eastAsia="Microsoft YaHei" w:hAnsi="Arial"/>
          <w:b/>
          <w:bCs/>
        </w:rPr>
        <w:t xml:space="preserve">**3.2.2 时间节点的处理策略**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**时间差分析**：计算三个时间节点之间的时间差，分析技术从发明到普及的周期变化规律。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**战争关联分析**：分析战争爆发时间与三个时间节点的关联，识别战争对技术发展的具体影响阶段。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**投资强度分析**：分析投资时间与发明时间、普及时间的关系，识别资本在技术发展中的作用模式。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**技术生命周期分析**：基于三个时间节点，构建技术的生命周期模型，分析不同类型技术的生命周期特征。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eastAsia="Microsoft YaHei" w:hAnsi="Arial"/>
        </w:rPr>
        <w:t xml:space="preserve">**跨技术比较**：比较不同技术在三个时间节点上的表现差异，识别技术发展的普遍规律和特殊模式。</w:t>
      </w:r>
    </w:p>
    <w:p>
      <w:pPr>
        <w:pStyle w:val="Heading1"/>
      </w:pPr>
      <w:r>
        <w:t xml:space="preserve">四、金融数据筛选标准</w:t>
      </w:r>
    </w:p>
    <w:p>
      <w:pPr>
        <w:pStyle w:val="Heading2"/>
      </w:pPr>
      <w:r>
        <w:t xml:space="preserve">4.1 纳入标准</w:t>
      </w:r>
    </w:p>
    <w:p>
      <w:pPr>
        <w:spacing w:after="80"/>
      </w:pPr>
      <w:r>
        <w:rPr>
          <w:rFonts w:ascii="Arial" w:eastAsia="Microsoft YaHei" w:hAnsi="Arial"/>
          <w:b/>
          <w:bCs/>
        </w:rPr>
        <w:t xml:space="preserve">**4.1.1 基本纳入条件**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条件类型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具体标准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关联性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与战争或技术发展有直接或间接关联的金融事件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规模影响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对金融市场产生显著影响，或涉及金额≥GDP的1%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政策影响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导致或反映重大金融政策变化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持续时间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影响持续≥3个月，或产生长期结构性影响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时间范围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1850年1月1日至今的金融事件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金融事件分类与筛选标准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事件类型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具体表现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筛选标准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战争融资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战争债券、国债发行、特别预算、军事贷款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发行规模≥国家年度财政收入的5%，或影响国际金融市场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金融制裁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经济制裁、资产冻结、贸易限制、金融禁运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涉及≥3个国家，或影响全球贸易额的1%以上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金融危机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银行危机、货币危机、债务危机、股市崩盘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GDP下降≥2%，或失业率上升≥5%，或影响≥3个国家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技术投资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风险投资、军工投资、科技股上市、技术并购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投资金额≥10亿美元，或影响相关行业市值≥20%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货币体系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货币改革、汇率制度变化、国际货币体系建立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影响≥5个国家，或改变全球贸易结算方式</w:t>
            </w:r>
          </w:p>
        </w:tc>
      </w:tr>
    </w:tbl>
    <w:p>
      <w:pPr>
        <w:pStyle w:val="Heading1"/>
      </w:pPr>
      <w:r>
        <w:t xml:space="preserve">五、战争时间与规模的界定标准</w:t>
      </w:r>
    </w:p>
    <w:p>
      <w:pPr>
        <w:pStyle w:val="Heading2"/>
      </w:pPr>
      <w:r>
        <w:t xml:space="preserve">5.1 时间维度界定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时间分类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时间标准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分析意义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短期战争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持续时间≤1年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影响技术发展的短期刺激，金融市场的短期波动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中期战争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持续时间1-5年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推动系统性技术变革，影响金融体系结构调整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长期战争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持续时间＞5年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重塑国家战略方向，改变技术发展路径，重构金融秩序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规模维度界定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规模分类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规模标准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分析意义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局部冲突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参战人数＜10万，伤亡＜1万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对技术发展影响有限，主要影响局部金融市场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地区性战争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参战人数10-100万，伤亡1-10万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推动区域性技术发展，影响地区金融稳定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世界大战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参战人数＞100万，伤亡＞10万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全球性技术革命，重构国际金融体系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时间与规模的交互影响分析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**时间-规模矩阵分析**：构建时间-规模二维矩阵，分析不同组合对技术发展和金融市场的影响模式。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**阈值效应分析**：识别战争时间和规模的关键阈值，超过阈值会产生质的影响。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**累积效应分析**：分析多次战争累积效应，识别战争疲劳对技术发展和金融市场的影响。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eastAsia="Microsoft YaHei" w:hAnsi="Arial"/>
        </w:rPr>
        <w:t xml:space="preserve">**滞后效应分析**：分析战争结束后技术发展和金融市场的长期影响和滞后效应。</w:t>
      </w:r>
    </w:p>
    <w:p>
      <w:pPr>
        <w:pStyle w:val="Heading1"/>
      </w:pPr>
      <w:r>
        <w:t xml:space="preserve">六、数据收集与处理流程</w:t>
      </w:r>
    </w:p>
    <w:p>
      <w:pPr>
        <w:pStyle w:val="Heading2"/>
      </w:pPr>
      <w:r>
        <w:t xml:space="preserve">6.1 数据收集流程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486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流程步骤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执行内容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质量控制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数据源筛选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选择权威数据源，建立数据源评估体系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数据源权威性评分≥8分（满分10分），建立数据源备份机制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初步收集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按照纳入标准进行初步数据收集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收集完整率≥95%，建立数据缺失记录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数据清洗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去重、标准化、格式转换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数据准确率≥98%，建立数据清洗日志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质量验证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交叉验证、专家审核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验证通过率≥95%，建立质量评估报告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数据入库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结构化存储、建立索引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数据完整性100%，建立数据更新机制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数据质量控制标准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8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质量维度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质量标准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控制措施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准确性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数据准确率≥98%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多源交叉验证，专家审核，建立错误修正机制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完整性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关键字段完整率≥95%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建立数据缺失记录，实施插值处理，标注缺失原因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一致性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数据格式统一率100%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建立数据标准字典，实施格式转换，定期检查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时效性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数据更新频率≤3个月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建立数据更新计划，设置自动提醒机制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可追溯性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数据来源记录率100%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建立数据来源档案，记录数据变更历史</w:t>
            </w:r>
          </w:p>
        </w:tc>
      </w:tr>
    </w:tbl>
    <w:p>
      <w:pPr>
        <w:pStyle w:val="Heading1"/>
      </w:pPr>
      <w:r>
        <w:t xml:space="preserve">七、数据应用与分析框架</w:t>
      </w:r>
    </w:p>
    <w:p>
      <w:pPr>
        <w:pStyle w:val="Heading2"/>
      </w:pPr>
      <w:r>
        <w:t xml:space="preserve">7.1 分析维度设计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8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分析维度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分析内容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分析方法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时间维度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战争-技术-金融的时间序列关系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时间序列分析、事件研究法、格兰杰因果检验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空间维度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地理分布与空间关联性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空间自相关分析、热点分析、地理加权回归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结构维度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网络结构与关系强度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社会网络分析、复杂网络理论、社区发现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因果维度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因果关系与影响机制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断点回归、工具变量法、双重差分法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演化维度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历史演变与路径依赖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演化经济学分析、路径依赖理论、制度变迁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分析结果应用场景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**学术研究**：为战争史、科技史、金融史研究提供数据支撑，验证理论假设。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**政策制定**：为国家安全战略、科技政策、金融政策制定提供历史经验参考。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**投资决策**：为投资者提供地缘政治风险分析和技术发展趋势判断。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**教育应用**：为历史、政治、经济等学科教学提供案例素材。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eastAsia="Microsoft YaHei" w:hAnsi="Arial"/>
        </w:rPr>
        <w:t xml:space="preserve">**公众科普**：为公众理解战争、技术与金融的关系提供直观展示。</w:t>
      </w:r>
    </w:p>
    <w:p>
      <w:pPr>
        <w:pStyle w:val="Heading1"/>
      </w:pPr>
      <w:r>
        <w:t xml:space="preserve">八、结语</w:t>
      </w:r>
    </w:p>
    <w:p>
      <w:pPr>
        <w:spacing w:after="120"/>
      </w:pPr>
      <w:r>
        <w:rPr>
          <w:rFonts w:ascii="Arial" w:eastAsia="Microsoft YaHei" w:hAnsi="Arial"/>
        </w:rPr>
        <w:t xml:space="preserve">本数据筛选标准文档为战争-技术-金融可视化分析平台提供了系统化的数据收集与筛选规范。通过明确的数据纳入标准、科学的分类体系、严格的质量控制，确保收集的数据能够有效支撑研究目标的实现。</w:t>
      </w:r>
    </w:p>
    <w:p>
      <w:pPr>
        <w:spacing w:after="120"/>
      </w:pPr>
      <w:r>
        <w:rPr>
          <w:rFonts w:ascii="Arial" w:eastAsia="Microsoft YaHei" w:hAnsi="Arial"/>
        </w:rPr>
        <w:t xml:space="preserve">特别针对您提出的三个核心问题，本标准文档提供了详细的解决方案：1）通过战争类型和发动原因的分类体系，分析不同战争对技术发展和金融市场的影响差异；2）通过时间与规模的界定标准，识别战争影响的关键阈值和累积效应；3）通过技术三个时间节点的解析，深入理解技术从发明到普及的全过程及其与战争、金融的互动关系。</w:t>
      </w:r>
    </w:p>
    <w:p>
      <w:r>
        <w:rPr>
          <w:rFonts w:ascii="Arial" w:eastAsia="Microsoft YaHei" w:hAnsi="Arial"/>
        </w:rPr>
        <w:t xml:space="preserve">这些标准将指导后续的数据收集、处理和分析工作，确保研究结果的科学性、可靠性和实用性。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</w:rP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666666"/>
        <w:sz w:val="20"/>
        <w:szCs w:val="20"/>
      </w:rPr>
      <w:t xml:space="preserve">数据筛选标准文档 - 战争·技术·金融可视化分析平台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2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2026-05-09T18:52:34.015Z</dcterms:created>
  <dcterms:modified xsi:type="dcterms:W3CDTF">2026-05-09T18:52:34.015Z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