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Website Maintenance and Support Contract</w:t>
      </w:r>
    </w:p>
    <w:p>
      <w:r>
        <w:t>This contract is between Delta Hospitality Group ("Customer") and Epsilon Web Services ("Provider") for the ongoing maintenance of the Customer's hotel booking website.</w:t>
      </w:r>
    </w:p>
    <w:p>
      <w:pPr>
        <w:pStyle w:val="Heading1"/>
      </w:pPr>
      <w:r>
        <w:t>Services</w:t>
      </w:r>
    </w:p>
    <w:p>
      <w:r>
        <w:t>The Provider shall apply security patches, update the content management system and plugins, monitor uptime, perform weekly backups and fix broken pages or booking-form errors.</w:t>
      </w:r>
    </w:p>
    <w:p>
      <w:r>
        <w:t>Critical incidents, such as the booking website being unavailable, will receive a response within two hours, 24 hours a day.</w:t>
      </w:r>
    </w:p>
    <w:p>
      <w:pPr>
        <w:pStyle w:val="Heading1"/>
      </w:pPr>
      <w:r>
        <w:t>Fees</w:t>
      </w:r>
    </w:p>
    <w:p>
      <w:r>
        <w:t>The Customer shall pay the following annual support fees, invoiced each April: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Annual fee</w:t>
            </w:r>
          </w:p>
        </w:tc>
      </w:tr>
      <w:tr>
        <w:tc>
          <w:tcPr>
            <w:tcW w:type="dxa" w:w="4320"/>
          </w:tcPr>
          <w:p>
            <w:r>
              <w:t>Hosting and monitoring</w:t>
            </w:r>
          </w:p>
        </w:tc>
        <w:tc>
          <w:tcPr>
            <w:tcW w:type="dxa" w:w="4320"/>
          </w:tcPr>
          <w:p>
            <w:r>
              <w:t>INR 1,20,000</w:t>
            </w:r>
          </w:p>
        </w:tc>
      </w:tr>
      <w:tr>
        <w:tc>
          <w:tcPr>
            <w:tcW w:type="dxa" w:w="4320"/>
          </w:tcPr>
          <w:p>
            <w:r>
              <w:t>Security updates and backups</w:t>
            </w:r>
          </w:p>
        </w:tc>
        <w:tc>
          <w:tcPr>
            <w:tcW w:type="dxa" w:w="4320"/>
          </w:tcPr>
          <w:p>
            <w:r>
              <w:t>INR 90,000</w:t>
            </w:r>
          </w:p>
        </w:tc>
      </w:tr>
      <w:tr>
        <w:tc>
          <w:tcPr>
            <w:tcW w:type="dxa" w:w="4320"/>
          </w:tcPr>
          <w:p>
            <w:r>
              <w:t>Content changes (up to 40 hours)</w:t>
            </w:r>
          </w:p>
        </w:tc>
        <w:tc>
          <w:tcPr>
            <w:tcW w:type="dxa" w:w="4320"/>
          </w:tcPr>
          <w:p>
            <w:r>
              <w:t>INR 60,000</w:t>
            </w:r>
          </w:p>
        </w:tc>
      </w:tr>
    </w:tbl>
    <w:p>
      <w:pPr>
        <w:pStyle w:val="Heading1"/>
      </w:pPr>
      <w:r>
        <w:t>Term</w:t>
      </w:r>
    </w:p>
    <w:p>
      <w:r>
        <w:t>This contract runs for twelve months and renews automatically unless either party gives forty-five days' notice before the renewal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