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2"/>
          <w:szCs w:val="42"/>
        </w:rPr>
      </w:pPr>
      <w:r w:rsidDel="00000000" w:rsidR="00000000" w:rsidRPr="00000000">
        <w:rPr>
          <w:sz w:val="42"/>
          <w:szCs w:val="42"/>
          <w:rtl w:val="0"/>
        </w:rPr>
        <w:t xml:space="preserve">Idea Suitability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idea is focused on the food related struggles of Ladywood with 11.8% of residents struggling to even access food and the next 12.4% still worry about having enough food, with almost 25% of the population having food related problems, the issue of food seemed like one of the most important problems to solve.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Due to Ladywood’s high number of both food banks and allotments building software that can utilise both of these resources was a big focus and crop connect is able to do this, it also takes into account the lower rate of digital literacy by being very simple to follow and supportive towards people less familiar with technology.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Overall for the purpose of solving key issues within Ladywood, Birmingham our idea is highly suitable making a big impact on food related issues by providing easier access to both foodbanks and allotments to not just be able to survive but actually have fresh healthy food. The scheme will also be community lead meaning it will be ran by the people for the people ensuring everyone receives their fair share within the community.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