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460520">
      <w:pPr>
        <w:spacing w:before="0" w:after="400"/>
        <w:jc w:val="center"/>
      </w:pPr>
      <w:r>
        <w:rPr>
          <w:b/>
          <w:bCs/>
          <w:color w:val="1F4E79"/>
          <w:sz w:val="44"/>
          <w:szCs w:val="44"/>
        </w:rPr>
        <w:t>Sensitivity Analysis Report</w:t>
      </w:r>
    </w:p>
    <w:p w14:paraId="40B0F28C">
      <w:pPr>
        <w:spacing w:before="0" w:after="200"/>
        <w:jc w:val="center"/>
      </w:pPr>
      <w:r>
        <w:rPr>
          <w:i/>
          <w:iCs/>
          <w:color w:val="666666"/>
          <w:sz w:val="28"/>
          <w:szCs w:val="28"/>
        </w:rPr>
        <w:t>Knowledge Graph Navigation Classification Impact Analysis</w:t>
      </w:r>
    </w:p>
    <w:p w14:paraId="2EA3A45F">
      <w:pPr>
        <w:spacing w:before="0" w:after="400"/>
        <w:jc w:val="center"/>
      </w:pPr>
      <w:r>
        <w:rPr>
          <w:rFonts w:hint="eastAsia"/>
          <w:color w:val="888888"/>
          <w:sz w:val="22"/>
          <w:szCs w:val="22"/>
        </w:rPr>
        <w:t>Revision: October 2026 | Analytic sample: N = 16,389 students; 85,815 AI interactions | Outcome: strict accuracy</w:t>
      </w:r>
    </w:p>
    <w:p w14:paraId="2ADB4CA2">
      <w:pPr>
        <w:pStyle w:val="2"/>
      </w:pPr>
      <w:r>
        <w:t>1. Executive Summary</w:t>
      </w:r>
    </w:p>
    <w:p w14:paraId="009A1176">
      <w:pPr>
        <w:spacing w:before="0" w:after="300"/>
      </w:pPr>
      <w:r>
        <w:rPr>
          <w:sz w:val="22"/>
          <w:szCs w:val="22"/>
        </w:rPr>
        <w:t xml:space="preserve">This </w:t>
      </w:r>
      <w:r>
        <w:rPr>
          <w:rFonts w:hint="eastAsia"/>
          <w:sz w:val="22"/>
          <w:szCs w:val="22"/>
        </w:rPr>
        <w:t xml:space="preserve">sensitivity analysis examines how the classification of Knowledge Graph Navigation affects the aggregate findings of the manuscript, using the strict-accuracy outcome defined in Section 3.4.1: the percentage of valid response records with is_correct = 1. Reclassifying Knowledge Graph Navigation from Process-level to Task-level reverses the aggregate correlation between the effective-feedback composite and accuracy from </w:t>
      </w:r>
      <w:r>
        <w:rPr>
          <w:rFonts w:hint="default" w:ascii="Arial Italic" w:hAnsi="Arial Italic" w:cs="Arial Italic"/>
          <w:i/>
          <w:iCs/>
          <w:sz w:val="22"/>
          <w:szCs w:val="22"/>
        </w:rPr>
        <w:t>r</w:t>
      </w:r>
      <w:r>
        <w:rPr>
          <w:rFonts w:hint="eastAsia"/>
          <w:sz w:val="22"/>
          <w:szCs w:val="22"/>
        </w:rPr>
        <w:t xml:space="preserve"> = −.103 (95% CI [−.118, −.088]) to </w:t>
      </w:r>
      <w:r>
        <w:rPr>
          <w:rFonts w:hint="default" w:ascii="Arial Italic" w:hAnsi="Arial Italic" w:cs="Arial Italic"/>
          <w:i/>
          <w:iCs/>
          <w:sz w:val="22"/>
          <w:szCs w:val="22"/>
        </w:rPr>
        <w:t>r</w:t>
      </w:r>
      <w:r>
        <w:rPr>
          <w:rFonts w:hint="eastAsia"/>
          <w:sz w:val="22"/>
          <w:szCs w:val="22"/>
        </w:rPr>
        <w:t xml:space="preserve"> = +.025 (95% CI [+.009, +.040]; Spearman ρ = +.011, 95% bootstrap CI [−.004, +.026]). The aggregate composite correlation is therefore not robust to this single classification decision. As documented in the revised manuscript, the paper's empirical claims are anchored at the feature level (KG Navigation share), with estimates varying across operationalisations, strata, and model specifications</w:t>
      </w:r>
      <w:r>
        <w:rPr>
          <w:sz w:val="22"/>
          <w:szCs w:val="22"/>
        </w:rPr>
        <w:t>.</w:t>
      </w:r>
    </w:p>
    <w:p w14:paraId="034ED315">
      <w:pPr>
        <w:pStyle w:val="2"/>
      </w:pPr>
      <w:r>
        <w:t>2. Background and Rationale</w:t>
      </w:r>
    </w:p>
    <w:p w14:paraId="511FCC67">
      <w:pPr>
        <w:pStyle w:val="5"/>
      </w:pPr>
      <w:r>
        <w:t>2.1 Original Classification</w:t>
      </w:r>
    </w:p>
    <w:p w14:paraId="4AF6CCA5">
      <w:pPr>
        <w:spacing w:before="0" w:after="200"/>
      </w:pPr>
      <w:r>
        <w:rPr>
          <w:rFonts w:hint="eastAsia"/>
          <w:sz w:val="22"/>
          <w:szCs w:val="22"/>
        </w:rPr>
        <w:t>The historical author mapping used in the primary analyses assigns AI features to Hattie–Timperley-informed categories as follows. These are author-defined operational categories, distinct from the raw coder classifications and adjudications documented in Online Resources 1 and 2</w:t>
      </w:r>
      <w:r>
        <w:rPr>
          <w:sz w:val="22"/>
          <w:szCs w:val="22"/>
        </w:rPr>
        <w:t>:</w:t>
      </w:r>
    </w:p>
    <w:p w14:paraId="2D420D8D">
      <w:pPr>
        <w:spacing w:before="0" w:after="100"/>
        <w:ind w:left="720"/>
      </w:pPr>
      <w:r>
        <w:rPr>
          <w:b/>
          <w:bCs/>
          <w:sz w:val="22"/>
          <w:szCs w:val="22"/>
        </w:rPr>
        <w:t xml:space="preserve">• Process-level: </w:t>
      </w:r>
      <w:r>
        <w:rPr>
          <w:rFonts w:hint="default" w:ascii="Arial" w:hAnsi="Arial" w:cs="Arial"/>
          <w:b w:val="0"/>
          <w:bCs w:val="0"/>
          <w:i w:val="0"/>
          <w:iCs w:val="0"/>
          <w:sz w:val="22"/>
          <w:szCs w:val="22"/>
        </w:rPr>
        <w:t>KG Navigation; From MOOCCube; From Aminer</w:t>
      </w:r>
    </w:p>
    <w:p w14:paraId="56984EA4">
      <w:pPr>
        <w:spacing w:before="0" w:after="100"/>
        <w:ind w:left="720"/>
      </w:pPr>
      <w:r>
        <w:rPr>
          <w:b/>
          <w:bCs/>
          <w:sz w:val="22"/>
          <w:szCs w:val="22"/>
        </w:rPr>
        <w:t xml:space="preserve">• Task-level: </w:t>
      </w:r>
      <w:r>
        <w:rPr>
          <w:rFonts w:hint="eastAsia"/>
          <w:b w:val="0"/>
          <w:bCs w:val="0"/>
          <w:sz w:val="22"/>
          <w:szCs w:val="22"/>
        </w:rPr>
        <w:t>Preset Q&amp;A; From Baidu; From Baike; Arithmetic Calculator; From Course Information</w:t>
      </w:r>
    </w:p>
    <w:p w14:paraId="4A534839">
      <w:pPr>
        <w:spacing w:before="0" w:after="100"/>
        <w:ind w:left="720"/>
      </w:pPr>
      <w:r>
        <w:rPr>
          <w:b/>
          <w:bCs/>
          <w:sz w:val="22"/>
          <w:szCs w:val="22"/>
        </w:rPr>
        <w:t xml:space="preserve">• Self-regulation: </w:t>
      </w:r>
      <w:r>
        <w:rPr>
          <w:rFonts w:hint="eastAsia"/>
          <w:sz w:val="22"/>
          <w:szCs w:val="22"/>
        </w:rPr>
        <w:t>From FAQ; Ask TA (Human); TA Answer Browser; Pop-up Reflection Question</w:t>
      </w:r>
    </w:p>
    <w:p w14:paraId="0A9157D1">
      <w:pPr>
        <w:spacing w:before="0" w:after="200"/>
        <w:ind w:left="720"/>
        <w:rPr>
          <w:rFonts w:hint="eastAsia"/>
          <w:sz w:val="22"/>
          <w:szCs w:val="22"/>
        </w:rPr>
      </w:pPr>
      <w:r>
        <w:rPr>
          <w:b/>
          <w:bCs/>
          <w:sz w:val="22"/>
          <w:szCs w:val="22"/>
        </w:rPr>
        <w:t xml:space="preserve">• Self-level: </w:t>
      </w:r>
      <w:r>
        <w:rPr>
          <w:rFonts w:hint="eastAsia"/>
          <w:sz w:val="22"/>
          <w:szCs w:val="22"/>
        </w:rPr>
        <w:t>Poetry Composition; From Turing Bot</w:t>
      </w:r>
    </w:p>
    <w:p w14:paraId="1DCD0727">
      <w:pPr>
        <w:spacing w:before="0" w:after="200"/>
        <w:ind w:left="720"/>
        <w:rPr>
          <w:rFonts w:hint="eastAsia"/>
          <w:sz w:val="22"/>
          <w:szCs w:val="22"/>
        </w:rPr>
      </w:pPr>
      <w:r>
        <w:rPr>
          <w:b/>
          <w:bCs/>
          <w:sz w:val="22"/>
          <w:szCs w:val="22"/>
        </w:rPr>
        <w:t xml:space="preserve">• </w:t>
      </w:r>
      <w:r>
        <w:rPr>
          <w:rFonts w:hint="eastAsia"/>
          <w:b/>
          <w:bCs/>
          <w:sz w:val="22"/>
          <w:szCs w:val="22"/>
        </w:rPr>
        <w:t>Other (excluded from the composite numerator):</w:t>
      </w:r>
      <w:r>
        <w:rPr>
          <w:rFonts w:hint="eastAsia"/>
          <w:b w:val="0"/>
          <w:bCs w:val="0"/>
          <w:sz w:val="22"/>
          <w:szCs w:val="22"/>
        </w:rPr>
        <w:t xml:space="preserve"> System Cannot Answer; Inappropriate Input</w:t>
      </w:r>
    </w:p>
    <w:p w14:paraId="1FB8526A">
      <w:pPr>
        <w:pStyle w:val="5"/>
      </w:pPr>
      <w:r>
        <w:t>2.2 Classification Ambiguity</w:t>
      </w:r>
    </w:p>
    <w:p w14:paraId="64508655">
      <w:pPr>
        <w:spacing w:before="0" w:after="300"/>
      </w:pPr>
      <w:r>
        <w:rPr>
          <w:sz w:val="22"/>
          <w:szCs w:val="22"/>
        </w:rPr>
        <w:t xml:space="preserve">Knowledge Graph Navigation presents a classification boundary challenge. </w:t>
      </w:r>
      <w:r>
        <w:rPr>
          <w:rFonts w:hint="eastAsia"/>
          <w:sz w:val="22"/>
          <w:szCs w:val="22"/>
        </w:rPr>
        <w:t>While it can be viewed as Process-level feedback (enabling exploration of conceptual relationships), it can also be interpreted as Task-level support (information lookup or navigation without demonstrated deep conceptual engagement). This sensitivity analysis tests whether the aggregate association between the effective-feedback composite and accuracy is robust to this classification decision. Reassigning the category does not change the underlying KG interaction counts or feature-level usage shares</w:t>
      </w:r>
      <w:r>
        <w:rPr>
          <w:sz w:val="22"/>
          <w:szCs w:val="22"/>
        </w:rPr>
        <w:t>.</w:t>
      </w:r>
    </w:p>
    <w:p w14:paraId="07E773EC">
      <w:pPr>
        <w:pStyle w:val="2"/>
      </w:pPr>
      <w:r>
        <w:t>3. Methodology</w:t>
      </w:r>
    </w:p>
    <w:p w14:paraId="4AD01091">
      <w:pPr>
        <w:pStyle w:val="5"/>
      </w:pPr>
      <w:r>
        <w:t>3.1 Data Source</w:t>
      </w:r>
    </w:p>
    <w:p w14:paraId="74C81A9F">
      <w:pPr>
        <w:spacing w:before="0" w:after="200"/>
      </w:pPr>
      <w:r>
        <w:rPr>
          <w:rFonts w:hint="eastAsia"/>
          <w:sz w:val="22"/>
          <w:szCs w:val="22"/>
        </w:rPr>
        <w:t>Feature identification used the full AI interaction log (108,351 interactions from 21,436 users). All analyses involving accuracy use the main analytic sample (16,389 students; 85,815 AI interactions). Strict accuracy is 100 × the number of valid response records with is_correct = 1 divided by the total number of valid response records with is_correct equal to 0 or 1. The same strict-accuracy outcome is used under every feature mapping. Feature shares use each student's recorded AI interactions as the denominator, unless the mapped-only denominator check in Section 3.2 is explicitly specified</w:t>
      </w:r>
      <w:r>
        <w:rPr>
          <w:sz w:val="22"/>
          <w:szCs w:val="22"/>
        </w:rPr>
        <w:t>.</w:t>
      </w:r>
    </w:p>
    <w:p w14:paraId="6A30A9F4">
      <w:pPr>
        <w:pStyle w:val="5"/>
      </w:pPr>
      <w:r>
        <w:t xml:space="preserve">3.2 </w:t>
      </w:r>
      <w:r>
        <w:rPr>
          <w:rFonts w:hint="eastAsia"/>
        </w:rPr>
        <w:t>Classification and Other-Category Sensitivity Checks</w:t>
      </w:r>
    </w:p>
    <w:p w14:paraId="5BDD4760">
      <w:pPr>
        <w:spacing w:before="0" w:after="100"/>
      </w:pPr>
      <w:r>
        <w:rPr>
          <w:sz w:val="22"/>
          <w:szCs w:val="22"/>
        </w:rPr>
        <w:t xml:space="preserve">The </w:t>
      </w:r>
      <w:r>
        <w:rPr>
          <w:rFonts w:hint="eastAsia"/>
          <w:sz w:val="22"/>
          <w:szCs w:val="22"/>
        </w:rPr>
        <w:t>primary classification check moves Knowledge Graph Navigation, including all its label variants, from Process-level to Task-level. Historical EF% = 100 × (Process count + Self-Regulation count) / total AI interaction count. After moving KG to Task, EF% = 100 × (historical Process count − KG count + historical Self-Regulation count) / total AI interaction count. Thus, the alternative composite equals historical EF% minus KG share; the denominator is unchanged</w:t>
      </w:r>
      <w:r>
        <w:rPr>
          <w:sz w:val="22"/>
          <w:szCs w:val="22"/>
        </w:rPr>
        <w:t>:</w:t>
      </w:r>
    </w:p>
    <w:p w14:paraId="13E04CF3">
      <w:pPr>
        <w:spacing w:before="0" w:after="100"/>
        <w:ind w:left="720"/>
      </w:pPr>
      <w:r>
        <w:rPr>
          <w:b/>
          <w:bCs/>
          <w:sz w:val="22"/>
          <w:szCs w:val="22"/>
        </w:rPr>
        <w:t xml:space="preserve">Original Task-level: </w:t>
      </w:r>
      <w:r>
        <w:rPr>
          <w:sz w:val="22"/>
          <w:szCs w:val="22"/>
        </w:rPr>
        <w:t>Preset Q&amp;A, Baidu search, Baike search, calculations, course info</w:t>
      </w:r>
    </w:p>
    <w:p w14:paraId="4ED22AE8">
      <w:pPr>
        <w:spacing w:before="0" w:after="100"/>
        <w:ind w:left="720"/>
      </w:pPr>
      <w:r>
        <w:rPr>
          <w:b/>
          <w:bCs/>
          <w:sz w:val="22"/>
          <w:szCs w:val="22"/>
        </w:rPr>
        <w:t xml:space="preserve">Conservative Task-level: </w:t>
      </w:r>
      <w:r>
        <w:rPr>
          <w:sz w:val="22"/>
          <w:szCs w:val="22"/>
        </w:rPr>
        <w:t>Original Task + Knowledge Graph Navigation (all variants)</w:t>
      </w:r>
    </w:p>
    <w:p w14:paraId="4B7CF889">
      <w:pPr>
        <w:spacing w:before="0" w:after="300"/>
        <w:ind w:left="720"/>
        <w:rPr>
          <w:rFonts w:hint="eastAsia" w:eastAsia="宋体"/>
          <w:sz w:val="22"/>
          <w:szCs w:val="22"/>
          <w:lang w:val="en-US" w:eastAsia="zh-CN"/>
        </w:rPr>
      </w:pPr>
      <w:r>
        <w:rPr>
          <w:rFonts w:hint="eastAsia" w:eastAsia="宋体"/>
          <w:sz w:val="22"/>
          <w:szCs w:val="22"/>
          <w:lang w:val="en-US" w:eastAsia="zh-CN"/>
        </w:rPr>
        <w:t>After moving KG to Task, the Process category contains From MOOCCube and From Aminer, together with four Baike-variant interactions retained as Process by the historical pipeline. This KG-only check changes no other historical assignments; the Baike exception is documented in Online Resource 1, Appendix A.6. System Cannot Answer and Inappropriate Input remain Other under both schemes. They account for 922 interactions in the full dataset (0.85%) and 817 in the main analytic sample (0.95%). Their interactions remain in the denominator of both composites but are excluded from the effective-feedback numerator.</w:t>
      </w:r>
    </w:p>
    <w:p w14:paraId="6DC51E26">
      <w:pPr>
        <w:spacing w:before="0" w:after="300"/>
        <w:ind w:left="720"/>
        <w:rPr>
          <w:rFonts w:hint="eastAsia" w:eastAsia="宋体"/>
          <w:sz w:val="22"/>
          <w:szCs w:val="22"/>
          <w:lang w:val="en-US" w:eastAsia="zh-CN"/>
        </w:rPr>
      </w:pPr>
      <w:r>
        <w:rPr>
          <w:rFonts w:hint="eastAsia" w:eastAsia="宋体"/>
          <w:sz w:val="22"/>
          <w:szCs w:val="22"/>
          <w:lang w:val="en-US" w:eastAsia="zh-CN"/>
        </w:rPr>
        <w:t xml:space="preserve">Table 2 also reports two separate checks of Other-category handling: the standalone historical Other share, calculated as 100 × Other count / total AI interaction count; and the historical EF share with a mapped-only denominator, calculated as 100 × (Process count + Self-Regulation count) / (total AI interaction count − Other count). The mapped-only denominator is zero for 52 students whose interactions are all Other; their values are undefined and excluded from that check, giving </w:t>
      </w:r>
      <w:r>
        <w:rPr>
          <w:rFonts w:hint="default" w:ascii="Arial Italic" w:hAnsi="Arial Italic" w:eastAsia="宋体" w:cs="Arial Italic"/>
          <w:i/>
          <w:iCs/>
          <w:sz w:val="22"/>
          <w:szCs w:val="22"/>
          <w:lang w:val="en-US" w:eastAsia="zh-CN"/>
        </w:rPr>
        <w:t>N</w:t>
      </w:r>
      <w:r>
        <w:rPr>
          <w:rFonts w:hint="eastAsia" w:eastAsia="宋体"/>
          <w:sz w:val="22"/>
          <w:szCs w:val="22"/>
          <w:lang w:val="en-US" w:eastAsia="zh-CN"/>
        </w:rPr>
        <w:t xml:space="preserve"> = 16,337. Other is not added to the effective-feedback numerator.</w:t>
      </w:r>
    </w:p>
    <w:p w14:paraId="7262F2A0">
      <w:pPr>
        <w:spacing w:before="0" w:after="300"/>
        <w:ind w:left="720"/>
        <w:rPr>
          <w:rFonts w:hint="default" w:eastAsia="宋体"/>
          <w:sz w:val="22"/>
          <w:szCs w:val="22"/>
          <w:lang w:val="en-US" w:eastAsia="zh-CN"/>
        </w:rPr>
      </w:pPr>
      <w:r>
        <w:rPr>
          <w:rFonts w:hint="eastAsia" w:eastAsia="宋体"/>
          <w:sz w:val="22"/>
          <w:szCs w:val="22"/>
          <w:lang w:val="en-US" w:eastAsia="zh-CN"/>
        </w:rPr>
        <w:t>Finally, the coder-anchored sensitivity analysis uses the original coder agreements and documented adjudications without subsequent author remapping, following the complete mapping in Online Resource 1, Appendix A.6. Under this mapping the Self-Regulation category contains no interactions, so the restored Process + Self-Regulation composite equals the restored Process share. This check changes the complete mapping and does not isolate the contribution of any single author's reassignment.</w:t>
      </w:r>
    </w:p>
    <w:p w14:paraId="6FBF087B">
      <w:pPr>
        <w:spacing w:before="0" w:after="300"/>
        <w:rPr>
          <w:rFonts w:hint="eastAsia" w:ascii="Arial" w:hAnsi="Arial" w:eastAsia="Arial" w:cs="Arial"/>
          <w:b/>
          <w:bCs/>
          <w:color w:val="2E75B6"/>
          <w:kern w:val="0"/>
          <w:sz w:val="26"/>
          <w:szCs w:val="26"/>
          <w:lang w:val="en-US" w:eastAsia="zh-CN" w:bidi="hi-IN"/>
        </w:rPr>
      </w:pPr>
      <w:r>
        <w:rPr>
          <w:rFonts w:ascii="Arial" w:hAnsi="Arial" w:eastAsia="Arial" w:cs="Arial"/>
          <w:b/>
          <w:bCs/>
          <w:color w:val="2E75B6"/>
          <w:kern w:val="0"/>
          <w:sz w:val="26"/>
          <w:szCs w:val="26"/>
          <w:lang w:val="en-US" w:eastAsia="zh-CN" w:bidi="hi-IN"/>
        </w:rPr>
        <w:t>3.</w:t>
      </w:r>
      <w:r>
        <w:rPr>
          <w:rFonts w:hint="eastAsia" w:cs="Arial"/>
          <w:b/>
          <w:bCs/>
          <w:color w:val="2E75B6"/>
          <w:kern w:val="0"/>
          <w:sz w:val="26"/>
          <w:szCs w:val="26"/>
          <w:lang w:val="en-US" w:eastAsia="zh-CN" w:bidi="hi-IN"/>
        </w:rPr>
        <w:t>3</w:t>
      </w:r>
      <w:r>
        <w:rPr>
          <w:rFonts w:ascii="Arial" w:hAnsi="Arial" w:eastAsia="Arial" w:cs="Arial"/>
          <w:b/>
          <w:bCs/>
          <w:color w:val="2E75B6"/>
          <w:kern w:val="0"/>
          <w:sz w:val="26"/>
          <w:szCs w:val="26"/>
          <w:lang w:val="en-US" w:eastAsia="zh-CN" w:bidi="hi-IN"/>
        </w:rPr>
        <w:t xml:space="preserve"> </w:t>
      </w:r>
      <w:r>
        <w:rPr>
          <w:rFonts w:hint="eastAsia" w:ascii="Arial" w:hAnsi="Arial" w:eastAsia="Arial" w:cs="Arial"/>
          <w:b/>
          <w:bCs/>
          <w:color w:val="2E75B6"/>
          <w:kern w:val="0"/>
          <w:sz w:val="26"/>
          <w:szCs w:val="26"/>
          <w:lang w:val="en-US" w:eastAsia="zh-CN" w:bidi="hi-IN"/>
        </w:rPr>
        <w:t>Performance Tertiles</w:t>
      </w:r>
    </w:p>
    <w:p w14:paraId="73679F3A">
      <w:pPr>
        <w:spacing w:before="0" w:after="300"/>
        <w:rPr>
          <w:rFonts w:hint="eastAsia"/>
          <w:sz w:val="22"/>
          <w:szCs w:val="22"/>
          <w:lang w:val="en-US" w:eastAsia="zh-CN"/>
        </w:rPr>
      </w:pPr>
      <w:r>
        <w:rPr>
          <w:rFonts w:hint="eastAsia"/>
          <w:sz w:val="22"/>
          <w:szCs w:val="22"/>
          <w:lang w:val="en-US" w:eastAsia="zh-CN"/>
        </w:rPr>
        <w:t>Students were grouped by strict accuracy using the same fixed cutpoints as the main manuscript: Low, accuracy &lt; 67.5%; Medium, 67.5% ≤ accuracy ≤ 84.0%; and High, accuracy &gt; 84.0%. The group sizes are 5,540, 5,467, and 5,382, respectively. These fixed bands approximate thirds of the distribution; they are not newly estimated exact terciles. Group membership is held fixed across the historical and KG-to-Task classifications. Because the groups are defined using the outcome itself, their contrasts are descriptive and do not establish a causal help-seeking mechanism.</w:t>
      </w:r>
    </w:p>
    <w:p w14:paraId="0EAD9978">
      <w:pPr>
        <w:pStyle w:val="2"/>
      </w:pPr>
      <w:r>
        <w:t>4. Results</w:t>
      </w:r>
    </w:p>
    <w:p w14:paraId="0AB20F23">
      <w:pPr>
        <w:pStyle w:val="5"/>
      </w:pPr>
      <w:r>
        <w:t>4.1 Knowledge Graph Navigation Prevalence</w:t>
      </w:r>
    </w:p>
    <w:p w14:paraId="78D51E52">
      <w:pPr>
        <w:spacing w:before="0" w:after="200"/>
        <w:rPr>
          <w:sz w:val="22"/>
          <w:szCs w:val="22"/>
        </w:rPr>
      </w:pPr>
      <w:r>
        <w:rPr>
          <w:sz w:val="22"/>
          <w:szCs w:val="22"/>
        </w:rPr>
        <w:t>Knowledge Graph Navigation dominates AI usage patterns in this dataset:</w:t>
      </w:r>
    </w:p>
    <w:p w14:paraId="3CA996C2">
      <w:pPr>
        <w:spacing w:before="0" w:after="200"/>
        <w:rPr>
          <w:rFonts w:hint="default" w:ascii="Arial Bold" w:hAnsi="Arial Bold" w:cs="Arial Bold"/>
          <w:b/>
          <w:bCs/>
          <w:color w:val="auto"/>
          <w:sz w:val="22"/>
          <w:szCs w:val="22"/>
        </w:rPr>
      </w:pPr>
      <w:r>
        <w:rPr>
          <w:rFonts w:hint="default" w:ascii="Arial Bold" w:hAnsi="Arial Bold" w:cs="Arial Bold"/>
          <w:b/>
          <w:bCs/>
          <w:color w:val="auto"/>
          <w:sz w:val="22"/>
          <w:szCs w:val="22"/>
        </w:rPr>
        <w:t>Table 1. Knowledge Graph Navigation Usage Statistics</w:t>
      </w:r>
    </w:p>
    <w:tbl>
      <w:tblPr>
        <w:tblStyle w:val="14"/>
        <w:tblW w:w="5000" w:type="pct"/>
        <w:tblInd w:w="0" w:type="dxa"/>
        <w:tblLayout w:type="fixed"/>
        <w:tblCellMar>
          <w:top w:w="60" w:type="dxa"/>
          <w:left w:w="100" w:type="dxa"/>
          <w:bottom w:w="60" w:type="dxa"/>
          <w:right w:w="100" w:type="dxa"/>
        </w:tblCellMar>
      </w:tblPr>
      <w:tblGrid>
        <w:gridCol w:w="4869"/>
        <w:gridCol w:w="4691"/>
      </w:tblGrid>
      <w:tr w14:paraId="4C235FF2">
        <w:tc>
          <w:tcPr>
            <w:tcW w:w="4869" w:type="dxa"/>
            <w:tcBorders>
              <w:top w:val="single" w:color="CCCCCC" w:sz="2" w:space="0"/>
              <w:left w:val="single" w:color="CCCCCC" w:sz="2" w:space="0"/>
              <w:bottom w:val="single" w:color="CCCCCC" w:sz="2" w:space="0"/>
              <w:right w:val="single" w:color="CCCCCC" w:sz="2" w:space="0"/>
            </w:tcBorders>
            <w:shd w:val="clear" w:color="auto" w:fill="024E7A" w:themeFill="accent2" w:themeFillShade="BF"/>
            <w:vAlign w:val="center"/>
          </w:tcPr>
          <w:p w14:paraId="460F1113">
            <w:pPr>
              <w:jc w:val="left"/>
            </w:pPr>
            <w:r>
              <w:rPr>
                <w:b/>
                <w:bCs/>
                <w:sz w:val="20"/>
                <w:szCs w:val="20"/>
              </w:rPr>
              <w:t>Metric</w:t>
            </w:r>
          </w:p>
        </w:tc>
        <w:tc>
          <w:tcPr>
            <w:tcW w:w="4691" w:type="dxa"/>
            <w:tcBorders>
              <w:top w:val="single" w:color="CCCCCC" w:sz="2" w:space="0"/>
              <w:left w:val="single" w:color="CCCCCC" w:sz="2" w:space="0"/>
              <w:bottom w:val="single" w:color="CCCCCC" w:sz="2" w:space="0"/>
              <w:right w:val="single" w:color="CCCCCC" w:sz="2" w:space="0"/>
            </w:tcBorders>
            <w:shd w:val="clear" w:color="auto" w:fill="024E7A" w:themeFill="accent2" w:themeFillShade="BF"/>
            <w:vAlign w:val="center"/>
          </w:tcPr>
          <w:p w14:paraId="02E9037F">
            <w:pPr>
              <w:jc w:val="center"/>
            </w:pPr>
            <w:r>
              <w:rPr>
                <w:b/>
                <w:bCs/>
                <w:sz w:val="20"/>
                <w:szCs w:val="20"/>
              </w:rPr>
              <w:t>Value</w:t>
            </w:r>
          </w:p>
        </w:tc>
      </w:tr>
      <w:tr w14:paraId="36C15E18">
        <w:tc>
          <w:tcPr>
            <w:tcW w:w="4869" w:type="dxa"/>
            <w:tcBorders>
              <w:top w:val="single" w:color="CCCCCC" w:sz="2" w:space="0"/>
              <w:left w:val="single" w:color="CCCCCC" w:sz="2" w:space="0"/>
              <w:bottom w:val="single" w:color="CCCCCC" w:sz="2" w:space="0"/>
              <w:right w:val="single" w:color="CCCCCC" w:sz="2" w:space="0"/>
            </w:tcBorders>
            <w:vAlign w:val="center"/>
          </w:tcPr>
          <w:p w14:paraId="75969A50">
            <w:pPr>
              <w:jc w:val="left"/>
            </w:pPr>
            <w:r>
              <w:rPr>
                <w:rFonts w:hint="eastAsia"/>
                <w:b w:val="0"/>
                <w:bCs w:val="0"/>
                <w:sz w:val="20"/>
                <w:szCs w:val="20"/>
              </w:rPr>
              <w:t>Mean per-student KG share of all AI interactions (</w:t>
            </w:r>
            <w:r>
              <w:rPr>
                <w:rFonts w:hint="default" w:ascii="Arial Italic" w:hAnsi="Arial Italic" w:cs="Arial Italic"/>
                <w:b w:val="0"/>
                <w:bCs w:val="0"/>
                <w:i/>
                <w:iCs/>
                <w:sz w:val="20"/>
                <w:szCs w:val="20"/>
              </w:rPr>
              <w:t>N</w:t>
            </w:r>
            <w:r>
              <w:rPr>
                <w:rFonts w:hint="eastAsia"/>
                <w:b w:val="0"/>
                <w:bCs w:val="0"/>
                <w:sz w:val="20"/>
                <w:szCs w:val="20"/>
              </w:rPr>
              <w:t xml:space="preserve"> = 16,389)</w:t>
            </w:r>
          </w:p>
        </w:tc>
        <w:tc>
          <w:tcPr>
            <w:tcW w:w="4691" w:type="dxa"/>
            <w:tcBorders>
              <w:top w:val="single" w:color="CCCCCC" w:sz="2" w:space="0"/>
              <w:left w:val="single" w:color="CCCCCC" w:sz="2" w:space="0"/>
              <w:bottom w:val="single" w:color="CCCCCC" w:sz="2" w:space="0"/>
              <w:right w:val="single" w:color="CCCCCC" w:sz="2" w:space="0"/>
            </w:tcBorders>
            <w:vAlign w:val="center"/>
          </w:tcPr>
          <w:p w14:paraId="6686D7BA">
            <w:pPr>
              <w:jc w:val="center"/>
            </w:pPr>
            <w:r>
              <w:rPr>
                <w:b w:val="0"/>
                <w:bCs w:val="0"/>
                <w:sz w:val="20"/>
                <w:szCs w:val="20"/>
              </w:rPr>
              <w:t>53.13% (</w:t>
            </w:r>
            <w:r>
              <w:rPr>
                <w:rFonts w:hint="default" w:ascii="Arial Italic" w:hAnsi="Arial Italic" w:cs="Arial Italic"/>
                <w:b w:val="0"/>
                <w:bCs w:val="0"/>
                <w:i/>
                <w:iCs/>
                <w:sz w:val="20"/>
                <w:szCs w:val="20"/>
              </w:rPr>
              <w:t>SD</w:t>
            </w:r>
            <w:r>
              <w:rPr>
                <w:b w:val="0"/>
                <w:bCs w:val="0"/>
                <w:sz w:val="20"/>
                <w:szCs w:val="20"/>
              </w:rPr>
              <w:t xml:space="preserve"> = 45.07</w:t>
            </w:r>
            <w:r>
              <w:rPr>
                <w:rFonts w:hint="eastAsia"/>
                <w:b w:val="0"/>
                <w:bCs w:val="0"/>
                <w:sz w:val="20"/>
                <w:szCs w:val="20"/>
              </w:rPr>
              <w:t xml:space="preserve"> percentage points</w:t>
            </w:r>
            <w:r>
              <w:rPr>
                <w:b w:val="0"/>
                <w:bCs w:val="0"/>
                <w:sz w:val="20"/>
                <w:szCs w:val="20"/>
              </w:rPr>
              <w:t>)</w:t>
            </w:r>
          </w:p>
        </w:tc>
      </w:tr>
      <w:tr w14:paraId="06A07E53">
        <w:tc>
          <w:tcPr>
            <w:tcW w:w="4869" w:type="dxa"/>
            <w:tcBorders>
              <w:top w:val="single" w:color="CCCCCC" w:sz="2" w:space="0"/>
              <w:left w:val="single" w:color="CCCCCC" w:sz="2" w:space="0"/>
              <w:bottom w:val="single" w:color="CCCCCC" w:sz="2" w:space="0"/>
              <w:right w:val="single" w:color="CCCCCC" w:sz="2" w:space="0"/>
            </w:tcBorders>
            <w:vAlign w:val="center"/>
          </w:tcPr>
          <w:p w14:paraId="15C0B85B">
            <w:pPr>
              <w:jc w:val="left"/>
            </w:pPr>
            <w:r>
              <w:rPr>
                <w:rFonts w:hint="eastAsia"/>
                <w:b w:val="0"/>
                <w:bCs w:val="0"/>
                <w:sz w:val="20"/>
                <w:szCs w:val="20"/>
              </w:rPr>
              <w:t>Pooled KG share of main-sample AI interactions</w:t>
            </w:r>
          </w:p>
        </w:tc>
        <w:tc>
          <w:tcPr>
            <w:tcW w:w="4691" w:type="dxa"/>
            <w:tcBorders>
              <w:top w:val="single" w:color="CCCCCC" w:sz="2" w:space="0"/>
              <w:left w:val="single" w:color="CCCCCC" w:sz="2" w:space="0"/>
              <w:bottom w:val="single" w:color="CCCCCC" w:sz="2" w:space="0"/>
              <w:right w:val="single" w:color="CCCCCC" w:sz="2" w:space="0"/>
            </w:tcBorders>
            <w:vAlign w:val="center"/>
          </w:tcPr>
          <w:p w14:paraId="673A24CA">
            <w:pPr>
              <w:jc w:val="center"/>
            </w:pPr>
            <w:r>
              <w:rPr>
                <w:rFonts w:hint="eastAsia"/>
                <w:b w:val="0"/>
                <w:bCs w:val="0"/>
                <w:sz w:val="20"/>
                <w:szCs w:val="20"/>
              </w:rPr>
              <w:t>41,848 / 85,815 = 48.77%</w:t>
            </w:r>
          </w:p>
        </w:tc>
      </w:tr>
      <w:tr w14:paraId="77CE377D">
        <w:tc>
          <w:tcPr>
            <w:tcW w:w="4869" w:type="dxa"/>
            <w:tcBorders>
              <w:top w:val="single" w:color="CCCCCC" w:sz="2" w:space="0"/>
              <w:left w:val="single" w:color="CCCCCC" w:sz="2" w:space="0"/>
              <w:bottom w:val="single" w:color="CCCCCC" w:sz="2" w:space="0"/>
              <w:right w:val="single" w:color="CCCCCC" w:sz="2" w:space="0"/>
            </w:tcBorders>
            <w:vAlign w:val="center"/>
          </w:tcPr>
          <w:p w14:paraId="1F4F4C53">
            <w:pPr>
              <w:jc w:val="left"/>
            </w:pPr>
            <w:r>
              <w:rPr>
                <w:rFonts w:hint="eastAsia"/>
                <w:b w:val="0"/>
                <w:bCs w:val="0"/>
                <w:sz w:val="20"/>
                <w:szCs w:val="20"/>
              </w:rPr>
              <w:t>Mean per-student KG share within historical Process (</w:t>
            </w:r>
            <w:r>
              <w:rPr>
                <w:rFonts w:hint="default" w:ascii="Arial Italic" w:hAnsi="Arial Italic" w:cs="Arial Italic"/>
                <w:b w:val="0"/>
                <w:bCs w:val="0"/>
                <w:i/>
                <w:iCs/>
                <w:sz w:val="20"/>
                <w:szCs w:val="20"/>
              </w:rPr>
              <w:t>N</w:t>
            </w:r>
            <w:r>
              <w:rPr>
                <w:rFonts w:hint="eastAsia"/>
                <w:b w:val="0"/>
                <w:bCs w:val="0"/>
                <w:sz w:val="20"/>
                <w:szCs w:val="20"/>
              </w:rPr>
              <w:t xml:space="preserve"> = 12,391 with Process count &gt; 0)</w:t>
            </w:r>
          </w:p>
        </w:tc>
        <w:tc>
          <w:tcPr>
            <w:tcW w:w="4691" w:type="dxa"/>
            <w:tcBorders>
              <w:top w:val="single" w:color="CCCCCC" w:sz="2" w:space="0"/>
              <w:left w:val="single" w:color="CCCCCC" w:sz="2" w:space="0"/>
              <w:bottom w:val="single" w:color="CCCCCC" w:sz="2" w:space="0"/>
              <w:right w:val="single" w:color="CCCCCC" w:sz="2" w:space="0"/>
            </w:tcBorders>
            <w:vAlign w:val="center"/>
          </w:tcPr>
          <w:p w14:paraId="784D9352">
            <w:pPr>
              <w:jc w:val="center"/>
            </w:pPr>
            <w:r>
              <w:rPr>
                <w:rFonts w:hint="eastAsia"/>
                <w:b w:val="0"/>
                <w:bCs w:val="0"/>
                <w:sz w:val="20"/>
                <w:szCs w:val="20"/>
              </w:rPr>
              <w:t>77.82% (</w:t>
            </w:r>
            <w:r>
              <w:rPr>
                <w:rFonts w:hint="default" w:ascii="Arial Italic" w:hAnsi="Arial Italic" w:cs="Arial Italic"/>
                <w:b w:val="0"/>
                <w:bCs w:val="0"/>
                <w:i/>
                <w:iCs/>
                <w:sz w:val="20"/>
                <w:szCs w:val="20"/>
              </w:rPr>
              <w:t>SD</w:t>
            </w:r>
            <w:r>
              <w:rPr>
                <w:rFonts w:hint="eastAsia"/>
                <w:b w:val="0"/>
                <w:bCs w:val="0"/>
                <w:sz w:val="20"/>
                <w:szCs w:val="20"/>
              </w:rPr>
              <w:t xml:space="preserve"> = 37.26 percentage points)</w:t>
            </w:r>
          </w:p>
        </w:tc>
      </w:tr>
      <w:tr w14:paraId="6F226099">
        <w:tc>
          <w:tcPr>
            <w:tcW w:w="4869" w:type="dxa"/>
            <w:tcBorders>
              <w:top w:val="single" w:color="CCCCCC" w:sz="2" w:space="0"/>
              <w:left w:val="single" w:color="CCCCCC" w:sz="2" w:space="0"/>
              <w:bottom w:val="single" w:color="CCCCCC" w:sz="2" w:space="0"/>
              <w:right w:val="single" w:color="CCCCCC" w:sz="2" w:space="0"/>
            </w:tcBorders>
            <w:vAlign w:val="center"/>
          </w:tcPr>
          <w:p w14:paraId="37042DE8">
            <w:pPr>
              <w:jc w:val="left"/>
            </w:pPr>
            <w:r>
              <w:rPr>
                <w:rFonts w:hint="eastAsia"/>
                <w:b w:val="0"/>
                <w:bCs w:val="0"/>
                <w:sz w:val="20"/>
                <w:szCs w:val="20"/>
              </w:rPr>
              <w:t>Median per-student KG share of all AI interactions</w:t>
            </w:r>
          </w:p>
        </w:tc>
        <w:tc>
          <w:tcPr>
            <w:tcW w:w="4691" w:type="dxa"/>
            <w:tcBorders>
              <w:top w:val="single" w:color="CCCCCC" w:sz="2" w:space="0"/>
              <w:left w:val="single" w:color="CCCCCC" w:sz="2" w:space="0"/>
              <w:bottom w:val="single" w:color="CCCCCC" w:sz="2" w:space="0"/>
              <w:right w:val="single" w:color="CCCCCC" w:sz="2" w:space="0"/>
            </w:tcBorders>
            <w:vAlign w:val="center"/>
          </w:tcPr>
          <w:p w14:paraId="79EB675D">
            <w:pPr>
              <w:jc w:val="center"/>
            </w:pPr>
            <w:r>
              <w:rPr>
                <w:rFonts w:hint="default" w:ascii="Arial Italic" w:hAnsi="Arial Italic" w:cs="Arial Italic"/>
                <w:b w:val="0"/>
                <w:bCs w:val="0"/>
                <w:i/>
                <w:iCs/>
                <w:sz w:val="20"/>
                <w:szCs w:val="20"/>
              </w:rPr>
              <w:t>63.64%</w:t>
            </w:r>
          </w:p>
        </w:tc>
      </w:tr>
      <w:tr w14:paraId="4FEEFC5B">
        <w:tc>
          <w:tcPr>
            <w:tcW w:w="4869" w:type="dxa"/>
            <w:tcBorders>
              <w:top w:val="single" w:color="CCCCCC" w:sz="2" w:space="0"/>
              <w:left w:val="single" w:color="CCCCCC" w:sz="2" w:space="0"/>
              <w:bottom w:val="single" w:color="CCCCCC" w:sz="2" w:space="0"/>
              <w:right w:val="single" w:color="CCCCCC" w:sz="2" w:space="0"/>
            </w:tcBorders>
            <w:vAlign w:val="center"/>
          </w:tcPr>
          <w:p w14:paraId="01C1AF46">
            <w:pPr>
              <w:jc w:val="left"/>
              <w:rPr>
                <w:rFonts w:hint="eastAsia"/>
                <w:b w:val="0"/>
                <w:bCs w:val="0"/>
                <w:sz w:val="20"/>
                <w:szCs w:val="20"/>
              </w:rPr>
            </w:pPr>
            <w:r>
              <w:rPr>
                <w:rFonts w:hint="eastAsia"/>
                <w:b w:val="0"/>
                <w:bCs w:val="0"/>
                <w:sz w:val="20"/>
                <w:szCs w:val="20"/>
              </w:rPr>
              <w:t>Pearson correlation of KG share with strict accuracy</w:t>
            </w:r>
          </w:p>
        </w:tc>
        <w:tc>
          <w:tcPr>
            <w:tcW w:w="4691" w:type="dxa"/>
            <w:tcBorders>
              <w:top w:val="single" w:color="CCCCCC" w:sz="2" w:space="0"/>
              <w:left w:val="single" w:color="CCCCCC" w:sz="2" w:space="0"/>
              <w:bottom w:val="single" w:color="CCCCCC" w:sz="2" w:space="0"/>
              <w:right w:val="single" w:color="CCCCCC" w:sz="2" w:space="0"/>
            </w:tcBorders>
            <w:vAlign w:val="center"/>
          </w:tcPr>
          <w:p w14:paraId="4141A8B0">
            <w:pPr>
              <w:jc w:val="center"/>
              <w:rPr>
                <w:rFonts w:hint="default" w:ascii="Arial Italic" w:hAnsi="Arial Italic" w:cs="Arial Italic"/>
                <w:b w:val="0"/>
                <w:bCs w:val="0"/>
                <w:i/>
                <w:iCs/>
                <w:sz w:val="20"/>
                <w:szCs w:val="20"/>
              </w:rPr>
            </w:pPr>
            <w:r>
              <w:rPr>
                <w:rFonts w:hint="default" w:ascii="Arial Italic" w:hAnsi="Arial Italic" w:cs="Arial Italic"/>
                <w:b w:val="0"/>
                <w:bCs w:val="0"/>
                <w:i/>
                <w:iCs/>
                <w:sz w:val="20"/>
                <w:szCs w:val="20"/>
              </w:rPr>
              <w:t>r</w:t>
            </w:r>
            <w:r>
              <w:rPr>
                <w:rFonts w:hint="default" w:ascii="Arial" w:hAnsi="Arial" w:cs="Arial"/>
                <w:b w:val="0"/>
                <w:bCs w:val="0"/>
                <w:i w:val="0"/>
                <w:iCs w:val="0"/>
                <w:sz w:val="20"/>
                <w:szCs w:val="20"/>
              </w:rPr>
              <w:t xml:space="preserve"> = −.107, 95% CI [−.122, −.092], </w:t>
            </w:r>
            <w:r>
              <w:rPr>
                <w:rFonts w:hint="default" w:ascii="Arial Italic" w:hAnsi="Arial Italic" w:cs="Arial Italic"/>
                <w:b w:val="0"/>
                <w:bCs w:val="0"/>
                <w:i/>
                <w:iCs/>
                <w:sz w:val="20"/>
                <w:szCs w:val="20"/>
              </w:rPr>
              <w:t>p</w:t>
            </w:r>
            <w:r>
              <w:rPr>
                <w:rFonts w:hint="default" w:ascii="Arial" w:hAnsi="Arial" w:cs="Arial"/>
                <w:b w:val="0"/>
                <w:bCs w:val="0"/>
                <w:i w:val="0"/>
                <w:iCs w:val="0"/>
                <w:sz w:val="20"/>
                <w:szCs w:val="20"/>
              </w:rPr>
              <w:t xml:space="preserve"> &lt; .001</w:t>
            </w:r>
          </w:p>
        </w:tc>
      </w:tr>
    </w:tbl>
    <w:p w14:paraId="53310DDE">
      <w:pPr>
        <w:spacing w:before="0" w:after="100"/>
      </w:pPr>
      <w:r>
        <w:rPr>
          <w:rFonts w:hint="eastAsia"/>
          <w:i/>
          <w:iCs/>
          <w:color w:val="666666"/>
          <w:sz w:val="20"/>
          <w:szCs w:val="20"/>
        </w:rPr>
        <w:t>Note. Means and the median are calculated across students; the pooled percentage is calculated across interaction records. The KG-within-Process ratio is undefined for students with no historical Process interactions, so only the 12,391 students with positive Process counts enter that mean and SD. These two kinds of percentage should not be interchanged.</w:t>
      </w:r>
    </w:p>
    <w:p w14:paraId="33608A8D">
      <w:pPr>
        <w:spacing w:before="0" w:after="300"/>
      </w:pPr>
    </w:p>
    <w:p w14:paraId="765155DC">
      <w:pPr>
        <w:pStyle w:val="5"/>
      </w:pPr>
      <w:r>
        <w:t>4.2 Correlation Comparison</w:t>
      </w:r>
    </w:p>
    <w:p w14:paraId="1B258FCF">
      <w:pPr>
        <w:spacing w:before="0" w:after="200"/>
        <w:rPr>
          <w:sz w:val="22"/>
          <w:szCs w:val="22"/>
        </w:rPr>
      </w:pPr>
      <w:r>
        <w:rPr>
          <w:rFonts w:hint="eastAsia"/>
          <w:sz w:val="22"/>
          <w:szCs w:val="22"/>
        </w:rPr>
        <w:t>Moving KG Navigation to Task changes the sign of the aggregate Pearson association from −.103 to +.025. Under this alternative mapping, the Pearson association is very small but statistically significant (</w:t>
      </w:r>
      <w:r>
        <w:rPr>
          <w:rFonts w:hint="default" w:ascii="Arial Italic" w:hAnsi="Arial Italic" w:cs="Arial Italic"/>
          <w:i/>
          <w:iCs/>
          <w:sz w:val="22"/>
          <w:szCs w:val="22"/>
        </w:rPr>
        <w:t>p</w:t>
      </w:r>
      <w:r>
        <w:rPr>
          <w:rFonts w:hint="eastAsia"/>
          <w:sz w:val="22"/>
          <w:szCs w:val="22"/>
        </w:rPr>
        <w:t xml:space="preserve"> = .002; BH q = .003 within the manuscript's 48-test exploratory family), whereas the Spearman association is near zero and its interval includes zero (ρ = +.011, </w:t>
      </w:r>
      <w:r>
        <w:rPr>
          <w:rFonts w:hint="default" w:ascii="Arial Italic" w:hAnsi="Arial Italic" w:cs="Arial Italic"/>
          <w:i/>
          <w:iCs/>
          <w:sz w:val="22"/>
          <w:szCs w:val="22"/>
        </w:rPr>
        <w:t>p</w:t>
      </w:r>
      <w:r>
        <w:rPr>
          <w:rFonts w:hint="eastAsia"/>
          <w:sz w:val="22"/>
          <w:szCs w:val="22"/>
        </w:rPr>
        <w:t xml:space="preserve"> = .16). The additional rows distinguish the standalone Other share, the mapped-only denominator, and the complete coder-anchored alternative; these checks answer different questions and are not interchangeable</w:t>
      </w:r>
      <w:r>
        <w:rPr>
          <w:sz w:val="22"/>
          <w:szCs w:val="22"/>
        </w:rPr>
        <w:t>:</w:t>
      </w:r>
    </w:p>
    <w:p w14:paraId="0CE3D6F9">
      <w:pPr>
        <w:keepNext/>
        <w:keepLines/>
        <w:pageBreakBefore w:val="0"/>
        <w:widowControl/>
        <w:kinsoku/>
        <w:wordWrap/>
        <w:overflowPunct/>
        <w:topLinePunct w:val="0"/>
        <w:autoSpaceDE/>
        <w:autoSpaceDN/>
        <w:bidi w:val="0"/>
        <w:adjustRightInd/>
        <w:snapToGrid/>
        <w:spacing w:before="0" w:after="200"/>
        <w:textAlignment w:val="auto"/>
        <w:rPr>
          <w:rFonts w:hint="default" w:ascii="Arial Bold" w:hAnsi="Arial Bold" w:cs="Arial Bold"/>
          <w:b/>
          <w:bCs/>
          <w:color w:val="auto"/>
          <w:sz w:val="22"/>
          <w:szCs w:val="22"/>
        </w:rPr>
      </w:pPr>
      <w:r>
        <w:rPr>
          <w:rFonts w:hint="default" w:ascii="Arial Bold" w:hAnsi="Arial Bold" w:cs="Arial Bold"/>
          <w:b/>
          <w:bCs/>
          <w:color w:val="auto"/>
          <w:sz w:val="22"/>
          <w:szCs w:val="22"/>
        </w:rPr>
        <w:t>Table 2. Correlations with Strict Accuracy under Classification and Other-Category Sensitivity Checks</w:t>
      </w:r>
    </w:p>
    <w:tbl>
      <w:tblPr>
        <w:tblStyle w:val="14"/>
        <w:tblW w:w="4994" w:type="pct"/>
        <w:tblInd w:w="0" w:type="dxa"/>
        <w:tblBorders>
          <w:top w:val="single" w:color="D7D7D7" w:themeColor="background1" w:themeShade="D8" w:sz="2" w:space="0"/>
          <w:left w:val="single" w:color="D7D7D7" w:themeColor="background1" w:themeShade="D8" w:sz="2" w:space="0"/>
          <w:bottom w:val="single" w:color="D7D7D7" w:themeColor="background1" w:themeShade="D8" w:sz="2" w:space="0"/>
          <w:right w:val="single" w:color="D7D7D7" w:themeColor="background1" w:themeShade="D8" w:sz="2" w:space="0"/>
          <w:insideH w:val="single" w:color="D7D7D7" w:themeColor="background1" w:themeShade="D8" w:sz="2" w:space="0"/>
          <w:insideV w:val="single" w:color="D7D7D7" w:themeColor="background1" w:themeShade="D8" w:sz="2" w:space="0"/>
        </w:tblBorders>
        <w:tblLayout w:type="autofit"/>
        <w:tblCellMar>
          <w:top w:w="60" w:type="dxa"/>
          <w:left w:w="100" w:type="dxa"/>
          <w:bottom w:w="60" w:type="dxa"/>
          <w:right w:w="100" w:type="dxa"/>
        </w:tblCellMar>
      </w:tblPr>
      <w:tblGrid>
        <w:gridCol w:w="2786"/>
        <w:gridCol w:w="1255"/>
        <w:gridCol w:w="2753"/>
        <w:gridCol w:w="2755"/>
      </w:tblGrid>
      <w:tr w14:paraId="5C11ED18">
        <w:tc>
          <w:tcPr>
            <w:tcW w:w="1459" w:type="pct"/>
            <w:tcBorders>
              <w:tl2br w:val="nil"/>
              <w:tr2bl w:val="nil"/>
            </w:tcBorders>
            <w:shd w:val="clear" w:color="auto" w:fill="024E7A" w:themeFill="accent2" w:themeFillShade="BF"/>
            <w:vAlign w:val="center"/>
          </w:tcPr>
          <w:p w14:paraId="6608235A">
            <w:pPr>
              <w:keepNext/>
              <w:keepLines/>
              <w:pageBreakBefore w:val="0"/>
              <w:widowControl/>
              <w:kinsoku/>
              <w:wordWrap/>
              <w:overflowPunct/>
              <w:topLinePunct w:val="0"/>
              <w:autoSpaceDE/>
              <w:autoSpaceDN/>
              <w:bidi w:val="0"/>
              <w:adjustRightInd/>
              <w:snapToGrid/>
              <w:jc w:val="left"/>
              <w:textAlignment w:val="auto"/>
              <w:rPr>
                <w:sz w:val="20"/>
                <w:szCs w:val="20"/>
              </w:rPr>
            </w:pPr>
            <w:r>
              <w:rPr>
                <w:rFonts w:hint="eastAsia"/>
                <w:sz w:val="20"/>
                <w:szCs w:val="20"/>
              </w:rPr>
              <w:t>Operationalisation</w:t>
            </w:r>
          </w:p>
        </w:tc>
        <w:tc>
          <w:tcPr>
            <w:tcW w:w="657" w:type="pct"/>
            <w:tcBorders>
              <w:tl2br w:val="nil"/>
              <w:tr2bl w:val="nil"/>
            </w:tcBorders>
            <w:shd w:val="clear" w:color="auto" w:fill="024E7A" w:themeFill="accent2" w:themeFillShade="BF"/>
            <w:vAlign w:val="center"/>
          </w:tcPr>
          <w:p w14:paraId="3D96CF1B">
            <w:pPr>
              <w:keepNext/>
              <w:keepLines/>
              <w:pageBreakBefore w:val="0"/>
              <w:widowControl/>
              <w:kinsoku/>
              <w:wordWrap/>
              <w:overflowPunct/>
              <w:topLinePunct w:val="0"/>
              <w:autoSpaceDE/>
              <w:autoSpaceDN/>
              <w:bidi w:val="0"/>
              <w:adjustRightInd/>
              <w:snapToGrid/>
              <w:jc w:val="center"/>
              <w:textAlignment w:val="auto"/>
              <w:rPr>
                <w:rFonts w:hint="eastAsia" w:eastAsia="宋体"/>
                <w:sz w:val="20"/>
                <w:szCs w:val="20"/>
                <w:lang w:eastAsia="zh-CN"/>
              </w:rPr>
            </w:pPr>
            <w:r>
              <w:rPr>
                <w:rFonts w:hint="default" w:ascii="Arial Italic" w:hAnsi="Arial Italic" w:eastAsia="宋体" w:cs="Arial Italic"/>
                <w:i/>
                <w:iCs/>
                <w:sz w:val="20"/>
                <w:szCs w:val="20"/>
                <w:lang w:val="en-US" w:eastAsia="zh-CN"/>
              </w:rPr>
              <w:t>N</w:t>
            </w:r>
          </w:p>
        </w:tc>
        <w:tc>
          <w:tcPr>
            <w:tcW w:w="1441" w:type="pct"/>
            <w:tcBorders>
              <w:tl2br w:val="nil"/>
              <w:tr2bl w:val="nil"/>
            </w:tcBorders>
            <w:shd w:val="clear" w:color="auto" w:fill="024E7A" w:themeFill="accent2" w:themeFillShade="BF"/>
            <w:vAlign w:val="center"/>
          </w:tcPr>
          <w:p w14:paraId="49D5C6E2">
            <w:pPr>
              <w:keepNext/>
              <w:keepLines/>
              <w:pageBreakBefore w:val="0"/>
              <w:widowControl/>
              <w:kinsoku/>
              <w:wordWrap/>
              <w:overflowPunct/>
              <w:topLinePunct w:val="0"/>
              <w:autoSpaceDE/>
              <w:autoSpaceDN/>
              <w:bidi w:val="0"/>
              <w:adjustRightInd/>
              <w:snapToGrid/>
              <w:jc w:val="center"/>
              <w:textAlignment w:val="auto"/>
              <w:rPr>
                <w:sz w:val="20"/>
                <w:szCs w:val="20"/>
              </w:rPr>
            </w:pPr>
            <w:r>
              <w:rPr>
                <w:rFonts w:hint="eastAsia"/>
                <w:sz w:val="20"/>
                <w:szCs w:val="20"/>
              </w:rPr>
              <w:t xml:space="preserve">Pearson </w:t>
            </w:r>
            <w:r>
              <w:rPr>
                <w:rFonts w:hint="default" w:ascii="Arial Italic" w:hAnsi="Arial Italic" w:cs="Arial Italic"/>
                <w:i/>
                <w:iCs/>
                <w:sz w:val="20"/>
                <w:szCs w:val="20"/>
              </w:rPr>
              <w:t>r</w:t>
            </w:r>
            <w:r>
              <w:rPr>
                <w:rFonts w:hint="eastAsia"/>
                <w:sz w:val="20"/>
                <w:szCs w:val="20"/>
              </w:rPr>
              <w:t xml:space="preserve"> [95% CI]</w:t>
            </w:r>
          </w:p>
        </w:tc>
        <w:tc>
          <w:tcPr>
            <w:tcW w:w="1442" w:type="pct"/>
            <w:tcBorders>
              <w:tl2br w:val="nil"/>
              <w:tr2bl w:val="nil"/>
            </w:tcBorders>
            <w:shd w:val="clear" w:color="auto" w:fill="024E7A" w:themeFill="accent2" w:themeFillShade="BF"/>
            <w:vAlign w:val="center"/>
          </w:tcPr>
          <w:p w14:paraId="277744F4">
            <w:pPr>
              <w:keepNext/>
              <w:keepLines/>
              <w:pageBreakBefore w:val="0"/>
              <w:widowControl/>
              <w:kinsoku/>
              <w:wordWrap/>
              <w:overflowPunct/>
              <w:topLinePunct w:val="0"/>
              <w:autoSpaceDE/>
              <w:autoSpaceDN/>
              <w:bidi w:val="0"/>
              <w:adjustRightInd/>
              <w:snapToGrid/>
              <w:jc w:val="center"/>
              <w:textAlignment w:val="auto"/>
              <w:rPr>
                <w:rFonts w:hint="eastAsia"/>
                <w:sz w:val="20"/>
                <w:szCs w:val="20"/>
              </w:rPr>
            </w:pPr>
            <w:r>
              <w:rPr>
                <w:rFonts w:hint="eastAsia"/>
                <w:sz w:val="20"/>
                <w:szCs w:val="20"/>
              </w:rPr>
              <w:t>Spearman ρ [95% bootstrap CI]</w:t>
            </w:r>
          </w:p>
        </w:tc>
      </w:tr>
      <w:tr w14:paraId="69D3DFD4">
        <w:tc>
          <w:tcPr>
            <w:tcW w:w="1459" w:type="pct"/>
            <w:tcBorders>
              <w:tl2br w:val="nil"/>
              <w:tr2bl w:val="nil"/>
            </w:tcBorders>
            <w:vAlign w:val="center"/>
          </w:tcPr>
          <w:p w14:paraId="438417ED">
            <w:pPr>
              <w:keepNext/>
              <w:keepLines/>
              <w:pageBreakBefore w:val="0"/>
              <w:widowControl/>
              <w:kinsoku/>
              <w:wordWrap/>
              <w:overflowPunct/>
              <w:topLinePunct w:val="0"/>
              <w:autoSpaceDE/>
              <w:autoSpaceDN/>
              <w:bidi w:val="0"/>
              <w:adjustRightInd/>
              <w:snapToGrid/>
              <w:jc w:val="left"/>
              <w:textAlignment w:val="auto"/>
              <w:rPr>
                <w:sz w:val="20"/>
                <w:szCs w:val="20"/>
              </w:rPr>
            </w:pPr>
            <w:r>
              <w:rPr>
                <w:rFonts w:hint="eastAsia"/>
                <w:sz w:val="20"/>
                <w:szCs w:val="20"/>
              </w:rPr>
              <w:t>Historical mapping (KG in Process)</w:t>
            </w:r>
          </w:p>
        </w:tc>
        <w:tc>
          <w:tcPr>
            <w:tcW w:w="657" w:type="pct"/>
            <w:tcBorders>
              <w:tl2br w:val="nil"/>
              <w:tr2bl w:val="nil"/>
            </w:tcBorders>
            <w:vAlign w:val="center"/>
          </w:tcPr>
          <w:p w14:paraId="5AF4C281">
            <w:pPr>
              <w:keepNext/>
              <w:keepLines/>
              <w:pageBreakBefore w:val="0"/>
              <w:widowControl/>
              <w:kinsoku/>
              <w:wordWrap/>
              <w:overflowPunct/>
              <w:topLinePunct w:val="0"/>
              <w:autoSpaceDE/>
              <w:autoSpaceDN/>
              <w:bidi w:val="0"/>
              <w:adjustRightInd/>
              <w:snapToGrid/>
              <w:jc w:val="center"/>
              <w:textAlignment w:val="auto"/>
              <w:rPr>
                <w:sz w:val="20"/>
                <w:szCs w:val="20"/>
              </w:rPr>
            </w:pPr>
            <w:r>
              <w:rPr>
                <w:rFonts w:hint="eastAsia"/>
                <w:sz w:val="20"/>
                <w:szCs w:val="20"/>
              </w:rPr>
              <w:t>16,389</w:t>
            </w:r>
          </w:p>
        </w:tc>
        <w:tc>
          <w:tcPr>
            <w:tcW w:w="1441" w:type="pct"/>
            <w:tcBorders>
              <w:tl2br w:val="nil"/>
              <w:tr2bl w:val="nil"/>
            </w:tcBorders>
            <w:vAlign w:val="center"/>
          </w:tcPr>
          <w:p w14:paraId="25B9EB3E">
            <w:pPr>
              <w:keepNext/>
              <w:keepLines/>
              <w:pageBreakBefore w:val="0"/>
              <w:widowControl/>
              <w:kinsoku/>
              <w:wordWrap/>
              <w:overflowPunct/>
              <w:topLinePunct w:val="0"/>
              <w:autoSpaceDE/>
              <w:autoSpaceDN/>
              <w:bidi w:val="0"/>
              <w:adjustRightInd/>
              <w:snapToGrid/>
              <w:jc w:val="center"/>
              <w:textAlignment w:val="auto"/>
              <w:rPr>
                <w:sz w:val="20"/>
                <w:szCs w:val="20"/>
              </w:rPr>
            </w:pPr>
            <w:r>
              <w:rPr>
                <w:rFonts w:hint="eastAsia"/>
                <w:sz w:val="20"/>
                <w:szCs w:val="20"/>
              </w:rPr>
              <w:t>−.103 [−.118, −.088]</w:t>
            </w:r>
          </w:p>
        </w:tc>
        <w:tc>
          <w:tcPr>
            <w:tcW w:w="1442" w:type="pct"/>
            <w:tcBorders>
              <w:tl2br w:val="nil"/>
              <w:tr2bl w:val="nil"/>
            </w:tcBorders>
            <w:vAlign w:val="center"/>
          </w:tcPr>
          <w:p w14:paraId="724DC581">
            <w:pPr>
              <w:keepNext/>
              <w:keepLines/>
              <w:pageBreakBefore w:val="0"/>
              <w:widowControl/>
              <w:kinsoku/>
              <w:wordWrap/>
              <w:overflowPunct/>
              <w:topLinePunct w:val="0"/>
              <w:autoSpaceDE/>
              <w:autoSpaceDN/>
              <w:bidi w:val="0"/>
              <w:adjustRightInd/>
              <w:snapToGrid/>
              <w:jc w:val="center"/>
              <w:textAlignment w:val="auto"/>
              <w:rPr>
                <w:rFonts w:hint="eastAsia"/>
                <w:sz w:val="20"/>
                <w:szCs w:val="20"/>
              </w:rPr>
            </w:pPr>
            <w:r>
              <w:rPr>
                <w:rFonts w:hint="eastAsia"/>
                <w:sz w:val="20"/>
                <w:szCs w:val="20"/>
              </w:rPr>
              <w:t>−.103 [−.118, −.087]</w:t>
            </w:r>
          </w:p>
        </w:tc>
      </w:tr>
      <w:tr w14:paraId="70C41D87">
        <w:tc>
          <w:tcPr>
            <w:tcW w:w="1459" w:type="pct"/>
            <w:tcBorders>
              <w:tl2br w:val="nil"/>
              <w:tr2bl w:val="nil"/>
            </w:tcBorders>
            <w:vAlign w:val="center"/>
          </w:tcPr>
          <w:p w14:paraId="144D27AF">
            <w:pPr>
              <w:keepNext/>
              <w:keepLines/>
              <w:pageBreakBefore w:val="0"/>
              <w:widowControl/>
              <w:kinsoku/>
              <w:wordWrap/>
              <w:overflowPunct/>
              <w:topLinePunct w:val="0"/>
              <w:autoSpaceDE/>
              <w:autoSpaceDN/>
              <w:bidi w:val="0"/>
              <w:adjustRightInd/>
              <w:snapToGrid/>
              <w:jc w:val="left"/>
              <w:textAlignment w:val="auto"/>
              <w:rPr>
                <w:sz w:val="20"/>
                <w:szCs w:val="20"/>
              </w:rPr>
            </w:pPr>
            <w:r>
              <w:rPr>
                <w:rFonts w:hint="eastAsia"/>
                <w:sz w:val="20"/>
                <w:szCs w:val="20"/>
              </w:rPr>
              <w:t>KG moved to Task</w:t>
            </w:r>
          </w:p>
        </w:tc>
        <w:tc>
          <w:tcPr>
            <w:tcW w:w="657" w:type="pct"/>
            <w:tcBorders>
              <w:tl2br w:val="nil"/>
              <w:tr2bl w:val="nil"/>
            </w:tcBorders>
            <w:vAlign w:val="center"/>
          </w:tcPr>
          <w:p w14:paraId="5683C745">
            <w:pPr>
              <w:keepNext/>
              <w:keepLines/>
              <w:pageBreakBefore w:val="0"/>
              <w:widowControl/>
              <w:kinsoku/>
              <w:wordWrap/>
              <w:overflowPunct/>
              <w:topLinePunct w:val="0"/>
              <w:autoSpaceDE/>
              <w:autoSpaceDN/>
              <w:bidi w:val="0"/>
              <w:adjustRightInd/>
              <w:snapToGrid/>
              <w:jc w:val="center"/>
              <w:textAlignment w:val="auto"/>
              <w:rPr>
                <w:sz w:val="20"/>
                <w:szCs w:val="20"/>
              </w:rPr>
            </w:pPr>
            <w:r>
              <w:rPr>
                <w:rFonts w:hint="eastAsia"/>
                <w:sz w:val="20"/>
                <w:szCs w:val="20"/>
              </w:rPr>
              <w:t>16,389</w:t>
            </w:r>
          </w:p>
        </w:tc>
        <w:tc>
          <w:tcPr>
            <w:tcW w:w="1441" w:type="pct"/>
            <w:tcBorders>
              <w:tl2br w:val="nil"/>
              <w:tr2bl w:val="nil"/>
            </w:tcBorders>
            <w:vAlign w:val="center"/>
          </w:tcPr>
          <w:p w14:paraId="34BDF50E">
            <w:pPr>
              <w:keepNext/>
              <w:keepLines/>
              <w:pageBreakBefore w:val="0"/>
              <w:widowControl/>
              <w:kinsoku/>
              <w:wordWrap/>
              <w:overflowPunct/>
              <w:topLinePunct w:val="0"/>
              <w:autoSpaceDE/>
              <w:autoSpaceDN/>
              <w:bidi w:val="0"/>
              <w:adjustRightInd/>
              <w:snapToGrid/>
              <w:jc w:val="center"/>
              <w:textAlignment w:val="auto"/>
              <w:rPr>
                <w:sz w:val="20"/>
                <w:szCs w:val="20"/>
              </w:rPr>
            </w:pPr>
            <w:r>
              <w:rPr>
                <w:rFonts w:hint="eastAsia"/>
                <w:sz w:val="20"/>
                <w:szCs w:val="20"/>
              </w:rPr>
              <w:t>+.025 [+.009, +.040]</w:t>
            </w:r>
          </w:p>
        </w:tc>
        <w:tc>
          <w:tcPr>
            <w:tcW w:w="1442" w:type="pct"/>
            <w:tcBorders>
              <w:tl2br w:val="nil"/>
              <w:tr2bl w:val="nil"/>
            </w:tcBorders>
            <w:vAlign w:val="center"/>
          </w:tcPr>
          <w:p w14:paraId="0EA68050">
            <w:pPr>
              <w:keepNext/>
              <w:keepLines/>
              <w:pageBreakBefore w:val="0"/>
              <w:widowControl/>
              <w:kinsoku/>
              <w:wordWrap/>
              <w:overflowPunct/>
              <w:topLinePunct w:val="0"/>
              <w:autoSpaceDE/>
              <w:autoSpaceDN/>
              <w:bidi w:val="0"/>
              <w:adjustRightInd/>
              <w:snapToGrid/>
              <w:jc w:val="center"/>
              <w:textAlignment w:val="auto"/>
              <w:rPr>
                <w:rFonts w:hint="eastAsia"/>
                <w:sz w:val="20"/>
                <w:szCs w:val="20"/>
              </w:rPr>
            </w:pPr>
            <w:r>
              <w:rPr>
                <w:rFonts w:hint="eastAsia"/>
                <w:sz w:val="20"/>
                <w:szCs w:val="20"/>
              </w:rPr>
              <w:t>+.011 [−.004, +.026]</w:t>
            </w:r>
          </w:p>
        </w:tc>
      </w:tr>
      <w:tr w14:paraId="08E455C6">
        <w:tc>
          <w:tcPr>
            <w:tcW w:w="1459" w:type="pct"/>
            <w:tcBorders>
              <w:tl2br w:val="nil"/>
              <w:tr2bl w:val="nil"/>
            </w:tcBorders>
            <w:vAlign w:val="center"/>
          </w:tcPr>
          <w:p w14:paraId="45DC61FD">
            <w:pPr>
              <w:keepNext/>
              <w:keepLines/>
              <w:pageBreakBefore w:val="0"/>
              <w:widowControl/>
              <w:kinsoku/>
              <w:wordWrap/>
              <w:overflowPunct/>
              <w:topLinePunct w:val="0"/>
              <w:autoSpaceDE/>
              <w:autoSpaceDN/>
              <w:bidi w:val="0"/>
              <w:adjustRightInd/>
              <w:snapToGrid/>
              <w:jc w:val="left"/>
              <w:textAlignment w:val="auto"/>
              <w:rPr>
                <w:rFonts w:hint="eastAsia"/>
                <w:sz w:val="20"/>
                <w:szCs w:val="20"/>
              </w:rPr>
            </w:pPr>
            <w:r>
              <w:rPr>
                <w:rFonts w:hint="eastAsia"/>
                <w:sz w:val="20"/>
                <w:szCs w:val="20"/>
              </w:rPr>
              <w:t>Historical Other share (standalone)</w:t>
            </w:r>
          </w:p>
        </w:tc>
        <w:tc>
          <w:tcPr>
            <w:tcW w:w="657" w:type="pct"/>
            <w:tcBorders>
              <w:tl2br w:val="nil"/>
              <w:tr2bl w:val="nil"/>
            </w:tcBorders>
            <w:vAlign w:val="center"/>
          </w:tcPr>
          <w:p w14:paraId="65927819">
            <w:pPr>
              <w:keepNext/>
              <w:keepLines/>
              <w:pageBreakBefore w:val="0"/>
              <w:widowControl/>
              <w:kinsoku/>
              <w:wordWrap/>
              <w:overflowPunct/>
              <w:topLinePunct w:val="0"/>
              <w:autoSpaceDE/>
              <w:autoSpaceDN/>
              <w:bidi w:val="0"/>
              <w:adjustRightInd/>
              <w:snapToGrid/>
              <w:jc w:val="center"/>
              <w:textAlignment w:val="auto"/>
              <w:rPr>
                <w:rFonts w:hint="default"/>
                <w:sz w:val="20"/>
                <w:szCs w:val="20"/>
              </w:rPr>
            </w:pPr>
            <w:r>
              <w:rPr>
                <w:rFonts w:hint="default"/>
                <w:sz w:val="20"/>
                <w:szCs w:val="20"/>
              </w:rPr>
              <w:t>16,389</w:t>
            </w:r>
          </w:p>
        </w:tc>
        <w:tc>
          <w:tcPr>
            <w:tcW w:w="1441" w:type="pct"/>
            <w:tcBorders>
              <w:tl2br w:val="nil"/>
              <w:tr2bl w:val="nil"/>
            </w:tcBorders>
            <w:vAlign w:val="center"/>
          </w:tcPr>
          <w:p w14:paraId="145BCC74">
            <w:pPr>
              <w:keepNext/>
              <w:keepLines/>
              <w:pageBreakBefore w:val="0"/>
              <w:widowControl/>
              <w:kinsoku/>
              <w:wordWrap/>
              <w:overflowPunct/>
              <w:topLinePunct w:val="0"/>
              <w:autoSpaceDE/>
              <w:autoSpaceDN/>
              <w:bidi w:val="0"/>
              <w:adjustRightInd/>
              <w:snapToGrid/>
              <w:jc w:val="center"/>
              <w:textAlignment w:val="auto"/>
              <w:rPr>
                <w:rFonts w:hint="default"/>
                <w:sz w:val="20"/>
                <w:szCs w:val="20"/>
              </w:rPr>
            </w:pPr>
            <w:r>
              <w:rPr>
                <w:rFonts w:hint="default"/>
                <w:sz w:val="20"/>
                <w:szCs w:val="20"/>
              </w:rPr>
              <w:t>+.003 [−.013, +.018]</w:t>
            </w:r>
          </w:p>
        </w:tc>
        <w:tc>
          <w:tcPr>
            <w:tcW w:w="1442" w:type="pct"/>
            <w:tcBorders>
              <w:tl2br w:val="nil"/>
              <w:tr2bl w:val="nil"/>
            </w:tcBorders>
            <w:vAlign w:val="center"/>
          </w:tcPr>
          <w:p w14:paraId="67A11728">
            <w:pPr>
              <w:keepNext/>
              <w:keepLines/>
              <w:pageBreakBefore w:val="0"/>
              <w:widowControl/>
              <w:kinsoku/>
              <w:wordWrap/>
              <w:overflowPunct/>
              <w:topLinePunct w:val="0"/>
              <w:autoSpaceDE/>
              <w:autoSpaceDN/>
              <w:bidi w:val="0"/>
              <w:adjustRightInd/>
              <w:snapToGrid/>
              <w:jc w:val="center"/>
              <w:textAlignment w:val="auto"/>
              <w:rPr>
                <w:rFonts w:hint="default"/>
                <w:sz w:val="20"/>
                <w:szCs w:val="20"/>
                <w:lang w:val="en-US" w:eastAsia="zh-CN"/>
              </w:rPr>
            </w:pPr>
            <w:r>
              <w:rPr>
                <w:rFonts w:hint="default"/>
                <w:sz w:val="20"/>
                <w:szCs w:val="20"/>
                <w:lang w:val="en-US" w:eastAsia="zh-CN"/>
              </w:rPr>
              <w:t>−.004 [−.019, +.012]</w:t>
            </w:r>
          </w:p>
        </w:tc>
      </w:tr>
      <w:tr w14:paraId="32BCCF3F">
        <w:tc>
          <w:tcPr>
            <w:tcW w:w="1459" w:type="pct"/>
            <w:tcBorders>
              <w:tl2br w:val="nil"/>
              <w:tr2bl w:val="nil"/>
            </w:tcBorders>
            <w:vAlign w:val="center"/>
          </w:tcPr>
          <w:p w14:paraId="346A21CB">
            <w:pPr>
              <w:keepNext/>
              <w:keepLines/>
              <w:pageBreakBefore w:val="0"/>
              <w:widowControl/>
              <w:kinsoku/>
              <w:wordWrap/>
              <w:overflowPunct/>
              <w:topLinePunct w:val="0"/>
              <w:autoSpaceDE/>
              <w:autoSpaceDN/>
              <w:bidi w:val="0"/>
              <w:adjustRightInd/>
              <w:snapToGrid/>
              <w:jc w:val="left"/>
              <w:textAlignment w:val="auto"/>
              <w:rPr>
                <w:rFonts w:hint="eastAsia"/>
                <w:sz w:val="20"/>
                <w:szCs w:val="20"/>
              </w:rPr>
            </w:pPr>
            <w:r>
              <w:rPr>
                <w:rFonts w:hint="eastAsia"/>
                <w:sz w:val="20"/>
                <w:szCs w:val="20"/>
              </w:rPr>
              <w:t>Historical EF with mapped-only denominator</w:t>
            </w:r>
          </w:p>
        </w:tc>
        <w:tc>
          <w:tcPr>
            <w:tcW w:w="657" w:type="pct"/>
            <w:tcBorders>
              <w:tl2br w:val="nil"/>
              <w:tr2bl w:val="nil"/>
            </w:tcBorders>
            <w:vAlign w:val="center"/>
          </w:tcPr>
          <w:p w14:paraId="6A7145E6">
            <w:pPr>
              <w:keepNext/>
              <w:keepLines/>
              <w:pageBreakBefore w:val="0"/>
              <w:widowControl/>
              <w:kinsoku/>
              <w:wordWrap/>
              <w:overflowPunct/>
              <w:topLinePunct w:val="0"/>
              <w:autoSpaceDE/>
              <w:autoSpaceDN/>
              <w:bidi w:val="0"/>
              <w:adjustRightInd/>
              <w:snapToGrid/>
              <w:jc w:val="center"/>
              <w:textAlignment w:val="auto"/>
              <w:rPr>
                <w:rFonts w:hint="default"/>
                <w:sz w:val="20"/>
                <w:szCs w:val="20"/>
              </w:rPr>
            </w:pPr>
            <w:r>
              <w:rPr>
                <w:rFonts w:hint="default"/>
                <w:sz w:val="20"/>
                <w:szCs w:val="20"/>
              </w:rPr>
              <w:t>16,337</w:t>
            </w:r>
          </w:p>
        </w:tc>
        <w:tc>
          <w:tcPr>
            <w:tcW w:w="1441" w:type="pct"/>
            <w:tcBorders>
              <w:tl2br w:val="nil"/>
              <w:tr2bl w:val="nil"/>
            </w:tcBorders>
            <w:vAlign w:val="center"/>
          </w:tcPr>
          <w:p w14:paraId="267D4105">
            <w:pPr>
              <w:keepNext/>
              <w:keepLines/>
              <w:pageBreakBefore w:val="0"/>
              <w:widowControl/>
              <w:kinsoku/>
              <w:wordWrap/>
              <w:overflowPunct/>
              <w:topLinePunct w:val="0"/>
              <w:autoSpaceDE/>
              <w:autoSpaceDN/>
              <w:bidi w:val="0"/>
              <w:adjustRightInd/>
              <w:snapToGrid/>
              <w:jc w:val="center"/>
              <w:textAlignment w:val="auto"/>
              <w:rPr>
                <w:rFonts w:hint="default"/>
                <w:sz w:val="20"/>
                <w:szCs w:val="20"/>
              </w:rPr>
            </w:pPr>
            <w:r>
              <w:rPr>
                <w:rFonts w:hint="default"/>
                <w:sz w:val="20"/>
                <w:szCs w:val="20"/>
              </w:rPr>
              <w:t>−.103 [−.119, −.088]</w:t>
            </w:r>
          </w:p>
        </w:tc>
        <w:tc>
          <w:tcPr>
            <w:tcW w:w="1442" w:type="pct"/>
            <w:tcBorders>
              <w:tl2br w:val="nil"/>
              <w:tr2bl w:val="nil"/>
            </w:tcBorders>
            <w:vAlign w:val="center"/>
          </w:tcPr>
          <w:p w14:paraId="64BAD862">
            <w:pPr>
              <w:keepNext/>
              <w:keepLines/>
              <w:pageBreakBefore w:val="0"/>
              <w:widowControl/>
              <w:kinsoku/>
              <w:wordWrap/>
              <w:overflowPunct/>
              <w:topLinePunct w:val="0"/>
              <w:autoSpaceDE/>
              <w:autoSpaceDN/>
              <w:bidi w:val="0"/>
              <w:adjustRightInd/>
              <w:snapToGrid/>
              <w:jc w:val="center"/>
              <w:textAlignment w:val="auto"/>
              <w:rPr>
                <w:rFonts w:hint="default"/>
                <w:sz w:val="20"/>
                <w:szCs w:val="20"/>
                <w:lang w:val="en-US" w:eastAsia="zh-CN"/>
              </w:rPr>
            </w:pPr>
            <w:r>
              <w:rPr>
                <w:rFonts w:hint="default"/>
                <w:sz w:val="20"/>
                <w:szCs w:val="20"/>
                <w:lang w:val="en-US" w:eastAsia="zh-CN"/>
              </w:rPr>
              <w:t>−.104 [−.119, −.088]</w:t>
            </w:r>
          </w:p>
        </w:tc>
      </w:tr>
      <w:tr w14:paraId="5FB1D6D8">
        <w:tc>
          <w:tcPr>
            <w:tcW w:w="1459" w:type="pct"/>
            <w:tcBorders>
              <w:tl2br w:val="nil"/>
              <w:tr2bl w:val="nil"/>
            </w:tcBorders>
            <w:vAlign w:val="center"/>
          </w:tcPr>
          <w:p w14:paraId="22C5D9C9">
            <w:pPr>
              <w:keepNext/>
              <w:keepLines/>
              <w:pageBreakBefore w:val="0"/>
              <w:widowControl/>
              <w:kinsoku/>
              <w:wordWrap/>
              <w:overflowPunct/>
              <w:topLinePunct w:val="0"/>
              <w:autoSpaceDE/>
              <w:autoSpaceDN/>
              <w:bidi w:val="0"/>
              <w:adjustRightInd/>
              <w:snapToGrid/>
              <w:jc w:val="left"/>
              <w:textAlignment w:val="auto"/>
              <w:rPr>
                <w:rFonts w:hint="eastAsia"/>
                <w:sz w:val="20"/>
                <w:szCs w:val="20"/>
              </w:rPr>
            </w:pPr>
            <w:r>
              <w:rPr>
                <w:rFonts w:hint="eastAsia"/>
                <w:sz w:val="20"/>
                <w:szCs w:val="20"/>
              </w:rPr>
              <w:t>Coder-anchored Process + Self-Regulation</w:t>
            </w:r>
          </w:p>
        </w:tc>
        <w:tc>
          <w:tcPr>
            <w:tcW w:w="657" w:type="pct"/>
            <w:tcBorders>
              <w:tl2br w:val="nil"/>
              <w:tr2bl w:val="nil"/>
            </w:tcBorders>
            <w:vAlign w:val="center"/>
          </w:tcPr>
          <w:p w14:paraId="1CFE62A3">
            <w:pPr>
              <w:keepNext/>
              <w:keepLines/>
              <w:pageBreakBefore w:val="0"/>
              <w:widowControl/>
              <w:kinsoku/>
              <w:wordWrap/>
              <w:overflowPunct/>
              <w:topLinePunct w:val="0"/>
              <w:autoSpaceDE/>
              <w:autoSpaceDN/>
              <w:bidi w:val="0"/>
              <w:adjustRightInd/>
              <w:snapToGrid/>
              <w:jc w:val="center"/>
              <w:textAlignment w:val="auto"/>
              <w:rPr>
                <w:rFonts w:hint="default"/>
                <w:sz w:val="20"/>
                <w:szCs w:val="20"/>
              </w:rPr>
            </w:pPr>
            <w:r>
              <w:rPr>
                <w:rFonts w:hint="default"/>
                <w:sz w:val="20"/>
                <w:szCs w:val="20"/>
              </w:rPr>
              <w:t>16,389</w:t>
            </w:r>
          </w:p>
        </w:tc>
        <w:tc>
          <w:tcPr>
            <w:tcW w:w="1441" w:type="pct"/>
            <w:tcBorders>
              <w:tl2br w:val="nil"/>
              <w:tr2bl w:val="nil"/>
            </w:tcBorders>
            <w:vAlign w:val="center"/>
          </w:tcPr>
          <w:p w14:paraId="172BCED9">
            <w:pPr>
              <w:keepNext/>
              <w:keepLines/>
              <w:pageBreakBefore w:val="0"/>
              <w:widowControl/>
              <w:kinsoku/>
              <w:wordWrap/>
              <w:overflowPunct/>
              <w:topLinePunct w:val="0"/>
              <w:autoSpaceDE/>
              <w:autoSpaceDN/>
              <w:bidi w:val="0"/>
              <w:adjustRightInd/>
              <w:snapToGrid/>
              <w:jc w:val="center"/>
              <w:textAlignment w:val="auto"/>
              <w:rPr>
                <w:rFonts w:hint="default"/>
                <w:sz w:val="20"/>
                <w:szCs w:val="20"/>
              </w:rPr>
            </w:pPr>
            <w:r>
              <w:rPr>
                <w:rFonts w:hint="default"/>
                <w:sz w:val="20"/>
                <w:szCs w:val="20"/>
              </w:rPr>
              <w:t>−.113 [−.128, −.098]</w:t>
            </w:r>
          </w:p>
        </w:tc>
        <w:tc>
          <w:tcPr>
            <w:tcW w:w="1442" w:type="pct"/>
            <w:tcBorders>
              <w:tl2br w:val="nil"/>
              <w:tr2bl w:val="nil"/>
            </w:tcBorders>
            <w:vAlign w:val="center"/>
          </w:tcPr>
          <w:p w14:paraId="76BFECD1">
            <w:pPr>
              <w:keepNext/>
              <w:keepLines/>
              <w:pageBreakBefore w:val="0"/>
              <w:widowControl/>
              <w:kinsoku/>
              <w:wordWrap/>
              <w:overflowPunct/>
              <w:topLinePunct w:val="0"/>
              <w:autoSpaceDE/>
              <w:autoSpaceDN/>
              <w:bidi w:val="0"/>
              <w:adjustRightInd/>
              <w:snapToGrid/>
              <w:jc w:val="center"/>
              <w:textAlignment w:val="auto"/>
              <w:rPr>
                <w:rFonts w:hint="default"/>
                <w:sz w:val="20"/>
                <w:szCs w:val="20"/>
                <w:lang w:val="en-US" w:eastAsia="zh-CN"/>
              </w:rPr>
            </w:pPr>
            <w:r>
              <w:rPr>
                <w:rFonts w:hint="default"/>
                <w:sz w:val="20"/>
                <w:szCs w:val="20"/>
                <w:lang w:val="en-US" w:eastAsia="zh-CN"/>
              </w:rPr>
              <w:t>−.122 [−.137, −.106]</w:t>
            </w:r>
          </w:p>
        </w:tc>
      </w:tr>
    </w:tbl>
    <w:p w14:paraId="52568003">
      <w:pPr>
        <w:spacing w:before="0" w:after="300"/>
      </w:pPr>
      <w:r>
        <w:rPr>
          <w:rFonts w:hint="eastAsia"/>
          <w:i/>
          <w:iCs/>
          <w:color w:val="666666"/>
          <w:sz w:val="20"/>
          <w:szCs w:val="20"/>
        </w:rPr>
        <w:t>Note. Pearson confidence intervals use Fisher's z transformation. Spearman intervals are percentile intervals from 10,000 paired-student bootstrap resamples, with ranks recomputed in each resample. N is the number of students with a defined value for the specified operationalisation. Historical Other share is a standalone predictor, not an effective-feedback composite. The mapped-only specification excludes Other interactions from the denominator while leaving the effective-feedback numerator unchanged. The coder-anchored result reflects a complete alternative mapping; it does not isolate any one feature reassignment.</w:t>
      </w:r>
    </w:p>
    <w:p w14:paraId="6FEC8106">
      <w:pPr>
        <w:pStyle w:val="5"/>
      </w:pPr>
      <w:r>
        <w:t>4.3 Performance Tertile Analysis</w:t>
      </w:r>
    </w:p>
    <w:p w14:paraId="3BE2B58C">
      <w:pPr>
        <w:spacing w:before="0" w:after="200"/>
        <w:rPr>
          <w:sz w:val="22"/>
          <w:szCs w:val="22"/>
        </w:rPr>
      </w:pPr>
      <w:r>
        <w:rPr>
          <w:sz w:val="22"/>
          <w:szCs w:val="22"/>
        </w:rPr>
        <w:t xml:space="preserve">The </w:t>
      </w:r>
      <w:r>
        <w:rPr>
          <w:rFonts w:hint="eastAsia"/>
          <w:sz w:val="22"/>
          <w:szCs w:val="22"/>
        </w:rPr>
        <w:t>low–high contrast in the aggregate effective-feedback composite depends on the KG classification: it is +12.27 percentage points under the historical mapping and −1.58 percentage points after moving KG to Task. The feature-level KG share itself is unchanged by reassignment and averages 58.80%, 55.43%, and 44.95% in the Low, Medium, and High groups, respectively. These are descriptive associations in outcome-defined groups, not evidence that the classifications identify learning effects</w:t>
      </w:r>
      <w:r>
        <w:rPr>
          <w:sz w:val="22"/>
          <w:szCs w:val="22"/>
        </w:rPr>
        <w:t>:</w:t>
      </w:r>
    </w:p>
    <w:p w14:paraId="49D1D827">
      <w:pPr>
        <w:spacing w:before="0" w:after="200"/>
        <w:rPr>
          <w:rFonts w:hint="default" w:ascii="Arial Bold" w:hAnsi="Arial Bold" w:cs="Arial Bold"/>
          <w:b/>
          <w:bCs/>
          <w:sz w:val="22"/>
          <w:szCs w:val="22"/>
        </w:rPr>
      </w:pPr>
      <w:r>
        <w:rPr>
          <w:rFonts w:hint="default" w:ascii="Arial Bold" w:hAnsi="Arial Bold" w:cs="Arial Bold"/>
          <w:b/>
          <w:bCs/>
          <w:sz w:val="22"/>
          <w:szCs w:val="22"/>
        </w:rPr>
        <w:t>Table 3. Effective Feedback (EF) by Performance Tertile Across Classification Schemes</w:t>
      </w:r>
    </w:p>
    <w:tbl>
      <w:tblPr>
        <w:tblStyle w:val="14"/>
        <w:tblW w:w="5000" w:type="pct"/>
        <w:tblInd w:w="0" w:type="dxa"/>
        <w:tblLayout w:type="fixed"/>
        <w:tblCellMar>
          <w:top w:w="60" w:type="dxa"/>
          <w:left w:w="100" w:type="dxa"/>
          <w:bottom w:w="60" w:type="dxa"/>
          <w:right w:w="100" w:type="dxa"/>
        </w:tblCellMar>
      </w:tblPr>
      <w:tblGrid>
        <w:gridCol w:w="3349"/>
        <w:gridCol w:w="1160"/>
        <w:gridCol w:w="1854"/>
        <w:gridCol w:w="1813"/>
        <w:gridCol w:w="1384"/>
      </w:tblGrid>
      <w:tr w14:paraId="748F4684">
        <w:tc>
          <w:tcPr>
            <w:tcW w:w="3349" w:type="dxa"/>
            <w:tcBorders>
              <w:top w:val="single" w:color="CCCCCC" w:sz="2" w:space="0"/>
              <w:left w:val="single" w:color="CCCCCC" w:sz="2" w:space="0"/>
              <w:bottom w:val="single" w:color="CCCCCC" w:sz="2" w:space="0"/>
              <w:right w:val="single" w:color="CCCCCC" w:sz="2" w:space="0"/>
            </w:tcBorders>
            <w:shd w:val="clear" w:color="auto" w:fill="024E7A" w:themeFill="accent2" w:themeFillShade="BF"/>
            <w:vAlign w:val="center"/>
          </w:tcPr>
          <w:p w14:paraId="55BE29C9">
            <w:pPr>
              <w:jc w:val="center"/>
              <w:rPr>
                <w:rFonts w:hint="default" w:eastAsia="宋体"/>
                <w:sz w:val="20"/>
                <w:szCs w:val="20"/>
                <w:lang w:val="en-US" w:eastAsia="zh-CN"/>
              </w:rPr>
            </w:pPr>
            <w:r>
              <w:rPr>
                <w:b/>
                <w:bCs/>
                <w:sz w:val="20"/>
                <w:szCs w:val="20"/>
              </w:rPr>
              <w:t xml:space="preserve">Performance </w:t>
            </w:r>
            <w:r>
              <w:rPr>
                <w:rFonts w:hint="eastAsia" w:eastAsia="宋体"/>
                <w:b/>
                <w:bCs/>
                <w:sz w:val="20"/>
                <w:szCs w:val="20"/>
                <w:lang w:val="en-US" w:eastAsia="zh-CN"/>
              </w:rPr>
              <w:t>group</w:t>
            </w:r>
          </w:p>
        </w:tc>
        <w:tc>
          <w:tcPr>
            <w:tcW w:w="1160" w:type="dxa"/>
            <w:tcBorders>
              <w:top w:val="single" w:color="CCCCCC" w:sz="2" w:space="0"/>
              <w:left w:val="single" w:color="CCCCCC" w:sz="2" w:space="0"/>
              <w:bottom w:val="single" w:color="CCCCCC" w:sz="2" w:space="0"/>
              <w:right w:val="single" w:color="CCCCCC" w:sz="2" w:space="0"/>
            </w:tcBorders>
            <w:shd w:val="clear" w:color="auto" w:fill="024E7A" w:themeFill="accent2" w:themeFillShade="BF"/>
            <w:vAlign w:val="center"/>
          </w:tcPr>
          <w:p w14:paraId="5DBF908D">
            <w:pPr>
              <w:jc w:val="center"/>
              <w:rPr>
                <w:sz w:val="20"/>
                <w:szCs w:val="20"/>
              </w:rPr>
            </w:pPr>
            <w:r>
              <w:rPr>
                <w:rFonts w:hint="default" w:ascii="Arial Bold Italic" w:hAnsi="Arial Bold Italic" w:cs="Arial Bold Italic"/>
                <w:b/>
                <w:bCs/>
                <w:i/>
                <w:iCs/>
                <w:sz w:val="20"/>
                <w:szCs w:val="20"/>
              </w:rPr>
              <w:t>N</w:t>
            </w:r>
          </w:p>
        </w:tc>
        <w:tc>
          <w:tcPr>
            <w:tcW w:w="1854" w:type="dxa"/>
            <w:tcBorders>
              <w:top w:val="single" w:color="CCCCCC" w:sz="2" w:space="0"/>
              <w:left w:val="single" w:color="CCCCCC" w:sz="2" w:space="0"/>
              <w:bottom w:val="single" w:color="CCCCCC" w:sz="2" w:space="0"/>
              <w:right w:val="single" w:color="CCCCCC" w:sz="2" w:space="0"/>
            </w:tcBorders>
            <w:shd w:val="clear" w:color="auto" w:fill="024E7A" w:themeFill="accent2" w:themeFillShade="BF"/>
            <w:vAlign w:val="center"/>
          </w:tcPr>
          <w:p w14:paraId="5FC4B3E5">
            <w:pPr>
              <w:jc w:val="center"/>
              <w:rPr>
                <w:sz w:val="20"/>
                <w:szCs w:val="20"/>
              </w:rPr>
            </w:pPr>
            <w:r>
              <w:rPr>
                <w:rFonts w:hint="eastAsia" w:eastAsia="宋体"/>
                <w:b/>
                <w:bCs/>
                <w:sz w:val="20"/>
                <w:szCs w:val="20"/>
                <w:lang w:val="en-US" w:eastAsia="zh-CN"/>
              </w:rPr>
              <w:t>Historical</w:t>
            </w:r>
            <w:r>
              <w:rPr>
                <w:b/>
                <w:bCs/>
                <w:sz w:val="20"/>
                <w:szCs w:val="20"/>
              </w:rPr>
              <w:t xml:space="preserve"> EF%</w:t>
            </w:r>
          </w:p>
        </w:tc>
        <w:tc>
          <w:tcPr>
            <w:tcW w:w="1813" w:type="dxa"/>
            <w:tcBorders>
              <w:top w:val="single" w:color="CCCCCC" w:sz="2" w:space="0"/>
              <w:left w:val="single" w:color="CCCCCC" w:sz="2" w:space="0"/>
              <w:bottom w:val="single" w:color="CCCCCC" w:sz="2" w:space="0"/>
              <w:right w:val="single" w:color="CCCCCC" w:sz="2" w:space="0"/>
            </w:tcBorders>
            <w:shd w:val="clear" w:color="auto" w:fill="024E7A" w:themeFill="accent2" w:themeFillShade="BF"/>
            <w:vAlign w:val="center"/>
          </w:tcPr>
          <w:p w14:paraId="3A384951">
            <w:pPr>
              <w:jc w:val="center"/>
              <w:rPr>
                <w:sz w:val="20"/>
                <w:szCs w:val="20"/>
              </w:rPr>
            </w:pPr>
            <w:r>
              <w:rPr>
                <w:rFonts w:hint="eastAsia"/>
                <w:b/>
                <w:bCs/>
                <w:sz w:val="20"/>
                <w:szCs w:val="20"/>
              </w:rPr>
              <w:t>KG-to-Task</w:t>
            </w:r>
            <w:r>
              <w:rPr>
                <w:b/>
                <w:bCs/>
                <w:sz w:val="20"/>
                <w:szCs w:val="20"/>
              </w:rPr>
              <w:t xml:space="preserve"> EF%</w:t>
            </w:r>
          </w:p>
        </w:tc>
        <w:tc>
          <w:tcPr>
            <w:tcW w:w="1384" w:type="dxa"/>
            <w:tcBorders>
              <w:top w:val="single" w:color="CCCCCC" w:sz="2" w:space="0"/>
              <w:left w:val="single" w:color="CCCCCC" w:sz="2" w:space="0"/>
              <w:bottom w:val="single" w:color="CCCCCC" w:sz="2" w:space="0"/>
              <w:right w:val="single" w:color="CCCCCC" w:sz="2" w:space="0"/>
            </w:tcBorders>
            <w:shd w:val="clear" w:color="auto" w:fill="024E7A" w:themeFill="accent2" w:themeFillShade="BF"/>
            <w:vAlign w:val="center"/>
          </w:tcPr>
          <w:p w14:paraId="11160373">
            <w:pPr>
              <w:jc w:val="center"/>
              <w:rPr>
                <w:rFonts w:hint="eastAsia" w:eastAsia="宋体"/>
                <w:sz w:val="20"/>
                <w:szCs w:val="20"/>
                <w:lang w:val="en-US" w:eastAsia="zh-CN"/>
              </w:rPr>
            </w:pPr>
            <w:r>
              <w:rPr>
                <w:b/>
                <w:bCs/>
                <w:sz w:val="20"/>
                <w:szCs w:val="20"/>
              </w:rPr>
              <w:t>Δ</w:t>
            </w:r>
            <w:r>
              <w:rPr>
                <w:rFonts w:hint="eastAsia" w:eastAsia="宋体"/>
                <w:b/>
                <w:bCs/>
                <w:sz w:val="20"/>
                <w:szCs w:val="20"/>
                <w:lang w:val="en-US" w:eastAsia="zh-CN"/>
              </w:rPr>
              <w:t xml:space="preserve"> (percentage points)</w:t>
            </w:r>
          </w:p>
        </w:tc>
      </w:tr>
      <w:tr w14:paraId="29F39734">
        <w:tc>
          <w:tcPr>
            <w:tcW w:w="3349" w:type="dxa"/>
            <w:tcBorders>
              <w:top w:val="single" w:color="CCCCCC" w:sz="2" w:space="0"/>
              <w:left w:val="single" w:color="CCCCCC" w:sz="2" w:space="0"/>
              <w:bottom w:val="single" w:color="CCCCCC" w:sz="2" w:space="0"/>
              <w:right w:val="single" w:color="CCCCCC" w:sz="2" w:space="0"/>
            </w:tcBorders>
            <w:vAlign w:val="center"/>
          </w:tcPr>
          <w:p w14:paraId="5894F803">
            <w:pPr>
              <w:jc w:val="center"/>
              <w:rPr>
                <w:sz w:val="20"/>
                <w:szCs w:val="20"/>
              </w:rPr>
            </w:pPr>
            <w:r>
              <w:rPr>
                <w:b w:val="0"/>
                <w:bCs w:val="0"/>
                <w:sz w:val="20"/>
                <w:szCs w:val="20"/>
              </w:rPr>
              <w:t>Low (&lt;67.5%)</w:t>
            </w:r>
          </w:p>
        </w:tc>
        <w:tc>
          <w:tcPr>
            <w:tcW w:w="1160" w:type="dxa"/>
            <w:tcBorders>
              <w:top w:val="single" w:color="CCCCCC" w:sz="2" w:space="0"/>
              <w:left w:val="single" w:color="CCCCCC" w:sz="2" w:space="0"/>
              <w:bottom w:val="single" w:color="CCCCCC" w:sz="2" w:space="0"/>
              <w:right w:val="single" w:color="CCCCCC" w:sz="2" w:space="0"/>
            </w:tcBorders>
            <w:vAlign w:val="center"/>
          </w:tcPr>
          <w:p w14:paraId="176DD1DE">
            <w:pPr>
              <w:jc w:val="center"/>
              <w:rPr>
                <w:rFonts w:hint="default" w:eastAsia="宋体"/>
                <w:sz w:val="20"/>
                <w:szCs w:val="20"/>
                <w:lang w:val="en-US" w:eastAsia="zh-CN"/>
              </w:rPr>
            </w:pPr>
            <w:r>
              <w:rPr>
                <w:b w:val="0"/>
                <w:bCs w:val="0"/>
                <w:sz w:val="20"/>
                <w:szCs w:val="20"/>
              </w:rPr>
              <w:t>5,</w:t>
            </w:r>
            <w:r>
              <w:rPr>
                <w:rFonts w:hint="eastAsia" w:eastAsia="宋体"/>
                <w:b w:val="0"/>
                <w:bCs w:val="0"/>
                <w:sz w:val="20"/>
                <w:szCs w:val="20"/>
                <w:lang w:val="en-US" w:eastAsia="zh-CN"/>
              </w:rPr>
              <w:t>540</w:t>
            </w:r>
          </w:p>
        </w:tc>
        <w:tc>
          <w:tcPr>
            <w:tcW w:w="1854" w:type="dxa"/>
            <w:tcBorders>
              <w:top w:val="single" w:color="CCCCCC" w:sz="2" w:space="0"/>
              <w:left w:val="single" w:color="CCCCCC" w:sz="2" w:space="0"/>
              <w:bottom w:val="single" w:color="CCCCCC" w:sz="2" w:space="0"/>
              <w:right w:val="single" w:color="CCCCCC" w:sz="2" w:space="0"/>
            </w:tcBorders>
            <w:vAlign w:val="center"/>
          </w:tcPr>
          <w:p w14:paraId="361BF288">
            <w:pPr>
              <w:jc w:val="center"/>
              <w:rPr>
                <w:sz w:val="20"/>
                <w:szCs w:val="20"/>
              </w:rPr>
            </w:pPr>
            <w:r>
              <w:rPr>
                <w:b w:val="0"/>
                <w:bCs w:val="0"/>
                <w:sz w:val="20"/>
                <w:szCs w:val="20"/>
              </w:rPr>
              <w:t>76.0</w:t>
            </w:r>
            <w:r>
              <w:rPr>
                <w:rFonts w:hint="eastAsia" w:eastAsia="宋体"/>
                <w:b w:val="0"/>
                <w:bCs w:val="0"/>
                <w:sz w:val="20"/>
                <w:szCs w:val="20"/>
                <w:lang w:val="en-US" w:eastAsia="zh-CN"/>
              </w:rPr>
              <w:t>2</w:t>
            </w:r>
            <w:r>
              <w:rPr>
                <w:b w:val="0"/>
                <w:bCs w:val="0"/>
                <w:sz w:val="20"/>
                <w:szCs w:val="20"/>
              </w:rPr>
              <w:t>%</w:t>
            </w:r>
          </w:p>
        </w:tc>
        <w:tc>
          <w:tcPr>
            <w:tcW w:w="1813" w:type="dxa"/>
            <w:tcBorders>
              <w:top w:val="single" w:color="CCCCCC" w:sz="2" w:space="0"/>
              <w:left w:val="single" w:color="CCCCCC" w:sz="2" w:space="0"/>
              <w:bottom w:val="single" w:color="CCCCCC" w:sz="2" w:space="0"/>
              <w:right w:val="single" w:color="CCCCCC" w:sz="2" w:space="0"/>
            </w:tcBorders>
            <w:vAlign w:val="center"/>
          </w:tcPr>
          <w:p w14:paraId="42158FCC">
            <w:pPr>
              <w:jc w:val="center"/>
              <w:rPr>
                <w:sz w:val="20"/>
                <w:szCs w:val="20"/>
              </w:rPr>
            </w:pPr>
            <w:r>
              <w:rPr>
                <w:b w:val="0"/>
                <w:bCs w:val="0"/>
                <w:sz w:val="20"/>
                <w:szCs w:val="20"/>
              </w:rPr>
              <w:t>17.</w:t>
            </w:r>
            <w:r>
              <w:rPr>
                <w:rFonts w:hint="eastAsia" w:eastAsia="宋体"/>
                <w:b w:val="0"/>
                <w:bCs w:val="0"/>
                <w:sz w:val="20"/>
                <w:szCs w:val="20"/>
                <w:lang w:val="en-US" w:eastAsia="zh-CN"/>
              </w:rPr>
              <w:t>21</w:t>
            </w:r>
            <w:r>
              <w:rPr>
                <w:b w:val="0"/>
                <w:bCs w:val="0"/>
                <w:sz w:val="20"/>
                <w:szCs w:val="20"/>
              </w:rPr>
              <w:t>%</w:t>
            </w:r>
          </w:p>
        </w:tc>
        <w:tc>
          <w:tcPr>
            <w:tcW w:w="1384" w:type="dxa"/>
            <w:tcBorders>
              <w:top w:val="single" w:color="CCCCCC" w:sz="2" w:space="0"/>
              <w:left w:val="single" w:color="CCCCCC" w:sz="2" w:space="0"/>
              <w:bottom w:val="single" w:color="CCCCCC" w:sz="2" w:space="0"/>
              <w:right w:val="single" w:color="CCCCCC" w:sz="2" w:space="0"/>
            </w:tcBorders>
            <w:vAlign w:val="center"/>
          </w:tcPr>
          <w:p w14:paraId="64A7DB9F">
            <w:pPr>
              <w:jc w:val="center"/>
              <w:rPr>
                <w:rFonts w:hint="default" w:eastAsia="宋体"/>
                <w:sz w:val="20"/>
                <w:szCs w:val="20"/>
                <w:lang w:val="en-US" w:eastAsia="zh-CN"/>
              </w:rPr>
            </w:pPr>
            <w:r>
              <w:rPr>
                <w:b w:val="0"/>
                <w:bCs w:val="0"/>
                <w:sz w:val="20"/>
                <w:szCs w:val="20"/>
              </w:rPr>
              <w:t>58.</w:t>
            </w:r>
            <w:r>
              <w:rPr>
                <w:rFonts w:hint="eastAsia" w:eastAsia="宋体"/>
                <w:b w:val="0"/>
                <w:bCs w:val="0"/>
                <w:sz w:val="20"/>
                <w:szCs w:val="20"/>
                <w:lang w:val="en-US" w:eastAsia="zh-CN"/>
              </w:rPr>
              <w:t>80</w:t>
            </w:r>
          </w:p>
        </w:tc>
      </w:tr>
      <w:tr w14:paraId="31B803A5">
        <w:tc>
          <w:tcPr>
            <w:tcW w:w="3349" w:type="dxa"/>
            <w:tcBorders>
              <w:top w:val="single" w:color="CCCCCC" w:sz="2" w:space="0"/>
              <w:left w:val="single" w:color="CCCCCC" w:sz="2" w:space="0"/>
              <w:bottom w:val="single" w:color="CCCCCC" w:sz="2" w:space="0"/>
              <w:right w:val="single" w:color="CCCCCC" w:sz="2" w:space="0"/>
            </w:tcBorders>
            <w:vAlign w:val="center"/>
          </w:tcPr>
          <w:p w14:paraId="48BD4E35">
            <w:pPr>
              <w:jc w:val="center"/>
              <w:rPr>
                <w:sz w:val="20"/>
                <w:szCs w:val="20"/>
              </w:rPr>
            </w:pPr>
            <w:r>
              <w:rPr>
                <w:rFonts w:hint="eastAsia"/>
                <w:b w:val="0"/>
                <w:bCs w:val="0"/>
                <w:sz w:val="20"/>
                <w:szCs w:val="20"/>
              </w:rPr>
              <w:t>Medium (67.5%–84.0%, inclusive)</w:t>
            </w:r>
          </w:p>
        </w:tc>
        <w:tc>
          <w:tcPr>
            <w:tcW w:w="1160" w:type="dxa"/>
            <w:tcBorders>
              <w:top w:val="single" w:color="CCCCCC" w:sz="2" w:space="0"/>
              <w:left w:val="single" w:color="CCCCCC" w:sz="2" w:space="0"/>
              <w:bottom w:val="single" w:color="CCCCCC" w:sz="2" w:space="0"/>
              <w:right w:val="single" w:color="CCCCCC" w:sz="2" w:space="0"/>
            </w:tcBorders>
            <w:vAlign w:val="center"/>
          </w:tcPr>
          <w:p w14:paraId="6677EE89">
            <w:pPr>
              <w:jc w:val="center"/>
              <w:rPr>
                <w:rFonts w:hint="default" w:eastAsia="宋体"/>
                <w:sz w:val="20"/>
                <w:szCs w:val="20"/>
                <w:lang w:val="en-US" w:eastAsia="zh-CN"/>
              </w:rPr>
            </w:pPr>
            <w:r>
              <w:rPr>
                <w:b w:val="0"/>
                <w:bCs w:val="0"/>
                <w:sz w:val="20"/>
                <w:szCs w:val="20"/>
              </w:rPr>
              <w:t>5,4</w:t>
            </w:r>
            <w:r>
              <w:rPr>
                <w:rFonts w:hint="eastAsia" w:eastAsia="宋体"/>
                <w:b w:val="0"/>
                <w:bCs w:val="0"/>
                <w:sz w:val="20"/>
                <w:szCs w:val="20"/>
                <w:lang w:val="en-US" w:eastAsia="zh-CN"/>
              </w:rPr>
              <w:t>67</w:t>
            </w:r>
          </w:p>
        </w:tc>
        <w:tc>
          <w:tcPr>
            <w:tcW w:w="1854" w:type="dxa"/>
            <w:tcBorders>
              <w:top w:val="single" w:color="CCCCCC" w:sz="2" w:space="0"/>
              <w:left w:val="single" w:color="CCCCCC" w:sz="2" w:space="0"/>
              <w:bottom w:val="single" w:color="CCCCCC" w:sz="2" w:space="0"/>
              <w:right w:val="single" w:color="CCCCCC" w:sz="2" w:space="0"/>
            </w:tcBorders>
            <w:vAlign w:val="center"/>
          </w:tcPr>
          <w:p w14:paraId="2456D47D">
            <w:pPr>
              <w:jc w:val="center"/>
              <w:rPr>
                <w:sz w:val="20"/>
                <w:szCs w:val="20"/>
              </w:rPr>
            </w:pPr>
            <w:r>
              <w:rPr>
                <w:b w:val="0"/>
                <w:bCs w:val="0"/>
                <w:sz w:val="20"/>
                <w:szCs w:val="20"/>
              </w:rPr>
              <w:t>74.2</w:t>
            </w:r>
            <w:r>
              <w:rPr>
                <w:rFonts w:hint="eastAsia" w:eastAsia="宋体"/>
                <w:b w:val="0"/>
                <w:bCs w:val="0"/>
                <w:sz w:val="20"/>
                <w:szCs w:val="20"/>
                <w:lang w:val="en-US" w:eastAsia="zh-CN"/>
              </w:rPr>
              <w:t>7</w:t>
            </w:r>
            <w:r>
              <w:rPr>
                <w:b w:val="0"/>
                <w:bCs w:val="0"/>
                <w:sz w:val="20"/>
                <w:szCs w:val="20"/>
              </w:rPr>
              <w:t>%</w:t>
            </w:r>
          </w:p>
        </w:tc>
        <w:tc>
          <w:tcPr>
            <w:tcW w:w="1813" w:type="dxa"/>
            <w:tcBorders>
              <w:top w:val="single" w:color="CCCCCC" w:sz="2" w:space="0"/>
              <w:left w:val="single" w:color="CCCCCC" w:sz="2" w:space="0"/>
              <w:bottom w:val="single" w:color="CCCCCC" w:sz="2" w:space="0"/>
              <w:right w:val="single" w:color="CCCCCC" w:sz="2" w:space="0"/>
            </w:tcBorders>
            <w:vAlign w:val="center"/>
          </w:tcPr>
          <w:p w14:paraId="52C3C0BE">
            <w:pPr>
              <w:jc w:val="center"/>
              <w:rPr>
                <w:sz w:val="20"/>
                <w:szCs w:val="20"/>
              </w:rPr>
            </w:pPr>
            <w:r>
              <w:rPr>
                <w:b w:val="0"/>
                <w:bCs w:val="0"/>
                <w:sz w:val="20"/>
                <w:szCs w:val="20"/>
              </w:rPr>
              <w:t>18.</w:t>
            </w:r>
            <w:r>
              <w:rPr>
                <w:rFonts w:hint="eastAsia" w:eastAsia="宋体"/>
                <w:b w:val="0"/>
                <w:bCs w:val="0"/>
                <w:sz w:val="20"/>
                <w:szCs w:val="20"/>
                <w:lang w:val="en-US" w:eastAsia="zh-CN"/>
              </w:rPr>
              <w:t>84</w:t>
            </w:r>
            <w:r>
              <w:rPr>
                <w:b w:val="0"/>
                <w:bCs w:val="0"/>
                <w:sz w:val="20"/>
                <w:szCs w:val="20"/>
              </w:rPr>
              <w:t>%</w:t>
            </w:r>
          </w:p>
        </w:tc>
        <w:tc>
          <w:tcPr>
            <w:tcW w:w="1384" w:type="dxa"/>
            <w:tcBorders>
              <w:top w:val="single" w:color="CCCCCC" w:sz="2" w:space="0"/>
              <w:left w:val="single" w:color="CCCCCC" w:sz="2" w:space="0"/>
              <w:bottom w:val="single" w:color="CCCCCC" w:sz="2" w:space="0"/>
              <w:right w:val="single" w:color="CCCCCC" w:sz="2" w:space="0"/>
            </w:tcBorders>
            <w:vAlign w:val="center"/>
          </w:tcPr>
          <w:p w14:paraId="5480F063">
            <w:pPr>
              <w:jc w:val="center"/>
              <w:rPr>
                <w:rFonts w:hint="default" w:eastAsia="宋体"/>
                <w:sz w:val="20"/>
                <w:szCs w:val="20"/>
                <w:lang w:val="en-US" w:eastAsia="zh-CN"/>
              </w:rPr>
            </w:pPr>
            <w:r>
              <w:rPr>
                <w:b w:val="0"/>
                <w:bCs w:val="0"/>
                <w:sz w:val="20"/>
                <w:szCs w:val="20"/>
              </w:rPr>
              <w:t>55.</w:t>
            </w:r>
            <w:r>
              <w:rPr>
                <w:rFonts w:hint="eastAsia" w:eastAsia="宋体"/>
                <w:b w:val="0"/>
                <w:bCs w:val="0"/>
                <w:sz w:val="20"/>
                <w:szCs w:val="20"/>
                <w:lang w:val="en-US" w:eastAsia="zh-CN"/>
              </w:rPr>
              <w:t>43</w:t>
            </w:r>
          </w:p>
        </w:tc>
      </w:tr>
      <w:tr w14:paraId="01B47E61">
        <w:tc>
          <w:tcPr>
            <w:tcW w:w="3349" w:type="dxa"/>
            <w:tcBorders>
              <w:top w:val="single" w:color="CCCCCC" w:sz="2" w:space="0"/>
              <w:left w:val="single" w:color="CCCCCC" w:sz="2" w:space="0"/>
              <w:bottom w:val="single" w:color="CCCCCC" w:sz="2" w:space="0"/>
              <w:right w:val="single" w:color="CCCCCC" w:sz="2" w:space="0"/>
            </w:tcBorders>
            <w:vAlign w:val="center"/>
          </w:tcPr>
          <w:p w14:paraId="223758CE">
            <w:pPr>
              <w:jc w:val="center"/>
              <w:rPr>
                <w:sz w:val="20"/>
                <w:szCs w:val="20"/>
              </w:rPr>
            </w:pPr>
            <w:r>
              <w:rPr>
                <w:b w:val="0"/>
                <w:bCs w:val="0"/>
                <w:sz w:val="20"/>
                <w:szCs w:val="20"/>
              </w:rPr>
              <w:t>High (&gt;84.0%)</w:t>
            </w:r>
          </w:p>
        </w:tc>
        <w:tc>
          <w:tcPr>
            <w:tcW w:w="1160" w:type="dxa"/>
            <w:tcBorders>
              <w:top w:val="single" w:color="CCCCCC" w:sz="2" w:space="0"/>
              <w:left w:val="single" w:color="CCCCCC" w:sz="2" w:space="0"/>
              <w:bottom w:val="single" w:color="CCCCCC" w:sz="2" w:space="0"/>
              <w:right w:val="single" w:color="CCCCCC" w:sz="2" w:space="0"/>
            </w:tcBorders>
            <w:vAlign w:val="center"/>
          </w:tcPr>
          <w:p w14:paraId="1F7E5343">
            <w:pPr>
              <w:jc w:val="center"/>
              <w:rPr>
                <w:rFonts w:hint="default" w:eastAsia="宋体"/>
                <w:sz w:val="20"/>
                <w:szCs w:val="20"/>
                <w:lang w:val="en-US" w:eastAsia="zh-CN"/>
              </w:rPr>
            </w:pPr>
            <w:r>
              <w:rPr>
                <w:b w:val="0"/>
                <w:bCs w:val="0"/>
                <w:sz w:val="20"/>
                <w:szCs w:val="20"/>
              </w:rPr>
              <w:t>5,</w:t>
            </w:r>
            <w:r>
              <w:rPr>
                <w:rFonts w:hint="eastAsia" w:eastAsia="宋体"/>
                <w:b w:val="0"/>
                <w:bCs w:val="0"/>
                <w:sz w:val="20"/>
                <w:szCs w:val="20"/>
                <w:lang w:val="en-US" w:eastAsia="zh-CN"/>
              </w:rPr>
              <w:t>382</w:t>
            </w:r>
          </w:p>
        </w:tc>
        <w:tc>
          <w:tcPr>
            <w:tcW w:w="1854" w:type="dxa"/>
            <w:tcBorders>
              <w:top w:val="single" w:color="CCCCCC" w:sz="2" w:space="0"/>
              <w:left w:val="single" w:color="CCCCCC" w:sz="2" w:space="0"/>
              <w:bottom w:val="single" w:color="CCCCCC" w:sz="2" w:space="0"/>
              <w:right w:val="single" w:color="CCCCCC" w:sz="2" w:space="0"/>
            </w:tcBorders>
            <w:vAlign w:val="center"/>
          </w:tcPr>
          <w:p w14:paraId="1FA85494">
            <w:pPr>
              <w:jc w:val="center"/>
              <w:rPr>
                <w:sz w:val="20"/>
                <w:szCs w:val="20"/>
              </w:rPr>
            </w:pPr>
            <w:r>
              <w:rPr>
                <w:b w:val="0"/>
                <w:bCs w:val="0"/>
                <w:sz w:val="20"/>
                <w:szCs w:val="20"/>
              </w:rPr>
              <w:t>63.</w:t>
            </w:r>
            <w:r>
              <w:rPr>
                <w:rFonts w:hint="eastAsia" w:eastAsia="宋体"/>
                <w:b w:val="0"/>
                <w:bCs w:val="0"/>
                <w:sz w:val="20"/>
                <w:szCs w:val="20"/>
                <w:lang w:val="en-US" w:eastAsia="zh-CN"/>
              </w:rPr>
              <w:t>75</w:t>
            </w:r>
            <w:r>
              <w:rPr>
                <w:b w:val="0"/>
                <w:bCs w:val="0"/>
                <w:sz w:val="20"/>
                <w:szCs w:val="20"/>
              </w:rPr>
              <w:t>%</w:t>
            </w:r>
          </w:p>
        </w:tc>
        <w:tc>
          <w:tcPr>
            <w:tcW w:w="1813" w:type="dxa"/>
            <w:tcBorders>
              <w:top w:val="single" w:color="CCCCCC" w:sz="2" w:space="0"/>
              <w:left w:val="single" w:color="CCCCCC" w:sz="2" w:space="0"/>
              <w:bottom w:val="single" w:color="CCCCCC" w:sz="2" w:space="0"/>
              <w:right w:val="single" w:color="CCCCCC" w:sz="2" w:space="0"/>
            </w:tcBorders>
            <w:vAlign w:val="center"/>
          </w:tcPr>
          <w:p w14:paraId="29C7BD50">
            <w:pPr>
              <w:jc w:val="center"/>
              <w:rPr>
                <w:sz w:val="20"/>
                <w:szCs w:val="20"/>
              </w:rPr>
            </w:pPr>
            <w:r>
              <w:rPr>
                <w:b w:val="0"/>
                <w:bCs w:val="0"/>
                <w:sz w:val="20"/>
                <w:szCs w:val="20"/>
              </w:rPr>
              <w:t>18.8</w:t>
            </w:r>
            <w:r>
              <w:rPr>
                <w:rFonts w:hint="eastAsia" w:eastAsia="宋体"/>
                <w:b w:val="0"/>
                <w:bCs w:val="0"/>
                <w:sz w:val="20"/>
                <w:szCs w:val="20"/>
                <w:lang w:val="en-US" w:eastAsia="zh-CN"/>
              </w:rPr>
              <w:t>0</w:t>
            </w:r>
            <w:r>
              <w:rPr>
                <w:b w:val="0"/>
                <w:bCs w:val="0"/>
                <w:sz w:val="20"/>
                <w:szCs w:val="20"/>
              </w:rPr>
              <w:t>%</w:t>
            </w:r>
          </w:p>
        </w:tc>
        <w:tc>
          <w:tcPr>
            <w:tcW w:w="1384" w:type="dxa"/>
            <w:tcBorders>
              <w:top w:val="single" w:color="CCCCCC" w:sz="2" w:space="0"/>
              <w:left w:val="single" w:color="CCCCCC" w:sz="2" w:space="0"/>
              <w:bottom w:val="single" w:color="CCCCCC" w:sz="2" w:space="0"/>
              <w:right w:val="single" w:color="CCCCCC" w:sz="2" w:space="0"/>
            </w:tcBorders>
            <w:vAlign w:val="center"/>
          </w:tcPr>
          <w:p w14:paraId="1D93B998">
            <w:pPr>
              <w:jc w:val="center"/>
              <w:rPr>
                <w:rFonts w:hint="default" w:eastAsia="宋体"/>
                <w:sz w:val="20"/>
                <w:szCs w:val="20"/>
                <w:lang w:val="en-US" w:eastAsia="zh-CN"/>
              </w:rPr>
            </w:pPr>
            <w:r>
              <w:rPr>
                <w:b w:val="0"/>
                <w:bCs w:val="0"/>
                <w:sz w:val="20"/>
                <w:szCs w:val="20"/>
              </w:rPr>
              <w:t>4</w:t>
            </w:r>
            <w:r>
              <w:rPr>
                <w:rFonts w:hint="eastAsia" w:eastAsia="宋体"/>
                <w:b w:val="0"/>
                <w:bCs w:val="0"/>
                <w:sz w:val="20"/>
                <w:szCs w:val="20"/>
                <w:lang w:val="en-US" w:eastAsia="zh-CN"/>
              </w:rPr>
              <w:t>4.95</w:t>
            </w:r>
          </w:p>
        </w:tc>
      </w:tr>
      <w:tr w14:paraId="4456B689">
        <w:tc>
          <w:tcPr>
            <w:tcW w:w="3349" w:type="dxa"/>
            <w:tcBorders>
              <w:top w:val="single" w:color="CCCCCC" w:sz="2" w:space="0"/>
              <w:left w:val="single" w:color="CCCCCC" w:sz="2" w:space="0"/>
              <w:bottom w:val="single" w:color="CCCCCC" w:sz="2" w:space="0"/>
              <w:right w:val="single" w:color="CCCCCC" w:sz="2" w:space="0"/>
            </w:tcBorders>
            <w:shd w:val="clear" w:color="auto" w:fill="auto"/>
            <w:vAlign w:val="center"/>
          </w:tcPr>
          <w:p w14:paraId="525B5B2C">
            <w:pPr>
              <w:jc w:val="center"/>
              <w:rPr>
                <w:b w:val="0"/>
                <w:bCs w:val="0"/>
                <w:sz w:val="20"/>
                <w:szCs w:val="20"/>
              </w:rPr>
            </w:pPr>
            <w:r>
              <w:rPr>
                <w:b w:val="0"/>
                <w:bCs w:val="0"/>
                <w:sz w:val="20"/>
                <w:szCs w:val="20"/>
              </w:rPr>
              <w:t>Low - High Difference</w:t>
            </w:r>
          </w:p>
        </w:tc>
        <w:tc>
          <w:tcPr>
            <w:tcW w:w="1160" w:type="dxa"/>
            <w:tcBorders>
              <w:top w:val="single" w:color="CCCCCC" w:sz="2" w:space="0"/>
              <w:left w:val="single" w:color="CCCCCC" w:sz="2" w:space="0"/>
              <w:bottom w:val="single" w:color="CCCCCC" w:sz="2" w:space="0"/>
              <w:right w:val="single" w:color="CCCCCC" w:sz="2" w:space="0"/>
            </w:tcBorders>
            <w:shd w:val="clear" w:color="auto" w:fill="auto"/>
            <w:vAlign w:val="center"/>
          </w:tcPr>
          <w:p w14:paraId="679C1D33">
            <w:pPr>
              <w:jc w:val="center"/>
              <w:rPr>
                <w:b w:val="0"/>
                <w:bCs w:val="0"/>
                <w:sz w:val="20"/>
                <w:szCs w:val="20"/>
              </w:rPr>
            </w:pPr>
            <w:r>
              <w:rPr>
                <w:b w:val="0"/>
                <w:bCs w:val="0"/>
                <w:sz w:val="20"/>
                <w:szCs w:val="20"/>
              </w:rPr>
              <w:t>—</w:t>
            </w:r>
          </w:p>
        </w:tc>
        <w:tc>
          <w:tcPr>
            <w:tcW w:w="1854" w:type="dxa"/>
            <w:tcBorders>
              <w:top w:val="single" w:color="CCCCCC" w:sz="2" w:space="0"/>
              <w:left w:val="single" w:color="CCCCCC" w:sz="2" w:space="0"/>
              <w:bottom w:val="single" w:color="CCCCCC" w:sz="2" w:space="0"/>
              <w:right w:val="single" w:color="CCCCCC" w:sz="2" w:space="0"/>
            </w:tcBorders>
            <w:shd w:val="clear" w:color="auto" w:fill="auto"/>
            <w:vAlign w:val="center"/>
          </w:tcPr>
          <w:p w14:paraId="13488BB0">
            <w:pPr>
              <w:jc w:val="center"/>
              <w:rPr>
                <w:b w:val="0"/>
                <w:bCs w:val="0"/>
                <w:sz w:val="20"/>
                <w:szCs w:val="20"/>
              </w:rPr>
            </w:pPr>
            <w:r>
              <w:rPr>
                <w:b w:val="0"/>
                <w:bCs w:val="0"/>
                <w:sz w:val="20"/>
                <w:szCs w:val="20"/>
              </w:rPr>
              <w:t>+12.</w:t>
            </w:r>
            <w:r>
              <w:rPr>
                <w:rFonts w:hint="eastAsia" w:eastAsia="宋体"/>
                <w:b w:val="0"/>
                <w:bCs w:val="0"/>
                <w:sz w:val="20"/>
                <w:szCs w:val="20"/>
                <w:lang w:val="en-US" w:eastAsia="zh-CN"/>
              </w:rPr>
              <w:t>27</w:t>
            </w:r>
            <w:r>
              <w:rPr>
                <w:b w:val="0"/>
                <w:bCs w:val="0"/>
                <w:sz w:val="20"/>
                <w:szCs w:val="20"/>
              </w:rPr>
              <w:t xml:space="preserve"> pp</w:t>
            </w:r>
          </w:p>
        </w:tc>
        <w:tc>
          <w:tcPr>
            <w:tcW w:w="1813" w:type="dxa"/>
            <w:tcBorders>
              <w:top w:val="single" w:color="CCCCCC" w:sz="2" w:space="0"/>
              <w:left w:val="single" w:color="CCCCCC" w:sz="2" w:space="0"/>
              <w:bottom w:val="single" w:color="CCCCCC" w:sz="2" w:space="0"/>
              <w:right w:val="single" w:color="CCCCCC" w:sz="2" w:space="0"/>
            </w:tcBorders>
            <w:shd w:val="clear" w:color="auto" w:fill="auto"/>
            <w:vAlign w:val="center"/>
          </w:tcPr>
          <w:p w14:paraId="2224C242">
            <w:pPr>
              <w:jc w:val="center"/>
              <w:rPr>
                <w:b w:val="0"/>
                <w:bCs w:val="0"/>
                <w:sz w:val="20"/>
                <w:szCs w:val="20"/>
              </w:rPr>
            </w:pPr>
            <w:r>
              <w:rPr>
                <w:rFonts w:hint="eastAsia"/>
                <w:b w:val="0"/>
                <w:bCs w:val="0"/>
                <w:sz w:val="20"/>
                <w:szCs w:val="20"/>
              </w:rPr>
              <w:t>−</w:t>
            </w:r>
            <w:r>
              <w:rPr>
                <w:b w:val="0"/>
                <w:bCs w:val="0"/>
                <w:sz w:val="20"/>
                <w:szCs w:val="20"/>
              </w:rPr>
              <w:t>1.</w:t>
            </w:r>
            <w:r>
              <w:rPr>
                <w:rFonts w:hint="eastAsia" w:eastAsia="宋体"/>
                <w:b w:val="0"/>
                <w:bCs w:val="0"/>
                <w:sz w:val="20"/>
                <w:szCs w:val="20"/>
                <w:lang w:val="en-US" w:eastAsia="zh-CN"/>
              </w:rPr>
              <w:t>58</w:t>
            </w:r>
            <w:r>
              <w:rPr>
                <w:b w:val="0"/>
                <w:bCs w:val="0"/>
                <w:sz w:val="20"/>
                <w:szCs w:val="20"/>
              </w:rPr>
              <w:t xml:space="preserve"> pp</w:t>
            </w:r>
          </w:p>
        </w:tc>
        <w:tc>
          <w:tcPr>
            <w:tcW w:w="1384" w:type="dxa"/>
            <w:tcBorders>
              <w:top w:val="single" w:color="CCCCCC" w:sz="2" w:space="0"/>
              <w:left w:val="single" w:color="CCCCCC" w:sz="2" w:space="0"/>
              <w:bottom w:val="single" w:color="CCCCCC" w:sz="2" w:space="0"/>
              <w:right w:val="single" w:color="CCCCCC" w:sz="2" w:space="0"/>
            </w:tcBorders>
            <w:shd w:val="clear" w:color="auto" w:fill="auto"/>
            <w:vAlign w:val="center"/>
          </w:tcPr>
          <w:p w14:paraId="5D6053E5">
            <w:pPr>
              <w:jc w:val="center"/>
              <w:rPr>
                <w:b w:val="0"/>
                <w:bCs w:val="0"/>
                <w:sz w:val="20"/>
                <w:szCs w:val="20"/>
              </w:rPr>
            </w:pPr>
            <w:r>
              <w:rPr>
                <w:b w:val="0"/>
                <w:bCs w:val="0"/>
                <w:sz w:val="20"/>
                <w:szCs w:val="20"/>
              </w:rPr>
              <w:t>—</w:t>
            </w:r>
          </w:p>
        </w:tc>
      </w:tr>
    </w:tbl>
    <w:p w14:paraId="4B9F650F">
      <w:pPr>
        <w:spacing w:before="0" w:after="300"/>
      </w:pPr>
      <w:r>
        <w:rPr>
          <w:rFonts w:hint="eastAsia"/>
          <w:i/>
          <w:iCs/>
          <w:color w:val="666666"/>
          <w:sz w:val="20"/>
          <w:szCs w:val="20"/>
        </w:rPr>
        <w:t>Note. EF denotes the operational effective-feedback composite, not measured feedback efficacy. Entries are means of per-student percentages. Δ = historical EF% − KG-to-Task EF%, which equals the mean KG share in each group. The final row reports Low minus High. Differences are calculated from unrounded values; pp = percentage points.</w:t>
      </w:r>
    </w:p>
    <w:p w14:paraId="76EBF1BF">
      <w:pPr>
        <w:pStyle w:val="5"/>
      </w:pPr>
      <w:r>
        <w:t>4.4 Statistical Tests: Low vs. High Performers</w:t>
      </w:r>
    </w:p>
    <w:p w14:paraId="7C812DCA">
      <w:pPr>
        <w:keepNext/>
        <w:keepLines/>
        <w:pageBreakBefore w:val="0"/>
        <w:widowControl/>
        <w:kinsoku/>
        <w:wordWrap/>
        <w:overflowPunct/>
        <w:topLinePunct w:val="0"/>
        <w:autoSpaceDE/>
        <w:autoSpaceDN/>
        <w:bidi w:val="0"/>
        <w:adjustRightInd/>
        <w:snapToGrid/>
        <w:spacing w:before="0" w:after="200"/>
        <w:textAlignment w:val="auto"/>
        <w:rPr>
          <w:rFonts w:hint="default" w:ascii="Arial Bold" w:hAnsi="Arial Bold" w:cs="Arial Bold"/>
          <w:b/>
          <w:bCs/>
          <w:sz w:val="22"/>
          <w:szCs w:val="22"/>
          <w:lang w:val="en-US" w:eastAsia="zh-CN"/>
        </w:rPr>
      </w:pPr>
      <w:r>
        <w:rPr>
          <w:rFonts w:hint="default" w:ascii="Arial Bold" w:hAnsi="Arial Bold" w:cs="Arial Bold"/>
          <w:b/>
          <w:bCs/>
          <w:sz w:val="22"/>
          <w:szCs w:val="22"/>
          <w:lang w:val="en-US" w:eastAsia="zh-CN"/>
        </w:rPr>
        <w:t>Table 4. Welch Comparisons of Effective-Feedback Shares between Low and High Strict-Accuracy Groups</w:t>
      </w:r>
    </w:p>
    <w:tbl>
      <w:tblPr>
        <w:tblStyle w:val="14"/>
        <w:tblW w:w="5000" w:type="pct"/>
        <w:tblInd w:w="0" w:type="dxa"/>
        <w:tblLayout w:type="fixed"/>
        <w:tblCellMar>
          <w:top w:w="60" w:type="dxa"/>
          <w:left w:w="100" w:type="dxa"/>
          <w:bottom w:w="60" w:type="dxa"/>
          <w:right w:w="100" w:type="dxa"/>
        </w:tblCellMar>
      </w:tblPr>
      <w:tblGrid>
        <w:gridCol w:w="3187"/>
        <w:gridCol w:w="3187"/>
        <w:gridCol w:w="3187"/>
      </w:tblGrid>
      <w:tr w14:paraId="5AF6F62C">
        <w:tc>
          <w:tcPr>
            <w:tcW w:w="3120" w:type="dxa"/>
            <w:tcBorders>
              <w:top w:val="single" w:color="CCCCCC" w:sz="2" w:space="0"/>
              <w:left w:val="single" w:color="CCCCCC" w:sz="2" w:space="0"/>
              <w:bottom w:val="single" w:color="CCCCCC" w:sz="2" w:space="0"/>
              <w:right w:val="single" w:color="CCCCCC" w:sz="2" w:space="0"/>
            </w:tcBorders>
            <w:shd w:val="clear" w:color="auto" w:fill="024E7A" w:themeFill="accent2" w:themeFillShade="BF"/>
          </w:tcPr>
          <w:p w14:paraId="053C91C0">
            <w:pPr>
              <w:keepNext/>
              <w:keepLines/>
              <w:pageBreakBefore w:val="0"/>
              <w:widowControl/>
              <w:kinsoku/>
              <w:wordWrap/>
              <w:overflowPunct/>
              <w:topLinePunct w:val="0"/>
              <w:autoSpaceDE/>
              <w:autoSpaceDN/>
              <w:bidi w:val="0"/>
              <w:adjustRightInd/>
              <w:snapToGrid/>
              <w:jc w:val="left"/>
              <w:textAlignment w:val="auto"/>
              <w:rPr>
                <w:color w:val="FFFFFF" w:themeColor="background1"/>
                <w:sz w:val="20"/>
                <w:szCs w:val="20"/>
              </w:rPr>
            </w:pPr>
            <w:r>
              <w:rPr>
                <w:b/>
                <w:bCs/>
                <w:color w:val="FFFFFF" w:themeColor="background1"/>
                <w:sz w:val="20"/>
                <w:szCs w:val="20"/>
              </w:rPr>
              <w:t>Statistic</w:t>
            </w:r>
          </w:p>
        </w:tc>
        <w:tc>
          <w:tcPr>
            <w:tcW w:w="3120" w:type="dxa"/>
            <w:tcBorders>
              <w:top w:val="single" w:color="CCCCCC" w:sz="2" w:space="0"/>
              <w:left w:val="single" w:color="CCCCCC" w:sz="2" w:space="0"/>
              <w:bottom w:val="single" w:color="CCCCCC" w:sz="2" w:space="0"/>
              <w:right w:val="single" w:color="CCCCCC" w:sz="2" w:space="0"/>
            </w:tcBorders>
            <w:shd w:val="clear" w:color="auto" w:fill="024E7A" w:themeFill="accent2" w:themeFillShade="BF"/>
          </w:tcPr>
          <w:p w14:paraId="0D6639EB">
            <w:pPr>
              <w:keepNext/>
              <w:keepLines/>
              <w:pageBreakBefore w:val="0"/>
              <w:widowControl/>
              <w:kinsoku/>
              <w:wordWrap/>
              <w:overflowPunct/>
              <w:topLinePunct w:val="0"/>
              <w:autoSpaceDE/>
              <w:autoSpaceDN/>
              <w:bidi w:val="0"/>
              <w:adjustRightInd/>
              <w:snapToGrid/>
              <w:jc w:val="center"/>
              <w:textAlignment w:val="auto"/>
              <w:rPr>
                <w:color w:val="FFFFFF" w:themeColor="background1"/>
                <w:sz w:val="20"/>
                <w:szCs w:val="20"/>
              </w:rPr>
            </w:pPr>
            <w:r>
              <w:rPr>
                <w:rFonts w:hint="eastAsia"/>
                <w:b/>
                <w:bCs/>
                <w:color w:val="FFFFFF" w:themeColor="background1"/>
                <w:sz w:val="20"/>
                <w:szCs w:val="20"/>
              </w:rPr>
              <w:t>Historical mapping</w:t>
            </w:r>
          </w:p>
        </w:tc>
        <w:tc>
          <w:tcPr>
            <w:tcW w:w="3120" w:type="dxa"/>
            <w:tcBorders>
              <w:top w:val="single" w:color="CCCCCC" w:sz="2" w:space="0"/>
              <w:left w:val="single" w:color="CCCCCC" w:sz="2" w:space="0"/>
              <w:bottom w:val="single" w:color="CCCCCC" w:sz="2" w:space="0"/>
              <w:right w:val="single" w:color="CCCCCC" w:sz="2" w:space="0"/>
            </w:tcBorders>
            <w:shd w:val="clear" w:color="auto" w:fill="024E7A" w:themeFill="accent2" w:themeFillShade="BF"/>
          </w:tcPr>
          <w:p w14:paraId="06674ACC">
            <w:pPr>
              <w:keepNext/>
              <w:keepLines/>
              <w:pageBreakBefore w:val="0"/>
              <w:widowControl/>
              <w:kinsoku/>
              <w:wordWrap/>
              <w:overflowPunct/>
              <w:topLinePunct w:val="0"/>
              <w:autoSpaceDE/>
              <w:autoSpaceDN/>
              <w:bidi w:val="0"/>
              <w:adjustRightInd/>
              <w:snapToGrid/>
              <w:jc w:val="center"/>
              <w:textAlignment w:val="auto"/>
              <w:rPr>
                <w:color w:val="FFFFFF" w:themeColor="background1"/>
                <w:sz w:val="20"/>
                <w:szCs w:val="20"/>
              </w:rPr>
            </w:pPr>
            <w:r>
              <w:rPr>
                <w:rFonts w:hint="eastAsia"/>
                <w:b/>
                <w:bCs/>
                <w:color w:val="FFFFFF" w:themeColor="background1"/>
                <w:sz w:val="20"/>
                <w:szCs w:val="20"/>
              </w:rPr>
              <w:t>KG moved to Task</w:t>
            </w:r>
          </w:p>
        </w:tc>
      </w:tr>
      <w:tr w14:paraId="12AFC364">
        <w:tc>
          <w:tcPr>
            <w:tcW w:w="3120" w:type="dxa"/>
            <w:tcBorders>
              <w:top w:val="single" w:color="CCCCCC" w:sz="2" w:space="0"/>
              <w:left w:val="single" w:color="CCCCCC" w:sz="2" w:space="0"/>
              <w:bottom w:val="single" w:color="CCCCCC" w:sz="2" w:space="0"/>
              <w:right w:val="single" w:color="CCCCCC" w:sz="2" w:space="0"/>
            </w:tcBorders>
          </w:tcPr>
          <w:p w14:paraId="6D719B3F">
            <w:pPr>
              <w:keepNext/>
              <w:keepLines/>
              <w:pageBreakBefore w:val="0"/>
              <w:widowControl/>
              <w:kinsoku/>
              <w:wordWrap/>
              <w:overflowPunct/>
              <w:topLinePunct w:val="0"/>
              <w:autoSpaceDE/>
              <w:autoSpaceDN/>
              <w:bidi w:val="0"/>
              <w:adjustRightInd/>
              <w:snapToGrid/>
              <w:jc w:val="left"/>
              <w:textAlignment w:val="auto"/>
              <w:rPr>
                <w:sz w:val="20"/>
                <w:szCs w:val="20"/>
              </w:rPr>
            </w:pPr>
            <w:r>
              <w:rPr>
                <w:rFonts w:hint="eastAsia"/>
                <w:sz w:val="20"/>
                <w:szCs w:val="20"/>
              </w:rPr>
              <w:t>Group sizes</w:t>
            </w:r>
          </w:p>
        </w:tc>
        <w:tc>
          <w:tcPr>
            <w:tcW w:w="3120" w:type="dxa"/>
            <w:tcBorders>
              <w:top w:val="single" w:color="CCCCCC" w:sz="2" w:space="0"/>
              <w:left w:val="single" w:color="CCCCCC" w:sz="2" w:space="0"/>
              <w:bottom w:val="single" w:color="CCCCCC" w:sz="2" w:space="0"/>
              <w:right w:val="single" w:color="CCCCCC" w:sz="2" w:space="0"/>
            </w:tcBorders>
          </w:tcPr>
          <w:p w14:paraId="374554AD">
            <w:pPr>
              <w:keepNext/>
              <w:keepLines/>
              <w:pageBreakBefore w:val="0"/>
              <w:widowControl/>
              <w:kinsoku/>
              <w:wordWrap/>
              <w:overflowPunct/>
              <w:topLinePunct w:val="0"/>
              <w:autoSpaceDE/>
              <w:autoSpaceDN/>
              <w:bidi w:val="0"/>
              <w:adjustRightInd/>
              <w:snapToGrid/>
              <w:jc w:val="center"/>
              <w:textAlignment w:val="auto"/>
              <w:rPr>
                <w:sz w:val="20"/>
                <w:szCs w:val="20"/>
              </w:rPr>
            </w:pPr>
            <w:r>
              <w:rPr>
                <w:rFonts w:hint="eastAsia"/>
                <w:sz w:val="20"/>
                <w:szCs w:val="20"/>
              </w:rPr>
              <w:t xml:space="preserve">Low </w:t>
            </w:r>
            <w:r>
              <w:rPr>
                <w:rFonts w:hint="default" w:ascii="Arial Italic" w:hAnsi="Arial Italic" w:cs="Arial Italic"/>
                <w:i/>
                <w:iCs/>
                <w:sz w:val="20"/>
                <w:szCs w:val="20"/>
              </w:rPr>
              <w:t>n</w:t>
            </w:r>
            <w:r>
              <w:rPr>
                <w:rFonts w:hint="eastAsia"/>
                <w:sz w:val="20"/>
                <w:szCs w:val="20"/>
              </w:rPr>
              <w:t xml:space="preserve"> = 5,540; High </w:t>
            </w:r>
            <w:r>
              <w:rPr>
                <w:rFonts w:hint="default" w:ascii="Arial Italic" w:hAnsi="Arial Italic" w:cs="Arial Italic"/>
                <w:i/>
                <w:iCs/>
                <w:sz w:val="20"/>
                <w:szCs w:val="20"/>
              </w:rPr>
              <w:t>n</w:t>
            </w:r>
            <w:r>
              <w:rPr>
                <w:rFonts w:hint="eastAsia"/>
                <w:sz w:val="20"/>
                <w:szCs w:val="20"/>
              </w:rPr>
              <w:t xml:space="preserve"> = 5,382</w:t>
            </w:r>
          </w:p>
        </w:tc>
        <w:tc>
          <w:tcPr>
            <w:tcW w:w="3120" w:type="dxa"/>
            <w:tcBorders>
              <w:top w:val="single" w:color="CCCCCC" w:sz="2" w:space="0"/>
              <w:left w:val="single" w:color="CCCCCC" w:sz="2" w:space="0"/>
              <w:bottom w:val="single" w:color="CCCCCC" w:sz="2" w:space="0"/>
              <w:right w:val="single" w:color="CCCCCC" w:sz="2" w:space="0"/>
            </w:tcBorders>
          </w:tcPr>
          <w:p w14:paraId="72963AE6">
            <w:pPr>
              <w:keepNext/>
              <w:keepLines/>
              <w:pageBreakBefore w:val="0"/>
              <w:widowControl/>
              <w:kinsoku/>
              <w:wordWrap/>
              <w:overflowPunct/>
              <w:topLinePunct w:val="0"/>
              <w:autoSpaceDE/>
              <w:autoSpaceDN/>
              <w:bidi w:val="0"/>
              <w:adjustRightInd/>
              <w:snapToGrid/>
              <w:jc w:val="center"/>
              <w:textAlignment w:val="auto"/>
              <w:rPr>
                <w:sz w:val="20"/>
                <w:szCs w:val="20"/>
              </w:rPr>
            </w:pPr>
            <w:r>
              <w:rPr>
                <w:rFonts w:hint="eastAsia"/>
                <w:sz w:val="20"/>
                <w:szCs w:val="20"/>
              </w:rPr>
              <w:t xml:space="preserve">Low </w:t>
            </w:r>
            <w:r>
              <w:rPr>
                <w:rFonts w:hint="default" w:ascii="Arial Italic" w:hAnsi="Arial Italic" w:cs="Arial Italic"/>
                <w:i/>
                <w:iCs/>
                <w:sz w:val="20"/>
                <w:szCs w:val="20"/>
              </w:rPr>
              <w:t>n</w:t>
            </w:r>
            <w:r>
              <w:rPr>
                <w:rFonts w:hint="eastAsia"/>
                <w:sz w:val="20"/>
                <w:szCs w:val="20"/>
              </w:rPr>
              <w:t xml:space="preserve"> = 5,540; High </w:t>
            </w:r>
            <w:r>
              <w:rPr>
                <w:rFonts w:hint="default" w:ascii="Arial Italic" w:hAnsi="Arial Italic" w:cs="Arial Italic"/>
                <w:i/>
                <w:iCs/>
                <w:sz w:val="20"/>
                <w:szCs w:val="20"/>
              </w:rPr>
              <w:t>n</w:t>
            </w:r>
            <w:r>
              <w:rPr>
                <w:rFonts w:hint="eastAsia"/>
                <w:sz w:val="20"/>
                <w:szCs w:val="20"/>
              </w:rPr>
              <w:t xml:space="preserve"> = 5,382</w:t>
            </w:r>
          </w:p>
        </w:tc>
      </w:tr>
      <w:tr w14:paraId="1F92C191">
        <w:tc>
          <w:tcPr>
            <w:tcW w:w="3120" w:type="dxa"/>
            <w:tcBorders>
              <w:top w:val="single" w:color="CCCCCC" w:sz="2" w:space="0"/>
              <w:left w:val="single" w:color="CCCCCC" w:sz="2" w:space="0"/>
              <w:bottom w:val="single" w:color="CCCCCC" w:sz="2" w:space="0"/>
              <w:right w:val="single" w:color="CCCCCC" w:sz="2" w:space="0"/>
            </w:tcBorders>
          </w:tcPr>
          <w:p w14:paraId="0409207F">
            <w:pPr>
              <w:keepNext/>
              <w:keepLines/>
              <w:pageBreakBefore w:val="0"/>
              <w:widowControl/>
              <w:kinsoku/>
              <w:wordWrap/>
              <w:overflowPunct/>
              <w:topLinePunct w:val="0"/>
              <w:autoSpaceDE/>
              <w:autoSpaceDN/>
              <w:bidi w:val="0"/>
              <w:adjustRightInd/>
              <w:snapToGrid/>
              <w:jc w:val="left"/>
              <w:textAlignment w:val="auto"/>
              <w:rPr>
                <w:sz w:val="20"/>
                <w:szCs w:val="20"/>
              </w:rPr>
            </w:pPr>
            <w:r>
              <w:rPr>
                <w:rFonts w:hint="eastAsia"/>
                <w:sz w:val="20"/>
                <w:szCs w:val="20"/>
              </w:rPr>
              <w:t>Low group EF%</w:t>
            </w:r>
          </w:p>
        </w:tc>
        <w:tc>
          <w:tcPr>
            <w:tcW w:w="3120" w:type="dxa"/>
            <w:tcBorders>
              <w:top w:val="single" w:color="CCCCCC" w:sz="2" w:space="0"/>
              <w:left w:val="single" w:color="CCCCCC" w:sz="2" w:space="0"/>
              <w:bottom w:val="single" w:color="CCCCCC" w:sz="2" w:space="0"/>
              <w:right w:val="single" w:color="CCCCCC" w:sz="2" w:space="0"/>
            </w:tcBorders>
          </w:tcPr>
          <w:p w14:paraId="6BD70102">
            <w:pPr>
              <w:keepNext/>
              <w:keepLines/>
              <w:pageBreakBefore w:val="0"/>
              <w:widowControl/>
              <w:kinsoku/>
              <w:wordWrap/>
              <w:overflowPunct/>
              <w:topLinePunct w:val="0"/>
              <w:autoSpaceDE/>
              <w:autoSpaceDN/>
              <w:bidi w:val="0"/>
              <w:adjustRightInd/>
              <w:snapToGrid/>
              <w:jc w:val="center"/>
              <w:textAlignment w:val="auto"/>
              <w:rPr>
                <w:sz w:val="20"/>
                <w:szCs w:val="20"/>
              </w:rPr>
            </w:pPr>
            <w:r>
              <w:rPr>
                <w:rFonts w:hint="default" w:ascii="Arial Italic" w:hAnsi="Arial Italic" w:cs="Arial Italic"/>
                <w:i/>
                <w:iCs/>
                <w:sz w:val="20"/>
                <w:szCs w:val="20"/>
              </w:rPr>
              <w:t>M</w:t>
            </w:r>
            <w:r>
              <w:rPr>
                <w:rFonts w:hint="eastAsia"/>
                <w:sz w:val="20"/>
                <w:szCs w:val="20"/>
              </w:rPr>
              <w:t xml:space="preserve"> = 76.02, </w:t>
            </w:r>
            <w:r>
              <w:rPr>
                <w:rFonts w:hint="default" w:ascii="Arial Italic" w:hAnsi="Arial Italic" w:cs="Arial Italic"/>
                <w:i/>
                <w:iCs/>
                <w:sz w:val="20"/>
                <w:szCs w:val="20"/>
              </w:rPr>
              <w:t>SD</w:t>
            </w:r>
            <w:r>
              <w:rPr>
                <w:rFonts w:hint="eastAsia"/>
                <w:sz w:val="20"/>
                <w:szCs w:val="20"/>
              </w:rPr>
              <w:t xml:space="preserve"> = 36.50</w:t>
            </w:r>
          </w:p>
        </w:tc>
        <w:tc>
          <w:tcPr>
            <w:tcW w:w="3120" w:type="dxa"/>
            <w:tcBorders>
              <w:top w:val="single" w:color="CCCCCC" w:sz="2" w:space="0"/>
              <w:left w:val="single" w:color="CCCCCC" w:sz="2" w:space="0"/>
              <w:bottom w:val="single" w:color="CCCCCC" w:sz="2" w:space="0"/>
              <w:right w:val="single" w:color="CCCCCC" w:sz="2" w:space="0"/>
            </w:tcBorders>
          </w:tcPr>
          <w:p w14:paraId="7E178668">
            <w:pPr>
              <w:keepNext/>
              <w:keepLines/>
              <w:pageBreakBefore w:val="0"/>
              <w:widowControl/>
              <w:kinsoku/>
              <w:wordWrap/>
              <w:overflowPunct/>
              <w:topLinePunct w:val="0"/>
              <w:autoSpaceDE/>
              <w:autoSpaceDN/>
              <w:bidi w:val="0"/>
              <w:adjustRightInd/>
              <w:snapToGrid/>
              <w:jc w:val="center"/>
              <w:textAlignment w:val="auto"/>
              <w:rPr>
                <w:sz w:val="20"/>
                <w:szCs w:val="20"/>
              </w:rPr>
            </w:pPr>
            <w:r>
              <w:rPr>
                <w:rFonts w:hint="default" w:ascii="Arial Italic" w:hAnsi="Arial Italic" w:cs="Arial Italic"/>
                <w:i/>
                <w:iCs/>
                <w:sz w:val="20"/>
                <w:szCs w:val="20"/>
              </w:rPr>
              <w:t>M</w:t>
            </w:r>
            <w:r>
              <w:rPr>
                <w:rFonts w:hint="eastAsia"/>
                <w:sz w:val="20"/>
                <w:szCs w:val="20"/>
              </w:rPr>
              <w:t xml:space="preserve"> = 17.21, </w:t>
            </w:r>
            <w:r>
              <w:rPr>
                <w:rFonts w:hint="default" w:ascii="Arial Italic" w:hAnsi="Arial Italic" w:cs="Arial Italic"/>
                <w:i/>
                <w:iCs/>
                <w:sz w:val="20"/>
                <w:szCs w:val="20"/>
              </w:rPr>
              <w:t>SD</w:t>
            </w:r>
            <w:r>
              <w:rPr>
                <w:rFonts w:hint="eastAsia"/>
                <w:sz w:val="20"/>
                <w:szCs w:val="20"/>
              </w:rPr>
              <w:t xml:space="preserve"> = 31.01</w:t>
            </w:r>
          </w:p>
        </w:tc>
      </w:tr>
      <w:tr w14:paraId="7D2B3648">
        <w:tc>
          <w:tcPr>
            <w:tcW w:w="3120" w:type="dxa"/>
            <w:tcBorders>
              <w:top w:val="single" w:color="CCCCCC" w:sz="2" w:space="0"/>
              <w:left w:val="single" w:color="CCCCCC" w:sz="2" w:space="0"/>
              <w:bottom w:val="single" w:color="CCCCCC" w:sz="2" w:space="0"/>
              <w:right w:val="single" w:color="CCCCCC" w:sz="2" w:space="0"/>
            </w:tcBorders>
          </w:tcPr>
          <w:p w14:paraId="58C6D3B4">
            <w:pPr>
              <w:keepNext/>
              <w:keepLines/>
              <w:pageBreakBefore w:val="0"/>
              <w:widowControl/>
              <w:kinsoku/>
              <w:wordWrap/>
              <w:overflowPunct/>
              <w:topLinePunct w:val="0"/>
              <w:autoSpaceDE/>
              <w:autoSpaceDN/>
              <w:bidi w:val="0"/>
              <w:adjustRightInd/>
              <w:snapToGrid/>
              <w:jc w:val="left"/>
              <w:textAlignment w:val="auto"/>
              <w:rPr>
                <w:sz w:val="20"/>
                <w:szCs w:val="20"/>
              </w:rPr>
            </w:pPr>
            <w:r>
              <w:rPr>
                <w:rFonts w:hint="eastAsia"/>
                <w:sz w:val="20"/>
                <w:szCs w:val="20"/>
              </w:rPr>
              <w:t>High group EF%</w:t>
            </w:r>
          </w:p>
        </w:tc>
        <w:tc>
          <w:tcPr>
            <w:tcW w:w="3120" w:type="dxa"/>
            <w:tcBorders>
              <w:top w:val="single" w:color="CCCCCC" w:sz="2" w:space="0"/>
              <w:left w:val="single" w:color="CCCCCC" w:sz="2" w:space="0"/>
              <w:bottom w:val="single" w:color="CCCCCC" w:sz="2" w:space="0"/>
              <w:right w:val="single" w:color="CCCCCC" w:sz="2" w:space="0"/>
            </w:tcBorders>
          </w:tcPr>
          <w:p w14:paraId="582C0606">
            <w:pPr>
              <w:keepNext/>
              <w:keepLines/>
              <w:pageBreakBefore w:val="0"/>
              <w:widowControl/>
              <w:kinsoku/>
              <w:wordWrap/>
              <w:overflowPunct/>
              <w:topLinePunct w:val="0"/>
              <w:autoSpaceDE/>
              <w:autoSpaceDN/>
              <w:bidi w:val="0"/>
              <w:adjustRightInd/>
              <w:snapToGrid/>
              <w:jc w:val="center"/>
              <w:textAlignment w:val="auto"/>
              <w:rPr>
                <w:sz w:val="20"/>
                <w:szCs w:val="20"/>
              </w:rPr>
            </w:pPr>
            <w:r>
              <w:rPr>
                <w:rFonts w:hint="default" w:ascii="Arial Italic" w:hAnsi="Arial Italic" w:cs="Arial Italic"/>
                <w:i/>
                <w:iCs/>
                <w:sz w:val="20"/>
                <w:szCs w:val="20"/>
              </w:rPr>
              <w:t>M</w:t>
            </w:r>
            <w:r>
              <w:rPr>
                <w:rFonts w:hint="eastAsia"/>
                <w:sz w:val="20"/>
                <w:szCs w:val="20"/>
              </w:rPr>
              <w:t xml:space="preserve"> = 63.75, </w:t>
            </w:r>
            <w:r>
              <w:rPr>
                <w:rFonts w:hint="default" w:ascii="Arial Italic" w:hAnsi="Arial Italic" w:cs="Arial Italic"/>
                <w:i/>
                <w:iCs/>
                <w:sz w:val="20"/>
                <w:szCs w:val="20"/>
              </w:rPr>
              <w:t>SD</w:t>
            </w:r>
            <w:r>
              <w:rPr>
                <w:rFonts w:hint="eastAsia"/>
                <w:sz w:val="20"/>
                <w:szCs w:val="20"/>
              </w:rPr>
              <w:t xml:space="preserve"> = 43.01</w:t>
            </w:r>
          </w:p>
        </w:tc>
        <w:tc>
          <w:tcPr>
            <w:tcW w:w="3120" w:type="dxa"/>
            <w:tcBorders>
              <w:top w:val="single" w:color="CCCCCC" w:sz="2" w:space="0"/>
              <w:left w:val="single" w:color="CCCCCC" w:sz="2" w:space="0"/>
              <w:bottom w:val="single" w:color="CCCCCC" w:sz="2" w:space="0"/>
              <w:right w:val="single" w:color="CCCCCC" w:sz="2" w:space="0"/>
            </w:tcBorders>
          </w:tcPr>
          <w:p w14:paraId="11FE5A63">
            <w:pPr>
              <w:keepNext/>
              <w:keepLines/>
              <w:pageBreakBefore w:val="0"/>
              <w:widowControl/>
              <w:kinsoku/>
              <w:wordWrap/>
              <w:overflowPunct/>
              <w:topLinePunct w:val="0"/>
              <w:autoSpaceDE/>
              <w:autoSpaceDN/>
              <w:bidi w:val="0"/>
              <w:adjustRightInd/>
              <w:snapToGrid/>
              <w:jc w:val="center"/>
              <w:textAlignment w:val="auto"/>
              <w:rPr>
                <w:sz w:val="20"/>
                <w:szCs w:val="20"/>
              </w:rPr>
            </w:pPr>
            <w:r>
              <w:rPr>
                <w:rFonts w:hint="default" w:ascii="Arial Italic" w:hAnsi="Arial Italic" w:cs="Arial Italic"/>
                <w:i/>
                <w:iCs/>
                <w:sz w:val="20"/>
                <w:szCs w:val="20"/>
              </w:rPr>
              <w:t>M</w:t>
            </w:r>
            <w:r>
              <w:rPr>
                <w:rFonts w:hint="eastAsia"/>
                <w:sz w:val="20"/>
                <w:szCs w:val="20"/>
              </w:rPr>
              <w:t xml:space="preserve"> = 18.80, </w:t>
            </w:r>
            <w:r>
              <w:rPr>
                <w:rFonts w:hint="default" w:ascii="Arial Italic" w:hAnsi="Arial Italic" w:cs="Arial Italic"/>
                <w:i/>
                <w:iCs/>
                <w:sz w:val="20"/>
                <w:szCs w:val="20"/>
              </w:rPr>
              <w:t>SD</w:t>
            </w:r>
            <w:r>
              <w:rPr>
                <w:rFonts w:hint="eastAsia"/>
                <w:sz w:val="20"/>
                <w:szCs w:val="20"/>
              </w:rPr>
              <w:t xml:space="preserve"> = 32.98</w:t>
            </w:r>
          </w:p>
        </w:tc>
      </w:tr>
      <w:tr w14:paraId="483B98F2">
        <w:tc>
          <w:tcPr>
            <w:tcW w:w="3120" w:type="dxa"/>
            <w:tcBorders>
              <w:top w:val="single" w:color="CCCCCC" w:sz="2" w:space="0"/>
              <w:left w:val="single" w:color="CCCCCC" w:sz="2" w:space="0"/>
              <w:bottom w:val="single" w:color="CCCCCC" w:sz="2" w:space="0"/>
              <w:right w:val="single" w:color="CCCCCC" w:sz="2" w:space="0"/>
            </w:tcBorders>
          </w:tcPr>
          <w:p w14:paraId="3FFDA3A7">
            <w:pPr>
              <w:keepNext/>
              <w:keepLines/>
              <w:pageBreakBefore w:val="0"/>
              <w:widowControl/>
              <w:kinsoku/>
              <w:wordWrap/>
              <w:overflowPunct/>
              <w:topLinePunct w:val="0"/>
              <w:autoSpaceDE/>
              <w:autoSpaceDN/>
              <w:bidi w:val="0"/>
              <w:adjustRightInd/>
              <w:snapToGrid/>
              <w:jc w:val="left"/>
              <w:textAlignment w:val="auto"/>
              <w:rPr>
                <w:sz w:val="20"/>
                <w:szCs w:val="20"/>
              </w:rPr>
            </w:pPr>
            <w:r>
              <w:rPr>
                <w:rFonts w:hint="eastAsia"/>
                <w:sz w:val="20"/>
                <w:szCs w:val="20"/>
              </w:rPr>
              <w:t>Mean difference (Low − High), 95% CI</w:t>
            </w:r>
          </w:p>
        </w:tc>
        <w:tc>
          <w:tcPr>
            <w:tcW w:w="3120" w:type="dxa"/>
            <w:tcBorders>
              <w:top w:val="single" w:color="CCCCCC" w:sz="2" w:space="0"/>
              <w:left w:val="single" w:color="CCCCCC" w:sz="2" w:space="0"/>
              <w:bottom w:val="single" w:color="CCCCCC" w:sz="2" w:space="0"/>
              <w:right w:val="single" w:color="CCCCCC" w:sz="2" w:space="0"/>
            </w:tcBorders>
          </w:tcPr>
          <w:p w14:paraId="64ABEDCE">
            <w:pPr>
              <w:keepNext/>
              <w:keepLines/>
              <w:pageBreakBefore w:val="0"/>
              <w:widowControl/>
              <w:kinsoku/>
              <w:wordWrap/>
              <w:overflowPunct/>
              <w:topLinePunct w:val="0"/>
              <w:autoSpaceDE/>
              <w:autoSpaceDN/>
              <w:bidi w:val="0"/>
              <w:adjustRightInd/>
              <w:snapToGrid/>
              <w:jc w:val="center"/>
              <w:textAlignment w:val="auto"/>
              <w:rPr>
                <w:sz w:val="20"/>
                <w:szCs w:val="20"/>
              </w:rPr>
            </w:pPr>
            <w:r>
              <w:rPr>
                <w:rFonts w:hint="eastAsia"/>
                <w:sz w:val="20"/>
                <w:szCs w:val="20"/>
              </w:rPr>
              <w:t>+12.27 pp [+10.77, +13.77]</w:t>
            </w:r>
          </w:p>
        </w:tc>
        <w:tc>
          <w:tcPr>
            <w:tcW w:w="3120" w:type="dxa"/>
            <w:tcBorders>
              <w:top w:val="single" w:color="CCCCCC" w:sz="2" w:space="0"/>
              <w:left w:val="single" w:color="CCCCCC" w:sz="2" w:space="0"/>
              <w:bottom w:val="single" w:color="CCCCCC" w:sz="2" w:space="0"/>
              <w:right w:val="single" w:color="CCCCCC" w:sz="2" w:space="0"/>
            </w:tcBorders>
          </w:tcPr>
          <w:p w14:paraId="29B9920A">
            <w:pPr>
              <w:keepNext/>
              <w:keepLines/>
              <w:pageBreakBefore w:val="0"/>
              <w:widowControl/>
              <w:kinsoku/>
              <w:wordWrap/>
              <w:overflowPunct/>
              <w:topLinePunct w:val="0"/>
              <w:autoSpaceDE/>
              <w:autoSpaceDN/>
              <w:bidi w:val="0"/>
              <w:adjustRightInd/>
              <w:snapToGrid/>
              <w:jc w:val="center"/>
              <w:textAlignment w:val="auto"/>
              <w:rPr>
                <w:sz w:val="20"/>
                <w:szCs w:val="20"/>
              </w:rPr>
            </w:pPr>
            <w:r>
              <w:rPr>
                <w:rFonts w:hint="eastAsia"/>
                <w:sz w:val="20"/>
                <w:szCs w:val="20"/>
              </w:rPr>
              <w:t>−1.58 pp [−2.79, −0.38]</w:t>
            </w:r>
          </w:p>
        </w:tc>
      </w:tr>
      <w:tr w14:paraId="20CB28CA">
        <w:tc>
          <w:tcPr>
            <w:tcW w:w="3120" w:type="dxa"/>
            <w:tcBorders>
              <w:top w:val="single" w:color="CCCCCC" w:sz="2" w:space="0"/>
              <w:left w:val="single" w:color="CCCCCC" w:sz="2" w:space="0"/>
              <w:bottom w:val="single" w:color="CCCCCC" w:sz="2" w:space="0"/>
              <w:right w:val="single" w:color="CCCCCC" w:sz="2" w:space="0"/>
            </w:tcBorders>
          </w:tcPr>
          <w:p w14:paraId="1D247B45">
            <w:pPr>
              <w:keepNext/>
              <w:keepLines/>
              <w:pageBreakBefore w:val="0"/>
              <w:widowControl/>
              <w:kinsoku/>
              <w:wordWrap/>
              <w:overflowPunct/>
              <w:topLinePunct w:val="0"/>
              <w:autoSpaceDE/>
              <w:autoSpaceDN/>
              <w:bidi w:val="0"/>
              <w:adjustRightInd/>
              <w:snapToGrid/>
              <w:jc w:val="left"/>
              <w:textAlignment w:val="auto"/>
              <w:rPr>
                <w:sz w:val="20"/>
                <w:szCs w:val="20"/>
              </w:rPr>
            </w:pPr>
            <w:r>
              <w:rPr>
                <w:rFonts w:hint="eastAsia"/>
                <w:sz w:val="20"/>
                <w:szCs w:val="20"/>
              </w:rPr>
              <w:t>Welch t statistic</w:t>
            </w:r>
          </w:p>
        </w:tc>
        <w:tc>
          <w:tcPr>
            <w:tcW w:w="3120" w:type="dxa"/>
            <w:tcBorders>
              <w:top w:val="single" w:color="CCCCCC" w:sz="2" w:space="0"/>
              <w:left w:val="single" w:color="CCCCCC" w:sz="2" w:space="0"/>
              <w:bottom w:val="single" w:color="CCCCCC" w:sz="2" w:space="0"/>
              <w:right w:val="single" w:color="CCCCCC" w:sz="2" w:space="0"/>
            </w:tcBorders>
          </w:tcPr>
          <w:p w14:paraId="5B950F6E">
            <w:pPr>
              <w:keepNext/>
              <w:keepLines/>
              <w:pageBreakBefore w:val="0"/>
              <w:widowControl/>
              <w:kinsoku/>
              <w:wordWrap/>
              <w:overflowPunct/>
              <w:topLinePunct w:val="0"/>
              <w:autoSpaceDE/>
              <w:autoSpaceDN/>
              <w:bidi w:val="0"/>
              <w:adjustRightInd/>
              <w:snapToGrid/>
              <w:jc w:val="center"/>
              <w:textAlignment w:val="auto"/>
              <w:rPr>
                <w:sz w:val="20"/>
                <w:szCs w:val="20"/>
              </w:rPr>
            </w:pPr>
            <w:r>
              <w:rPr>
                <w:rFonts w:hint="default" w:ascii="Arial Italic" w:hAnsi="Arial Italic" w:cs="Arial Italic"/>
                <w:i/>
                <w:iCs/>
                <w:sz w:val="20"/>
                <w:szCs w:val="20"/>
              </w:rPr>
              <w:t>t</w:t>
            </w:r>
            <w:r>
              <w:rPr>
                <w:rFonts w:hint="eastAsia"/>
                <w:sz w:val="20"/>
                <w:szCs w:val="20"/>
              </w:rPr>
              <w:t>(10535.2) = 16.05</w:t>
            </w:r>
          </w:p>
        </w:tc>
        <w:tc>
          <w:tcPr>
            <w:tcW w:w="3120" w:type="dxa"/>
            <w:tcBorders>
              <w:top w:val="single" w:color="CCCCCC" w:sz="2" w:space="0"/>
              <w:left w:val="single" w:color="CCCCCC" w:sz="2" w:space="0"/>
              <w:bottom w:val="single" w:color="CCCCCC" w:sz="2" w:space="0"/>
              <w:right w:val="single" w:color="CCCCCC" w:sz="2" w:space="0"/>
            </w:tcBorders>
          </w:tcPr>
          <w:p w14:paraId="22580F66">
            <w:pPr>
              <w:keepNext/>
              <w:keepLines/>
              <w:pageBreakBefore w:val="0"/>
              <w:widowControl/>
              <w:kinsoku/>
              <w:wordWrap/>
              <w:overflowPunct/>
              <w:topLinePunct w:val="0"/>
              <w:autoSpaceDE/>
              <w:autoSpaceDN/>
              <w:bidi w:val="0"/>
              <w:adjustRightInd/>
              <w:snapToGrid/>
              <w:jc w:val="center"/>
              <w:textAlignment w:val="auto"/>
              <w:rPr>
                <w:sz w:val="20"/>
                <w:szCs w:val="20"/>
              </w:rPr>
            </w:pPr>
            <w:r>
              <w:rPr>
                <w:rFonts w:hint="default" w:ascii="Arial Italic" w:hAnsi="Arial Italic" w:cs="Arial Italic"/>
                <w:i/>
                <w:iCs/>
                <w:sz w:val="20"/>
                <w:szCs w:val="20"/>
              </w:rPr>
              <w:t>t</w:t>
            </w:r>
            <w:r>
              <w:rPr>
                <w:rFonts w:hint="eastAsia"/>
                <w:sz w:val="20"/>
                <w:szCs w:val="20"/>
              </w:rPr>
              <w:t>(10831.3) = −2.59</w:t>
            </w:r>
          </w:p>
        </w:tc>
      </w:tr>
      <w:tr w14:paraId="377E8EBE">
        <w:tc>
          <w:tcPr>
            <w:tcW w:w="3120" w:type="dxa"/>
            <w:tcBorders>
              <w:top w:val="single" w:color="CCCCCC" w:sz="2" w:space="0"/>
              <w:left w:val="single" w:color="CCCCCC" w:sz="2" w:space="0"/>
              <w:bottom w:val="single" w:color="CCCCCC" w:sz="2" w:space="0"/>
              <w:right w:val="single" w:color="CCCCCC" w:sz="2" w:space="0"/>
            </w:tcBorders>
            <w:shd w:val="clear" w:color="auto" w:fill="auto"/>
          </w:tcPr>
          <w:p w14:paraId="5B3FBF05">
            <w:pPr>
              <w:keepNext/>
              <w:keepLines/>
              <w:pageBreakBefore w:val="0"/>
              <w:widowControl/>
              <w:kinsoku/>
              <w:wordWrap/>
              <w:overflowPunct/>
              <w:topLinePunct w:val="0"/>
              <w:autoSpaceDE/>
              <w:autoSpaceDN/>
              <w:bidi w:val="0"/>
              <w:adjustRightInd/>
              <w:snapToGrid/>
              <w:jc w:val="left"/>
              <w:textAlignment w:val="auto"/>
              <w:rPr>
                <w:sz w:val="20"/>
                <w:szCs w:val="20"/>
              </w:rPr>
            </w:pPr>
            <w:r>
              <w:rPr>
                <w:rFonts w:hint="eastAsia"/>
                <w:sz w:val="20"/>
                <w:szCs w:val="20"/>
              </w:rPr>
              <w:t xml:space="preserve">Two-sided </w:t>
            </w:r>
            <w:r>
              <w:rPr>
                <w:rFonts w:hint="default" w:ascii="Arial Italic" w:hAnsi="Arial Italic" w:cs="Arial Italic"/>
                <w:i/>
                <w:iCs/>
                <w:sz w:val="20"/>
                <w:szCs w:val="20"/>
              </w:rPr>
              <w:t>p</w:t>
            </w:r>
            <w:r>
              <w:rPr>
                <w:rFonts w:hint="eastAsia"/>
                <w:sz w:val="20"/>
                <w:szCs w:val="20"/>
              </w:rPr>
              <w:t xml:space="preserve"> value</w:t>
            </w:r>
          </w:p>
        </w:tc>
        <w:tc>
          <w:tcPr>
            <w:tcW w:w="3120" w:type="dxa"/>
            <w:tcBorders>
              <w:top w:val="single" w:color="CCCCCC" w:sz="2" w:space="0"/>
              <w:left w:val="single" w:color="CCCCCC" w:sz="2" w:space="0"/>
              <w:bottom w:val="single" w:color="CCCCCC" w:sz="2" w:space="0"/>
              <w:right w:val="single" w:color="CCCCCC" w:sz="2" w:space="0"/>
            </w:tcBorders>
            <w:shd w:val="clear" w:color="auto" w:fill="auto"/>
          </w:tcPr>
          <w:p w14:paraId="08D9F07C">
            <w:pPr>
              <w:keepNext/>
              <w:keepLines/>
              <w:pageBreakBefore w:val="0"/>
              <w:widowControl/>
              <w:kinsoku/>
              <w:wordWrap/>
              <w:overflowPunct/>
              <w:topLinePunct w:val="0"/>
              <w:autoSpaceDE/>
              <w:autoSpaceDN/>
              <w:bidi w:val="0"/>
              <w:adjustRightInd/>
              <w:snapToGrid/>
              <w:jc w:val="center"/>
              <w:textAlignment w:val="auto"/>
              <w:rPr>
                <w:sz w:val="20"/>
                <w:szCs w:val="20"/>
              </w:rPr>
            </w:pPr>
            <w:r>
              <w:rPr>
                <w:rFonts w:hint="default" w:ascii="Arial Italic" w:hAnsi="Arial Italic" w:cs="Arial Italic"/>
                <w:i/>
                <w:iCs/>
                <w:sz w:val="20"/>
                <w:szCs w:val="20"/>
              </w:rPr>
              <w:t>p</w:t>
            </w:r>
            <w:r>
              <w:rPr>
                <w:rFonts w:hint="eastAsia"/>
                <w:sz w:val="20"/>
                <w:szCs w:val="20"/>
              </w:rPr>
              <w:t xml:space="preserve"> &lt; .001</w:t>
            </w:r>
          </w:p>
        </w:tc>
        <w:tc>
          <w:tcPr>
            <w:tcW w:w="3120" w:type="dxa"/>
            <w:tcBorders>
              <w:top w:val="single" w:color="CCCCCC" w:sz="2" w:space="0"/>
              <w:left w:val="single" w:color="CCCCCC" w:sz="2" w:space="0"/>
              <w:bottom w:val="single" w:color="CCCCCC" w:sz="2" w:space="0"/>
              <w:right w:val="single" w:color="CCCCCC" w:sz="2" w:space="0"/>
            </w:tcBorders>
            <w:shd w:val="clear" w:color="auto" w:fill="auto"/>
          </w:tcPr>
          <w:p w14:paraId="25199445">
            <w:pPr>
              <w:keepNext/>
              <w:keepLines/>
              <w:pageBreakBefore w:val="0"/>
              <w:widowControl/>
              <w:kinsoku/>
              <w:wordWrap/>
              <w:overflowPunct/>
              <w:topLinePunct w:val="0"/>
              <w:autoSpaceDE/>
              <w:autoSpaceDN/>
              <w:bidi w:val="0"/>
              <w:adjustRightInd/>
              <w:snapToGrid/>
              <w:jc w:val="center"/>
              <w:textAlignment w:val="auto"/>
              <w:rPr>
                <w:sz w:val="20"/>
                <w:szCs w:val="20"/>
              </w:rPr>
            </w:pPr>
            <w:r>
              <w:rPr>
                <w:rFonts w:hint="default" w:ascii="Arial Italic" w:hAnsi="Arial Italic" w:cs="Arial Italic"/>
                <w:i/>
                <w:iCs/>
                <w:sz w:val="20"/>
                <w:szCs w:val="20"/>
              </w:rPr>
              <w:t>p</w:t>
            </w:r>
            <w:r>
              <w:rPr>
                <w:rFonts w:hint="eastAsia"/>
                <w:sz w:val="20"/>
                <w:szCs w:val="20"/>
              </w:rPr>
              <w:t xml:space="preserve"> = .010</w:t>
            </w:r>
          </w:p>
        </w:tc>
      </w:tr>
      <w:tr w14:paraId="4FAE4510">
        <w:tc>
          <w:tcPr>
            <w:tcW w:w="3120" w:type="dxa"/>
            <w:tcBorders>
              <w:top w:val="single" w:color="CCCCCC" w:sz="2" w:space="0"/>
              <w:left w:val="single" w:color="CCCCCC" w:sz="2" w:space="0"/>
              <w:bottom w:val="single" w:color="CCCCCC" w:sz="2" w:space="0"/>
              <w:right w:val="single" w:color="CCCCCC" w:sz="2" w:space="0"/>
            </w:tcBorders>
            <w:shd w:val="clear" w:color="auto" w:fill="auto"/>
          </w:tcPr>
          <w:p w14:paraId="3DAF00EA">
            <w:pPr>
              <w:keepNext/>
              <w:keepLines/>
              <w:pageBreakBefore w:val="0"/>
              <w:widowControl/>
              <w:kinsoku/>
              <w:wordWrap/>
              <w:overflowPunct/>
              <w:topLinePunct w:val="0"/>
              <w:autoSpaceDE/>
              <w:autoSpaceDN/>
              <w:bidi w:val="0"/>
              <w:adjustRightInd/>
              <w:snapToGrid/>
              <w:jc w:val="left"/>
              <w:textAlignment w:val="auto"/>
              <w:rPr>
                <w:rFonts w:hint="eastAsia"/>
                <w:sz w:val="20"/>
                <w:szCs w:val="20"/>
              </w:rPr>
            </w:pPr>
            <w:r>
              <w:rPr>
                <w:rFonts w:hint="eastAsia"/>
                <w:sz w:val="20"/>
                <w:szCs w:val="20"/>
              </w:rPr>
              <w:t xml:space="preserve">Hedges’ </w:t>
            </w:r>
            <w:r>
              <w:rPr>
                <w:rFonts w:hint="default" w:ascii="Arial Italic" w:hAnsi="Arial Italic" w:cs="Arial Italic"/>
                <w:i/>
                <w:iCs/>
                <w:sz w:val="20"/>
                <w:szCs w:val="20"/>
              </w:rPr>
              <w:t>g</w:t>
            </w:r>
            <w:r>
              <w:rPr>
                <w:rFonts w:hint="eastAsia"/>
                <w:sz w:val="20"/>
                <w:szCs w:val="20"/>
              </w:rPr>
              <w:t xml:space="preserve"> (Low − High), 95% CI</w:t>
            </w:r>
          </w:p>
        </w:tc>
        <w:tc>
          <w:tcPr>
            <w:tcW w:w="3120" w:type="dxa"/>
            <w:tcBorders>
              <w:top w:val="single" w:color="CCCCCC" w:sz="2" w:space="0"/>
              <w:left w:val="single" w:color="CCCCCC" w:sz="2" w:space="0"/>
              <w:bottom w:val="single" w:color="CCCCCC" w:sz="2" w:space="0"/>
              <w:right w:val="single" w:color="CCCCCC" w:sz="2" w:space="0"/>
            </w:tcBorders>
            <w:shd w:val="clear" w:color="auto" w:fill="auto"/>
          </w:tcPr>
          <w:p w14:paraId="72A2E546">
            <w:pPr>
              <w:keepNext/>
              <w:keepLines/>
              <w:pageBreakBefore w:val="0"/>
              <w:widowControl/>
              <w:kinsoku/>
              <w:wordWrap/>
              <w:overflowPunct/>
              <w:topLinePunct w:val="0"/>
              <w:autoSpaceDE/>
              <w:autoSpaceDN/>
              <w:bidi w:val="0"/>
              <w:adjustRightInd/>
              <w:snapToGrid/>
              <w:jc w:val="center"/>
              <w:textAlignment w:val="auto"/>
              <w:rPr>
                <w:sz w:val="20"/>
                <w:szCs w:val="20"/>
              </w:rPr>
            </w:pPr>
            <w:r>
              <w:rPr>
                <w:rFonts w:hint="default" w:ascii="Arial Italic" w:hAnsi="Arial Italic" w:cs="Arial Italic"/>
                <w:i/>
                <w:iCs/>
                <w:sz w:val="20"/>
                <w:szCs w:val="20"/>
              </w:rPr>
              <w:t>g</w:t>
            </w:r>
            <w:r>
              <w:rPr>
                <w:rFonts w:hint="eastAsia"/>
                <w:sz w:val="20"/>
                <w:szCs w:val="20"/>
              </w:rPr>
              <w:t xml:space="preserve"> = +0.308 [+0.270, +0.346]</w:t>
            </w:r>
          </w:p>
        </w:tc>
        <w:tc>
          <w:tcPr>
            <w:tcW w:w="3120" w:type="dxa"/>
            <w:tcBorders>
              <w:top w:val="single" w:color="CCCCCC" w:sz="2" w:space="0"/>
              <w:left w:val="single" w:color="CCCCCC" w:sz="2" w:space="0"/>
              <w:bottom w:val="single" w:color="CCCCCC" w:sz="2" w:space="0"/>
              <w:right w:val="single" w:color="CCCCCC" w:sz="2" w:space="0"/>
            </w:tcBorders>
            <w:shd w:val="clear" w:color="auto" w:fill="auto"/>
          </w:tcPr>
          <w:p w14:paraId="031BCEE9">
            <w:pPr>
              <w:keepNext/>
              <w:keepLines/>
              <w:pageBreakBefore w:val="0"/>
              <w:widowControl/>
              <w:kinsoku/>
              <w:wordWrap/>
              <w:overflowPunct/>
              <w:topLinePunct w:val="0"/>
              <w:autoSpaceDE/>
              <w:autoSpaceDN/>
              <w:bidi w:val="0"/>
              <w:adjustRightInd/>
              <w:snapToGrid/>
              <w:jc w:val="center"/>
              <w:textAlignment w:val="auto"/>
              <w:rPr>
                <w:sz w:val="20"/>
                <w:szCs w:val="20"/>
              </w:rPr>
            </w:pPr>
            <w:r>
              <w:rPr>
                <w:rFonts w:hint="default" w:ascii="Arial Italic" w:hAnsi="Arial Italic" w:cs="Arial Italic"/>
                <w:i/>
                <w:iCs/>
                <w:sz w:val="20"/>
                <w:szCs w:val="20"/>
              </w:rPr>
              <w:t>g</w:t>
            </w:r>
            <w:r>
              <w:rPr>
                <w:rFonts w:hint="eastAsia"/>
                <w:sz w:val="20"/>
                <w:szCs w:val="20"/>
              </w:rPr>
              <w:t xml:space="preserve"> = −0.050 [−0.087, −0.012]</w:t>
            </w:r>
          </w:p>
        </w:tc>
      </w:tr>
    </w:tbl>
    <w:p w14:paraId="2743F0BE">
      <w:pPr>
        <w:spacing w:before="0" w:after="300"/>
      </w:pPr>
      <w:r>
        <w:rPr>
          <w:rFonts w:hint="eastAsia"/>
          <w:i/>
          <w:iCs/>
          <w:color w:val="666666"/>
          <w:sz w:val="20"/>
          <w:szCs w:val="20"/>
        </w:rPr>
        <w:t>Note. Both columns use the same strict-accuracy groups. Mean differences and t statistics are oriented as Low minus High. Confidence intervals for mean differences use the Welch–Satterthwaite degrees of freedom. Hedges' g uses the sample-size-weighted pooled SD with the small-sample correction; its interval is an approximate analytic 95% interval. The p values are unadjusted descriptive comparisons of outcome-defined groups and do not estimate causal effects. The KG-to-Task p value is .00975 before rounding.</w:t>
      </w:r>
    </w:p>
    <w:p w14:paraId="56621983">
      <w:pPr>
        <w:pStyle w:val="5"/>
        <w:keepNext/>
        <w:keepLines/>
        <w:pageBreakBefore w:val="0"/>
        <w:widowControl/>
        <w:kinsoku/>
        <w:wordWrap/>
        <w:overflowPunct/>
        <w:topLinePunct w:val="0"/>
        <w:autoSpaceDE/>
        <w:autoSpaceDN/>
        <w:bidi w:val="0"/>
        <w:adjustRightInd/>
        <w:snapToGrid/>
        <w:textAlignment w:val="auto"/>
      </w:pPr>
      <w:r>
        <w:t>4.5 Visual Comparison</w:t>
      </w:r>
    </w:p>
    <w:p w14:paraId="3742E732">
      <w:pPr>
        <w:keepNext/>
        <w:keepLines/>
        <w:pageBreakBefore w:val="0"/>
        <w:widowControl/>
        <w:kinsoku/>
        <w:wordWrap/>
        <w:overflowPunct/>
        <w:topLinePunct w:val="0"/>
        <w:autoSpaceDE/>
        <w:autoSpaceDN/>
        <w:bidi w:val="0"/>
        <w:adjustRightInd/>
        <w:snapToGrid/>
        <w:spacing w:before="0" w:after="100"/>
        <w:jc w:val="center"/>
        <w:textAlignment w:val="auto"/>
      </w:pPr>
      <w:r>
        <w:drawing>
          <wp:inline distT="0" distB="0" distL="0" distR="0">
            <wp:extent cx="5524500" cy="4095750"/>
            <wp:effectExtent l="0" t="0" r="12700" b="19050"/>
            <wp:docPr id="1" name="Figure 1" descr="/Users/sylvia/Desktop/OR3_Figure1_strict.pngOR3_Figure1_str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Users/sylvia/Desktop/OR3_Figure1_strict.pngOR3_Figure1_strict"/>
                    <pic:cNvPicPr>
                      <a:picLocks noChangeAspect="1" noChangeArrowheads="1"/>
                    </pic:cNvPicPr>
                  </pic:nvPicPr>
                  <pic:blipFill>
                    <a:blip r:embed="rId5"/>
                    <a:srcRect l="411" r="411"/>
                    <a:stretch>
                      <a:fillRect/>
                    </a:stretch>
                  </pic:blipFill>
                  <pic:spPr>
                    <a:xfrm>
                      <a:off x="0" y="0"/>
                      <a:ext cx="5524500" cy="4095750"/>
                    </a:xfrm>
                    <a:prstGeom prst="rect">
                      <a:avLst/>
                    </a:prstGeom>
                  </pic:spPr>
                </pic:pic>
              </a:graphicData>
            </a:graphic>
          </wp:inline>
        </w:drawing>
      </w:r>
    </w:p>
    <w:p w14:paraId="5EFD5F1E">
      <w:pPr>
        <w:keepNext/>
        <w:keepLines/>
        <w:pageBreakBefore w:val="0"/>
        <w:widowControl/>
        <w:kinsoku/>
        <w:wordWrap/>
        <w:overflowPunct/>
        <w:topLinePunct w:val="0"/>
        <w:autoSpaceDE/>
        <w:autoSpaceDN/>
        <w:bidi w:val="0"/>
        <w:adjustRightInd/>
        <w:snapToGrid/>
        <w:spacing w:before="0" w:after="300"/>
        <w:jc w:val="left"/>
        <w:textAlignment w:val="auto"/>
      </w:pPr>
      <w:r>
        <w:rPr>
          <w:i/>
          <w:iCs/>
          <w:color w:val="666666"/>
          <w:sz w:val="20"/>
          <w:szCs w:val="20"/>
        </w:rPr>
        <w:t xml:space="preserve">Figure 1. </w:t>
      </w:r>
      <w:r>
        <w:rPr>
          <w:rFonts w:hint="eastAsia"/>
          <w:i/>
          <w:iCs/>
          <w:color w:val="666666"/>
          <w:sz w:val="20"/>
          <w:szCs w:val="20"/>
        </w:rPr>
        <w:t>Classification sensitivity using strict accuracy (N = 16,389). (a) Historical mapping with KG Navigation in Process; Pearson r = −.103. (b) Alternative mapping with KG Navigation moved to Task; Pearson r = +.025. Scatter points represent students; solid lines are unadjusted ordinary least-squares fits. (c) Mean effective-feedback shares under both mappings in the same fixed strict-accuracy groups. (d) Mean KG Navigation shares, which do not change when the feature is reassigned. The groups are Low (&lt;67.5%, n = 5,540), Medium (67.5%–84.0%, inclusive, n = 5,467), and High (&gt;84.0%, n = 5,382). Error bars in (c) and (d) are 95% t-based confidence intervals for group means. These outcome-defined group comparisons are descriptive.</w:t>
      </w:r>
    </w:p>
    <w:p w14:paraId="486027D0">
      <w:pPr>
        <w:pStyle w:val="2"/>
        <w:spacing w:before="0" w:after="200"/>
      </w:pPr>
      <w:r>
        <w:t>5. Implications for the Manuscript</w:t>
      </w:r>
    </w:p>
    <w:p w14:paraId="66911461">
      <w:pPr>
        <w:spacing w:before="0" w:after="200"/>
      </w:pPr>
      <w:r>
        <w:rPr>
          <w:rFonts w:hint="eastAsia"/>
          <w:sz w:val="22"/>
          <w:szCs w:val="22"/>
        </w:rPr>
        <w:t>Relation to the revised manuscript. The reversal documented here is reported in Section 4.6 of the revised manuscript, which no longer treats the four-level composite correlation as a headline result. The paper's empirical claims are anchored at the feature level (KG Navigation share), which is examined under within-tertile stratification, feature decomposition, crossed user/course multilevel modelling, and attempts-stratified robustness analyses (Sections 4.7.1–4.7.5)</w:t>
      </w:r>
      <w:r>
        <w:rPr>
          <w:sz w:val="22"/>
          <w:szCs w:val="22"/>
        </w:rPr>
        <w:t>.</w:t>
      </w:r>
    </w:p>
    <w:p w14:paraId="7549A0A9">
      <w:pPr>
        <w:pStyle w:val="2"/>
      </w:pPr>
      <w:r>
        <w:t>6. Conclusion</w:t>
      </w:r>
    </w:p>
    <w:p w14:paraId="239B11D5">
      <w:pPr>
        <w:spacing w:before="0" w:after="300"/>
      </w:pPr>
      <w:r>
        <w:rPr>
          <w:sz w:val="22"/>
          <w:szCs w:val="22"/>
        </w:rPr>
        <w:t xml:space="preserve">This </w:t>
      </w:r>
      <w:r>
        <w:rPr>
          <w:rFonts w:hint="eastAsia"/>
          <w:sz w:val="22"/>
          <w:szCs w:val="22"/>
        </w:rPr>
        <w:t>sensitivity analysis demonstrates that the classification of Knowledge Graph Navigation is a critical boundary condition for interpreting the aggregate four-level effective-feedback composite. Its correlation with accuracy is not robust to the classification of this single feature. This sensitivity is reported transparently in the revised manuscript (Section 4.6) and motivates the paper's feature-level framing. Reassigning KG Navigation does not change its underlying counts, usage shares, or zero-order association with strict accuracy. This invariance to relabelling does not imply that feature-level estimates are invariant across operationalisations, strata, or model specifications (Section 4.7 of the manuscript)</w:t>
      </w:r>
      <w:r>
        <w:rPr>
          <w:sz w:val="22"/>
          <w:szCs w:val="22"/>
        </w:rPr>
        <w:t>.</w:t>
      </w:r>
    </w:p>
    <w:p w14:paraId="1611A3FD">
      <w:pPr>
        <w:pStyle w:val="2"/>
      </w:pPr>
      <w:r>
        <w:t>Appendix: Raw Data Summary</w:t>
      </w:r>
    </w:p>
    <w:p w14:paraId="35003769">
      <w:pPr>
        <w:pStyle w:val="5"/>
      </w:pPr>
      <w:r>
        <w:t>A.1 Question Type Distribution in Original Data</w:t>
      </w:r>
    </w:p>
    <w:p w14:paraId="658B4A1B">
      <w:pPr>
        <w:spacing w:before="0" w:after="200"/>
        <w:rPr>
          <w:rFonts w:hint="eastAsia"/>
          <w:sz w:val="22"/>
          <w:szCs w:val="22"/>
        </w:rPr>
      </w:pPr>
      <w:r>
        <w:rPr>
          <w:sz w:val="22"/>
          <w:szCs w:val="22"/>
        </w:rPr>
        <w:t xml:space="preserve">Total </w:t>
      </w:r>
      <w:r>
        <w:rPr>
          <w:rFonts w:hint="eastAsia"/>
          <w:sz w:val="22"/>
          <w:szCs w:val="22"/>
        </w:rPr>
        <w:t>AI interactions in the full dataset: 108,351 from user-xiaomu.json. Table A1 reports exact raw question_type labels, not frequencies aggregated over the 16 base features. These full-dataset counts differ from the main analytic sample counts used in Tables 1–4.</w:t>
      </w:r>
    </w:p>
    <w:p w14:paraId="343E53C3">
      <w:pPr>
        <w:spacing w:before="0" w:after="200"/>
        <w:rPr>
          <w:rFonts w:hint="default" w:ascii="Arial Bold" w:hAnsi="Arial Bold" w:cs="Arial Bold"/>
          <w:b/>
          <w:bCs/>
          <w:sz w:val="22"/>
          <w:szCs w:val="22"/>
        </w:rPr>
      </w:pPr>
      <w:r>
        <w:rPr>
          <w:rFonts w:hint="default" w:ascii="Arial Bold" w:hAnsi="Arial Bold" w:cs="Arial Bold"/>
          <w:b/>
          <w:bCs/>
          <w:sz w:val="22"/>
          <w:szCs w:val="22"/>
        </w:rPr>
        <w:t>Table A1. Frequencies of Selected Exact Raw Question-Type Labels in the Full AI Dataset</w:t>
      </w:r>
    </w:p>
    <w:tbl>
      <w:tblPr>
        <w:tblStyle w:val="14"/>
        <w:tblW w:w="5000" w:type="pct"/>
        <w:tblInd w:w="0" w:type="dxa"/>
        <w:tblLayout w:type="fixed"/>
        <w:tblCellMar>
          <w:top w:w="60" w:type="dxa"/>
          <w:left w:w="100" w:type="dxa"/>
          <w:bottom w:w="60" w:type="dxa"/>
          <w:right w:w="100" w:type="dxa"/>
        </w:tblCellMar>
      </w:tblPr>
      <w:tblGrid>
        <w:gridCol w:w="4779"/>
        <w:gridCol w:w="2390"/>
        <w:gridCol w:w="2391"/>
      </w:tblGrid>
      <w:tr w14:paraId="4E34B200">
        <w:tc>
          <w:tcPr>
            <w:tcW w:w="4679" w:type="dxa"/>
            <w:tcBorders>
              <w:top w:val="single" w:color="CCCCCC" w:sz="2" w:space="0"/>
              <w:left w:val="single" w:color="CCCCCC" w:sz="2" w:space="0"/>
              <w:bottom w:val="single" w:color="CCCCCC" w:sz="2" w:space="0"/>
              <w:right w:val="single" w:color="CCCCCC" w:sz="2" w:space="0"/>
            </w:tcBorders>
            <w:shd w:val="clear" w:color="auto" w:fill="024E7A" w:themeFill="accent2" w:themeFillShade="BF"/>
          </w:tcPr>
          <w:p w14:paraId="459131B7">
            <w:pPr>
              <w:jc w:val="left"/>
              <w:rPr>
                <w:color w:val="FFFFFF" w:themeColor="background1"/>
              </w:rPr>
            </w:pPr>
            <w:r>
              <w:rPr>
                <w:rFonts w:hint="eastAsia"/>
                <w:b/>
                <w:bCs/>
                <w:color w:val="FFFFFF" w:themeColor="background1"/>
                <w:sz w:val="20"/>
                <w:szCs w:val="20"/>
              </w:rPr>
              <w:t>Exact raw question-type label</w:t>
            </w:r>
          </w:p>
        </w:tc>
        <w:tc>
          <w:tcPr>
            <w:tcW w:w="2340" w:type="dxa"/>
            <w:tcBorders>
              <w:top w:val="single" w:color="CCCCCC" w:sz="2" w:space="0"/>
              <w:left w:val="single" w:color="CCCCCC" w:sz="2" w:space="0"/>
              <w:bottom w:val="single" w:color="CCCCCC" w:sz="2" w:space="0"/>
              <w:right w:val="single" w:color="CCCCCC" w:sz="2" w:space="0"/>
            </w:tcBorders>
            <w:shd w:val="clear" w:color="auto" w:fill="024E7A" w:themeFill="accent2" w:themeFillShade="BF"/>
          </w:tcPr>
          <w:p w14:paraId="261C0441">
            <w:pPr>
              <w:jc w:val="center"/>
              <w:rPr>
                <w:color w:val="FFFFFF" w:themeColor="background1"/>
              </w:rPr>
            </w:pPr>
            <w:r>
              <w:rPr>
                <w:b/>
                <w:bCs/>
                <w:color w:val="FFFFFF" w:themeColor="background1"/>
                <w:sz w:val="20"/>
                <w:szCs w:val="20"/>
              </w:rPr>
              <w:t>Count</w:t>
            </w:r>
          </w:p>
        </w:tc>
        <w:tc>
          <w:tcPr>
            <w:tcW w:w="2341" w:type="dxa"/>
            <w:tcBorders>
              <w:top w:val="single" w:color="CCCCCC" w:sz="2" w:space="0"/>
              <w:left w:val="single" w:color="CCCCCC" w:sz="2" w:space="0"/>
              <w:bottom w:val="single" w:color="CCCCCC" w:sz="2" w:space="0"/>
              <w:right w:val="single" w:color="CCCCCC" w:sz="2" w:space="0"/>
            </w:tcBorders>
            <w:shd w:val="clear" w:color="auto" w:fill="024E7A" w:themeFill="accent2" w:themeFillShade="BF"/>
          </w:tcPr>
          <w:p w14:paraId="60343D1B">
            <w:pPr>
              <w:jc w:val="center"/>
              <w:rPr>
                <w:color w:val="FFFFFF" w:themeColor="background1"/>
              </w:rPr>
            </w:pPr>
            <w:r>
              <w:rPr>
                <w:b/>
                <w:bCs/>
                <w:color w:val="FFFFFF" w:themeColor="background1"/>
                <w:sz w:val="20"/>
                <w:szCs w:val="20"/>
              </w:rPr>
              <w:t>Percentage</w:t>
            </w:r>
          </w:p>
        </w:tc>
      </w:tr>
      <w:tr w14:paraId="2BAC20F9">
        <w:tc>
          <w:tcPr>
            <w:tcW w:w="4679" w:type="dxa"/>
            <w:tcBorders>
              <w:top w:val="single" w:color="CCCCCC" w:sz="2" w:space="0"/>
              <w:left w:val="single" w:color="CCCCCC" w:sz="2" w:space="0"/>
              <w:bottom w:val="single" w:color="CCCCCC" w:sz="2" w:space="0"/>
              <w:right w:val="single" w:color="CCCCCC" w:sz="2" w:space="0"/>
            </w:tcBorders>
            <w:shd w:val="clear" w:color="auto" w:fill="auto"/>
          </w:tcPr>
          <w:p w14:paraId="6F7AC531">
            <w:pPr>
              <w:jc w:val="left"/>
            </w:pPr>
            <w:r>
              <w:rPr>
                <w:b w:val="0"/>
                <w:bCs w:val="0"/>
                <w:sz w:val="20"/>
                <w:szCs w:val="20"/>
              </w:rPr>
              <w:t>知识图谱点击 (Knowledge Graph Click)</w:t>
            </w:r>
          </w:p>
        </w:tc>
        <w:tc>
          <w:tcPr>
            <w:tcW w:w="2340" w:type="dxa"/>
            <w:tcBorders>
              <w:top w:val="single" w:color="CCCCCC" w:sz="2" w:space="0"/>
              <w:left w:val="single" w:color="CCCCCC" w:sz="2" w:space="0"/>
              <w:bottom w:val="single" w:color="CCCCCC" w:sz="2" w:space="0"/>
              <w:right w:val="single" w:color="CCCCCC" w:sz="2" w:space="0"/>
            </w:tcBorders>
            <w:shd w:val="clear" w:color="auto" w:fill="auto"/>
          </w:tcPr>
          <w:p w14:paraId="257E5E0E">
            <w:pPr>
              <w:jc w:val="center"/>
            </w:pPr>
            <w:r>
              <w:rPr>
                <w:b w:val="0"/>
                <w:bCs w:val="0"/>
                <w:sz w:val="20"/>
                <w:szCs w:val="20"/>
              </w:rPr>
              <w:t>50,883</w:t>
            </w:r>
          </w:p>
        </w:tc>
        <w:tc>
          <w:tcPr>
            <w:tcW w:w="2341" w:type="dxa"/>
            <w:tcBorders>
              <w:top w:val="single" w:color="CCCCCC" w:sz="2" w:space="0"/>
              <w:left w:val="single" w:color="CCCCCC" w:sz="2" w:space="0"/>
              <w:bottom w:val="single" w:color="CCCCCC" w:sz="2" w:space="0"/>
              <w:right w:val="single" w:color="CCCCCC" w:sz="2" w:space="0"/>
            </w:tcBorders>
            <w:shd w:val="clear" w:color="auto" w:fill="auto"/>
          </w:tcPr>
          <w:p w14:paraId="7DF8482A">
            <w:pPr>
              <w:jc w:val="center"/>
            </w:pPr>
            <w:r>
              <w:rPr>
                <w:b w:val="0"/>
                <w:bCs w:val="0"/>
                <w:sz w:val="20"/>
                <w:szCs w:val="20"/>
              </w:rPr>
              <w:t>46.96%</w:t>
            </w:r>
          </w:p>
        </w:tc>
      </w:tr>
      <w:tr w14:paraId="0FD287F7">
        <w:tc>
          <w:tcPr>
            <w:tcW w:w="4679" w:type="dxa"/>
            <w:tcBorders>
              <w:top w:val="single" w:color="CCCCCC" w:sz="2" w:space="0"/>
              <w:left w:val="single" w:color="CCCCCC" w:sz="2" w:space="0"/>
              <w:bottom w:val="single" w:color="CCCCCC" w:sz="2" w:space="0"/>
              <w:right w:val="single" w:color="CCCCCC" w:sz="2" w:space="0"/>
            </w:tcBorders>
          </w:tcPr>
          <w:p w14:paraId="0E7E435C">
            <w:pPr>
              <w:jc w:val="left"/>
            </w:pPr>
            <w:r>
              <w:rPr>
                <w:b w:val="0"/>
                <w:bCs w:val="0"/>
                <w:sz w:val="20"/>
                <w:szCs w:val="20"/>
              </w:rPr>
              <w:t>预设问答 (Preset Q&amp;A)</w:t>
            </w:r>
          </w:p>
        </w:tc>
        <w:tc>
          <w:tcPr>
            <w:tcW w:w="2340" w:type="dxa"/>
            <w:tcBorders>
              <w:top w:val="single" w:color="CCCCCC" w:sz="2" w:space="0"/>
              <w:left w:val="single" w:color="CCCCCC" w:sz="2" w:space="0"/>
              <w:bottom w:val="single" w:color="CCCCCC" w:sz="2" w:space="0"/>
              <w:right w:val="single" w:color="CCCCCC" w:sz="2" w:space="0"/>
            </w:tcBorders>
          </w:tcPr>
          <w:p w14:paraId="27D26470">
            <w:pPr>
              <w:jc w:val="center"/>
            </w:pPr>
            <w:r>
              <w:rPr>
                <w:b w:val="0"/>
                <w:bCs w:val="0"/>
                <w:sz w:val="20"/>
                <w:szCs w:val="20"/>
              </w:rPr>
              <w:t>15,705</w:t>
            </w:r>
          </w:p>
        </w:tc>
        <w:tc>
          <w:tcPr>
            <w:tcW w:w="2341" w:type="dxa"/>
            <w:tcBorders>
              <w:top w:val="single" w:color="CCCCCC" w:sz="2" w:space="0"/>
              <w:left w:val="single" w:color="CCCCCC" w:sz="2" w:space="0"/>
              <w:bottom w:val="single" w:color="CCCCCC" w:sz="2" w:space="0"/>
              <w:right w:val="single" w:color="CCCCCC" w:sz="2" w:space="0"/>
            </w:tcBorders>
          </w:tcPr>
          <w:p w14:paraId="13B4FC68">
            <w:pPr>
              <w:jc w:val="center"/>
            </w:pPr>
            <w:r>
              <w:rPr>
                <w:b w:val="0"/>
                <w:bCs w:val="0"/>
                <w:sz w:val="20"/>
                <w:szCs w:val="20"/>
              </w:rPr>
              <w:t>14.49%</w:t>
            </w:r>
          </w:p>
        </w:tc>
      </w:tr>
      <w:tr w14:paraId="7A385E28">
        <w:tc>
          <w:tcPr>
            <w:tcW w:w="4679" w:type="dxa"/>
            <w:tcBorders>
              <w:top w:val="single" w:color="CCCCCC" w:sz="2" w:space="0"/>
              <w:left w:val="single" w:color="CCCCCC" w:sz="2" w:space="0"/>
              <w:bottom w:val="single" w:color="CCCCCC" w:sz="2" w:space="0"/>
              <w:right w:val="single" w:color="CCCCCC" w:sz="2" w:space="0"/>
            </w:tcBorders>
          </w:tcPr>
          <w:p w14:paraId="1E2A19C8">
            <w:pPr>
              <w:jc w:val="left"/>
            </w:pPr>
            <w:r>
              <w:rPr>
                <w:b w:val="0"/>
                <w:bCs w:val="0"/>
                <w:sz w:val="20"/>
                <w:szCs w:val="20"/>
              </w:rPr>
              <w:t>来自mooccube (From MOOCCube)</w:t>
            </w:r>
          </w:p>
        </w:tc>
        <w:tc>
          <w:tcPr>
            <w:tcW w:w="2340" w:type="dxa"/>
            <w:tcBorders>
              <w:top w:val="single" w:color="CCCCCC" w:sz="2" w:space="0"/>
              <w:left w:val="single" w:color="CCCCCC" w:sz="2" w:space="0"/>
              <w:bottom w:val="single" w:color="CCCCCC" w:sz="2" w:space="0"/>
              <w:right w:val="single" w:color="CCCCCC" w:sz="2" w:space="0"/>
            </w:tcBorders>
          </w:tcPr>
          <w:p w14:paraId="172D752D">
            <w:pPr>
              <w:jc w:val="center"/>
            </w:pPr>
            <w:r>
              <w:rPr>
                <w:b w:val="0"/>
                <w:bCs w:val="0"/>
                <w:sz w:val="20"/>
                <w:szCs w:val="20"/>
              </w:rPr>
              <w:t>12,953</w:t>
            </w:r>
          </w:p>
        </w:tc>
        <w:tc>
          <w:tcPr>
            <w:tcW w:w="2341" w:type="dxa"/>
            <w:tcBorders>
              <w:top w:val="single" w:color="CCCCCC" w:sz="2" w:space="0"/>
              <w:left w:val="single" w:color="CCCCCC" w:sz="2" w:space="0"/>
              <w:bottom w:val="single" w:color="CCCCCC" w:sz="2" w:space="0"/>
              <w:right w:val="single" w:color="CCCCCC" w:sz="2" w:space="0"/>
            </w:tcBorders>
          </w:tcPr>
          <w:p w14:paraId="66770317">
            <w:pPr>
              <w:jc w:val="center"/>
            </w:pPr>
            <w:r>
              <w:rPr>
                <w:b w:val="0"/>
                <w:bCs w:val="0"/>
                <w:sz w:val="20"/>
                <w:szCs w:val="20"/>
              </w:rPr>
              <w:t>11.95%</w:t>
            </w:r>
          </w:p>
        </w:tc>
      </w:tr>
      <w:tr w14:paraId="5E9398AC">
        <w:tc>
          <w:tcPr>
            <w:tcW w:w="4679" w:type="dxa"/>
            <w:tcBorders>
              <w:top w:val="single" w:color="CCCCCC" w:sz="2" w:space="0"/>
              <w:left w:val="single" w:color="CCCCCC" w:sz="2" w:space="0"/>
              <w:bottom w:val="single" w:color="CCCCCC" w:sz="2" w:space="0"/>
              <w:right w:val="single" w:color="CCCCCC" w:sz="2" w:space="0"/>
            </w:tcBorders>
          </w:tcPr>
          <w:p w14:paraId="025FDA8D">
            <w:pPr>
              <w:jc w:val="left"/>
            </w:pPr>
            <w:r>
              <w:rPr>
                <w:b w:val="0"/>
                <w:bCs w:val="0"/>
                <w:sz w:val="20"/>
                <w:szCs w:val="20"/>
              </w:rPr>
              <w:t>来自图灵机器人 (Turing Bot)</w:t>
            </w:r>
          </w:p>
        </w:tc>
        <w:tc>
          <w:tcPr>
            <w:tcW w:w="2340" w:type="dxa"/>
            <w:tcBorders>
              <w:top w:val="single" w:color="CCCCCC" w:sz="2" w:space="0"/>
              <w:left w:val="single" w:color="CCCCCC" w:sz="2" w:space="0"/>
              <w:bottom w:val="single" w:color="CCCCCC" w:sz="2" w:space="0"/>
              <w:right w:val="single" w:color="CCCCCC" w:sz="2" w:space="0"/>
            </w:tcBorders>
          </w:tcPr>
          <w:p w14:paraId="0AFBA9DA">
            <w:pPr>
              <w:jc w:val="center"/>
            </w:pPr>
            <w:r>
              <w:rPr>
                <w:b w:val="0"/>
                <w:bCs w:val="0"/>
                <w:sz w:val="20"/>
                <w:szCs w:val="20"/>
              </w:rPr>
              <w:t>6,426</w:t>
            </w:r>
          </w:p>
        </w:tc>
        <w:tc>
          <w:tcPr>
            <w:tcW w:w="2341" w:type="dxa"/>
            <w:tcBorders>
              <w:top w:val="single" w:color="CCCCCC" w:sz="2" w:space="0"/>
              <w:left w:val="single" w:color="CCCCCC" w:sz="2" w:space="0"/>
              <w:bottom w:val="single" w:color="CCCCCC" w:sz="2" w:space="0"/>
              <w:right w:val="single" w:color="CCCCCC" w:sz="2" w:space="0"/>
            </w:tcBorders>
          </w:tcPr>
          <w:p w14:paraId="080D59BD">
            <w:pPr>
              <w:jc w:val="center"/>
            </w:pPr>
            <w:r>
              <w:rPr>
                <w:b w:val="0"/>
                <w:bCs w:val="0"/>
                <w:sz w:val="20"/>
                <w:szCs w:val="20"/>
              </w:rPr>
              <w:t>5.93%</w:t>
            </w:r>
          </w:p>
        </w:tc>
      </w:tr>
      <w:tr w14:paraId="39D25689">
        <w:tc>
          <w:tcPr>
            <w:tcW w:w="4679" w:type="dxa"/>
            <w:tcBorders>
              <w:top w:val="single" w:color="CCCCCC" w:sz="2" w:space="0"/>
              <w:left w:val="single" w:color="CCCCCC" w:sz="2" w:space="0"/>
              <w:bottom w:val="single" w:color="CCCCCC" w:sz="2" w:space="0"/>
              <w:right w:val="single" w:color="CCCCCC" w:sz="2" w:space="0"/>
            </w:tcBorders>
          </w:tcPr>
          <w:p w14:paraId="226D9B10">
            <w:pPr>
              <w:jc w:val="left"/>
            </w:pPr>
            <w:r>
              <w:rPr>
                <w:b w:val="0"/>
                <w:bCs w:val="0"/>
                <w:sz w:val="20"/>
                <w:szCs w:val="20"/>
              </w:rPr>
              <w:t>来自baidu (From Baidu)</w:t>
            </w:r>
          </w:p>
        </w:tc>
        <w:tc>
          <w:tcPr>
            <w:tcW w:w="2340" w:type="dxa"/>
            <w:tcBorders>
              <w:top w:val="single" w:color="CCCCCC" w:sz="2" w:space="0"/>
              <w:left w:val="single" w:color="CCCCCC" w:sz="2" w:space="0"/>
              <w:bottom w:val="single" w:color="CCCCCC" w:sz="2" w:space="0"/>
              <w:right w:val="single" w:color="CCCCCC" w:sz="2" w:space="0"/>
            </w:tcBorders>
          </w:tcPr>
          <w:p w14:paraId="5ABC9445">
            <w:pPr>
              <w:jc w:val="center"/>
            </w:pPr>
            <w:r>
              <w:rPr>
                <w:b w:val="0"/>
                <w:bCs w:val="0"/>
                <w:sz w:val="20"/>
                <w:szCs w:val="20"/>
              </w:rPr>
              <w:t>4,373</w:t>
            </w:r>
          </w:p>
        </w:tc>
        <w:tc>
          <w:tcPr>
            <w:tcW w:w="2341" w:type="dxa"/>
            <w:tcBorders>
              <w:top w:val="single" w:color="CCCCCC" w:sz="2" w:space="0"/>
              <w:left w:val="single" w:color="CCCCCC" w:sz="2" w:space="0"/>
              <w:bottom w:val="single" w:color="CCCCCC" w:sz="2" w:space="0"/>
              <w:right w:val="single" w:color="CCCCCC" w:sz="2" w:space="0"/>
            </w:tcBorders>
          </w:tcPr>
          <w:p w14:paraId="460D8C05">
            <w:pPr>
              <w:jc w:val="center"/>
            </w:pPr>
            <w:r>
              <w:rPr>
                <w:b w:val="0"/>
                <w:bCs w:val="0"/>
                <w:sz w:val="20"/>
                <w:szCs w:val="20"/>
              </w:rPr>
              <w:t>4.04%</w:t>
            </w:r>
          </w:p>
        </w:tc>
      </w:tr>
      <w:tr w14:paraId="554A6320">
        <w:tc>
          <w:tcPr>
            <w:tcW w:w="4679" w:type="dxa"/>
            <w:tcBorders>
              <w:top w:val="single" w:color="CCCCCC" w:sz="2" w:space="0"/>
              <w:left w:val="single" w:color="CCCCCC" w:sz="2" w:space="0"/>
              <w:bottom w:val="single" w:color="CCCCCC" w:sz="2" w:space="0"/>
              <w:right w:val="single" w:color="CCCCCC" w:sz="2" w:space="0"/>
            </w:tcBorders>
          </w:tcPr>
          <w:p w14:paraId="73E492A0">
            <w:pPr>
              <w:jc w:val="left"/>
            </w:pPr>
            <w:r>
              <w:rPr>
                <w:b w:val="0"/>
                <w:bCs w:val="0"/>
                <w:sz w:val="20"/>
                <w:szCs w:val="20"/>
              </w:rPr>
              <w:t>来自baike (From Baike)</w:t>
            </w:r>
          </w:p>
        </w:tc>
        <w:tc>
          <w:tcPr>
            <w:tcW w:w="2340" w:type="dxa"/>
            <w:tcBorders>
              <w:top w:val="single" w:color="CCCCCC" w:sz="2" w:space="0"/>
              <w:left w:val="single" w:color="CCCCCC" w:sz="2" w:space="0"/>
              <w:bottom w:val="single" w:color="CCCCCC" w:sz="2" w:space="0"/>
              <w:right w:val="single" w:color="CCCCCC" w:sz="2" w:space="0"/>
            </w:tcBorders>
          </w:tcPr>
          <w:p w14:paraId="670B250D">
            <w:pPr>
              <w:jc w:val="center"/>
            </w:pPr>
            <w:r>
              <w:rPr>
                <w:b w:val="0"/>
                <w:bCs w:val="0"/>
                <w:sz w:val="20"/>
                <w:szCs w:val="20"/>
              </w:rPr>
              <w:t>3,831</w:t>
            </w:r>
          </w:p>
        </w:tc>
        <w:tc>
          <w:tcPr>
            <w:tcW w:w="2341" w:type="dxa"/>
            <w:tcBorders>
              <w:top w:val="single" w:color="CCCCCC" w:sz="2" w:space="0"/>
              <w:left w:val="single" w:color="CCCCCC" w:sz="2" w:space="0"/>
              <w:bottom w:val="single" w:color="CCCCCC" w:sz="2" w:space="0"/>
              <w:right w:val="single" w:color="CCCCCC" w:sz="2" w:space="0"/>
            </w:tcBorders>
          </w:tcPr>
          <w:p w14:paraId="3994D77C">
            <w:pPr>
              <w:jc w:val="center"/>
            </w:pPr>
            <w:r>
              <w:rPr>
                <w:b w:val="0"/>
                <w:bCs w:val="0"/>
                <w:sz w:val="20"/>
                <w:szCs w:val="20"/>
              </w:rPr>
              <w:t>3.54%</w:t>
            </w:r>
          </w:p>
        </w:tc>
      </w:tr>
      <w:tr w14:paraId="6D96D7BA">
        <w:tc>
          <w:tcPr>
            <w:tcW w:w="4679" w:type="dxa"/>
            <w:tcBorders>
              <w:top w:val="single" w:color="CCCCCC" w:sz="2" w:space="0"/>
              <w:left w:val="single" w:color="CCCCCC" w:sz="2" w:space="0"/>
              <w:bottom w:val="single" w:color="CCCCCC" w:sz="2" w:space="0"/>
              <w:right w:val="single" w:color="CCCCCC" w:sz="2" w:space="0"/>
            </w:tcBorders>
          </w:tcPr>
          <w:p w14:paraId="35FC4EBF">
            <w:pPr>
              <w:jc w:val="left"/>
            </w:pPr>
            <w:r>
              <w:rPr>
                <w:b w:val="0"/>
                <w:bCs w:val="0"/>
                <w:sz w:val="20"/>
                <w:szCs w:val="20"/>
              </w:rPr>
              <w:t>作诗 (Poetry)</w:t>
            </w:r>
          </w:p>
        </w:tc>
        <w:tc>
          <w:tcPr>
            <w:tcW w:w="2340" w:type="dxa"/>
            <w:tcBorders>
              <w:top w:val="single" w:color="CCCCCC" w:sz="2" w:space="0"/>
              <w:left w:val="single" w:color="CCCCCC" w:sz="2" w:space="0"/>
              <w:bottom w:val="single" w:color="CCCCCC" w:sz="2" w:space="0"/>
              <w:right w:val="single" w:color="CCCCCC" w:sz="2" w:space="0"/>
            </w:tcBorders>
          </w:tcPr>
          <w:p w14:paraId="613F9425">
            <w:pPr>
              <w:jc w:val="center"/>
            </w:pPr>
            <w:r>
              <w:rPr>
                <w:b w:val="0"/>
                <w:bCs w:val="0"/>
                <w:sz w:val="20"/>
                <w:szCs w:val="20"/>
              </w:rPr>
              <w:t>3,133</w:t>
            </w:r>
          </w:p>
        </w:tc>
        <w:tc>
          <w:tcPr>
            <w:tcW w:w="2341" w:type="dxa"/>
            <w:tcBorders>
              <w:top w:val="single" w:color="CCCCCC" w:sz="2" w:space="0"/>
              <w:left w:val="single" w:color="CCCCCC" w:sz="2" w:space="0"/>
              <w:bottom w:val="single" w:color="CCCCCC" w:sz="2" w:space="0"/>
              <w:right w:val="single" w:color="CCCCCC" w:sz="2" w:space="0"/>
            </w:tcBorders>
          </w:tcPr>
          <w:p w14:paraId="5837C49F">
            <w:pPr>
              <w:jc w:val="center"/>
            </w:pPr>
            <w:r>
              <w:rPr>
                <w:b w:val="0"/>
                <w:bCs w:val="0"/>
                <w:sz w:val="20"/>
                <w:szCs w:val="20"/>
              </w:rPr>
              <w:t>2.89%</w:t>
            </w:r>
          </w:p>
        </w:tc>
      </w:tr>
      <w:tr w14:paraId="79B2E80B">
        <w:tc>
          <w:tcPr>
            <w:tcW w:w="4679" w:type="dxa"/>
            <w:tcBorders>
              <w:top w:val="single" w:color="CCCCCC" w:sz="2" w:space="0"/>
              <w:left w:val="single" w:color="CCCCCC" w:sz="2" w:space="0"/>
              <w:bottom w:val="single" w:color="CCCCCC" w:sz="2" w:space="0"/>
              <w:right w:val="single" w:color="CCCCCC" w:sz="2" w:space="0"/>
            </w:tcBorders>
          </w:tcPr>
          <w:p w14:paraId="66A8A3AE">
            <w:pPr>
              <w:jc w:val="left"/>
            </w:pPr>
            <w:r>
              <w:rPr>
                <w:b w:val="0"/>
                <w:bCs w:val="0"/>
                <w:sz w:val="20"/>
                <w:szCs w:val="20"/>
              </w:rPr>
              <w:t>来自Faq (FAQ)</w:t>
            </w:r>
          </w:p>
        </w:tc>
        <w:tc>
          <w:tcPr>
            <w:tcW w:w="2340" w:type="dxa"/>
            <w:tcBorders>
              <w:top w:val="single" w:color="CCCCCC" w:sz="2" w:space="0"/>
              <w:left w:val="single" w:color="CCCCCC" w:sz="2" w:space="0"/>
              <w:bottom w:val="single" w:color="CCCCCC" w:sz="2" w:space="0"/>
              <w:right w:val="single" w:color="CCCCCC" w:sz="2" w:space="0"/>
            </w:tcBorders>
          </w:tcPr>
          <w:p w14:paraId="6F7B79D3">
            <w:pPr>
              <w:jc w:val="center"/>
            </w:pPr>
            <w:r>
              <w:rPr>
                <w:b w:val="0"/>
                <w:bCs w:val="0"/>
                <w:sz w:val="20"/>
                <w:szCs w:val="20"/>
              </w:rPr>
              <w:t>3,033</w:t>
            </w:r>
          </w:p>
        </w:tc>
        <w:tc>
          <w:tcPr>
            <w:tcW w:w="2341" w:type="dxa"/>
            <w:tcBorders>
              <w:top w:val="single" w:color="CCCCCC" w:sz="2" w:space="0"/>
              <w:left w:val="single" w:color="CCCCCC" w:sz="2" w:space="0"/>
              <w:bottom w:val="single" w:color="CCCCCC" w:sz="2" w:space="0"/>
              <w:right w:val="single" w:color="CCCCCC" w:sz="2" w:space="0"/>
            </w:tcBorders>
          </w:tcPr>
          <w:p w14:paraId="530F7F34">
            <w:pPr>
              <w:jc w:val="center"/>
            </w:pPr>
            <w:r>
              <w:rPr>
                <w:b w:val="0"/>
                <w:bCs w:val="0"/>
                <w:sz w:val="20"/>
                <w:szCs w:val="20"/>
              </w:rPr>
              <w:t>2.80%</w:t>
            </w:r>
          </w:p>
        </w:tc>
      </w:tr>
      <w:tr w14:paraId="34FE25AF">
        <w:tc>
          <w:tcPr>
            <w:tcW w:w="4679" w:type="dxa"/>
            <w:tcBorders>
              <w:top w:val="single" w:color="CCCCCC" w:sz="2" w:space="0"/>
              <w:left w:val="single" w:color="CCCCCC" w:sz="2" w:space="0"/>
              <w:bottom w:val="single" w:color="CCCCCC" w:sz="2" w:space="0"/>
              <w:right w:val="single" w:color="CCCCCC" w:sz="2" w:space="0"/>
            </w:tcBorders>
          </w:tcPr>
          <w:p w14:paraId="4F7951A4">
            <w:pPr>
              <w:jc w:val="left"/>
            </w:pPr>
            <w:r>
              <w:rPr>
                <w:b w:val="0"/>
                <w:bCs w:val="0"/>
                <w:sz w:val="20"/>
                <w:szCs w:val="20"/>
              </w:rPr>
              <w:t>来自Aminer (Academic Search)</w:t>
            </w:r>
          </w:p>
        </w:tc>
        <w:tc>
          <w:tcPr>
            <w:tcW w:w="2340" w:type="dxa"/>
            <w:tcBorders>
              <w:top w:val="single" w:color="CCCCCC" w:sz="2" w:space="0"/>
              <w:left w:val="single" w:color="CCCCCC" w:sz="2" w:space="0"/>
              <w:bottom w:val="single" w:color="CCCCCC" w:sz="2" w:space="0"/>
              <w:right w:val="single" w:color="CCCCCC" w:sz="2" w:space="0"/>
            </w:tcBorders>
          </w:tcPr>
          <w:p w14:paraId="36B1CD22">
            <w:pPr>
              <w:jc w:val="center"/>
            </w:pPr>
            <w:r>
              <w:rPr>
                <w:b w:val="0"/>
                <w:bCs w:val="0"/>
                <w:sz w:val="20"/>
                <w:szCs w:val="20"/>
              </w:rPr>
              <w:t>2,415</w:t>
            </w:r>
          </w:p>
        </w:tc>
        <w:tc>
          <w:tcPr>
            <w:tcW w:w="2341" w:type="dxa"/>
            <w:tcBorders>
              <w:top w:val="single" w:color="CCCCCC" w:sz="2" w:space="0"/>
              <w:left w:val="single" w:color="CCCCCC" w:sz="2" w:space="0"/>
              <w:bottom w:val="single" w:color="CCCCCC" w:sz="2" w:space="0"/>
              <w:right w:val="single" w:color="CCCCCC" w:sz="2" w:space="0"/>
            </w:tcBorders>
          </w:tcPr>
          <w:p w14:paraId="16136F23">
            <w:pPr>
              <w:jc w:val="center"/>
            </w:pPr>
            <w:r>
              <w:rPr>
                <w:b w:val="0"/>
                <w:bCs w:val="0"/>
                <w:sz w:val="20"/>
                <w:szCs w:val="20"/>
              </w:rPr>
              <w:t>2.23%</w:t>
            </w:r>
          </w:p>
        </w:tc>
      </w:tr>
      <w:tr w14:paraId="7175BC02">
        <w:tc>
          <w:tcPr>
            <w:tcW w:w="4679" w:type="dxa"/>
            <w:tcBorders>
              <w:top w:val="single" w:color="CCCCCC" w:sz="2" w:space="0"/>
              <w:left w:val="single" w:color="CCCCCC" w:sz="2" w:space="0"/>
              <w:bottom w:val="single" w:color="CCCCCC" w:sz="2" w:space="0"/>
              <w:right w:val="single" w:color="CCCCCC" w:sz="2" w:space="0"/>
            </w:tcBorders>
          </w:tcPr>
          <w:p w14:paraId="48CC61CC">
            <w:pPr>
              <w:jc w:val="left"/>
            </w:pPr>
            <w:r>
              <w:rPr>
                <w:rFonts w:hint="eastAsia"/>
                <w:b w:val="0"/>
                <w:bCs w:val="0"/>
                <w:sz w:val="20"/>
                <w:szCs w:val="20"/>
              </w:rPr>
              <w:t>All remaining raw labels (including variants)</w:t>
            </w:r>
          </w:p>
        </w:tc>
        <w:tc>
          <w:tcPr>
            <w:tcW w:w="2340" w:type="dxa"/>
            <w:tcBorders>
              <w:top w:val="single" w:color="CCCCCC" w:sz="2" w:space="0"/>
              <w:left w:val="single" w:color="CCCCCC" w:sz="2" w:space="0"/>
              <w:bottom w:val="single" w:color="CCCCCC" w:sz="2" w:space="0"/>
              <w:right w:val="single" w:color="CCCCCC" w:sz="2" w:space="0"/>
            </w:tcBorders>
          </w:tcPr>
          <w:p w14:paraId="4FA78EBA">
            <w:pPr>
              <w:jc w:val="center"/>
            </w:pPr>
            <w:r>
              <w:rPr>
                <w:b w:val="0"/>
                <w:bCs w:val="0"/>
                <w:sz w:val="20"/>
                <w:szCs w:val="20"/>
              </w:rPr>
              <w:t>5,599</w:t>
            </w:r>
          </w:p>
        </w:tc>
        <w:tc>
          <w:tcPr>
            <w:tcW w:w="2341" w:type="dxa"/>
            <w:tcBorders>
              <w:top w:val="single" w:color="CCCCCC" w:sz="2" w:space="0"/>
              <w:left w:val="single" w:color="CCCCCC" w:sz="2" w:space="0"/>
              <w:bottom w:val="single" w:color="CCCCCC" w:sz="2" w:space="0"/>
              <w:right w:val="single" w:color="CCCCCC" w:sz="2" w:space="0"/>
            </w:tcBorders>
          </w:tcPr>
          <w:p w14:paraId="6D509B29">
            <w:pPr>
              <w:jc w:val="center"/>
            </w:pPr>
            <w:r>
              <w:rPr>
                <w:b w:val="0"/>
                <w:bCs w:val="0"/>
                <w:sz w:val="20"/>
                <w:szCs w:val="20"/>
              </w:rPr>
              <w:t>5.17%</w:t>
            </w:r>
          </w:p>
        </w:tc>
      </w:tr>
    </w:tbl>
    <w:p w14:paraId="763CE86E">
      <w:pPr>
        <w:spacing w:before="0" w:after="300"/>
      </w:pPr>
      <w:r>
        <w:rPr>
          <w:rFonts w:hint="eastAsia"/>
          <w:i/>
          <w:iCs/>
          <w:color w:val="666666"/>
          <w:sz w:val="20"/>
          <w:szCs w:val="20"/>
        </w:rPr>
        <w:t>Note. The first nine rows count the exact raw labels shown. The final row combines all remaining labels, including variants of these features, and is not the analytical Other category. For example, the exact label “知识图谱点击” has 50,883 interactions, whereas KG Navigation including all variants has 50,971; From MOOCCube has 14,968 after combining variants, From Aminer 2,422, From Baike 3,835, and Pop-up Reflection Question 822. The two historical Other features, System Cannot Answer and Inappropriate Input, together contribute 922 full-dataset interactions, not 5,599. Full base-feature frequencies are preserved in Online Resource 2; main-sample counts and the four-record Baike exception are documented in Online Resource 1, Appendix A.6.</w:t>
      </w:r>
    </w:p>
    <w:p w14:paraId="67C5C7FB">
      <w:pPr>
        <w:pStyle w:val="5"/>
      </w:pPr>
      <w:r>
        <w:t>A.2 Analysis Code</w:t>
      </w:r>
    </w:p>
    <w:p w14:paraId="6C6BDF1B">
      <w:pPr>
        <w:spacing w:before="0" w:after="200"/>
        <w:rPr>
          <w:rFonts w:hint="eastAsia"/>
          <w:sz w:val="22"/>
          <w:szCs w:val="22"/>
        </w:rPr>
      </w:pPr>
      <w:r>
        <w:rPr>
          <w:rFonts w:hint="eastAsia"/>
          <w:sz w:val="22"/>
          <w:szCs w:val="22"/>
        </w:rPr>
        <w:t>The calculations use Python 3.13.5, pandas 2.3.3, NumPy 2.2.6, and SciPy 1.16.3; the updated figure uses Matplotlib 3.10.7. The strict student-level input is strict_student_model_data.csv from stage 02. The classification checks are defined in 04_remaining_analyses.py and corrected by 04b_corrections.py and 04c_mapping_and_pvalues.py. The superseded stage-04 specification that adds Other to the effective-feedback numerator is not reported here.</w:t>
      </w:r>
    </w:p>
    <w:p w14:paraId="06111EBA">
      <w:pPr>
        <w:spacing w:before="0" w:after="200"/>
        <w:rPr>
          <w:rFonts w:hint="eastAsia"/>
          <w:sz w:val="22"/>
          <w:szCs w:val="22"/>
        </w:rPr>
      </w:pPr>
      <w:r>
        <w:rPr>
          <w:rFonts w:hint="eastAsia"/>
          <w:sz w:val="22"/>
          <w:szCs w:val="22"/>
        </w:rPr>
        <w:t>For Table 2, the historical, KG-to-Task, standalone Other, and mapped-only rows use the Pearson and Spearman intervals in run04b_outputs/spearman_bootstrap_cis.csv; the coder-anchored row uses run04c_outputs/restored_mapping_sensitivity.csv. The final correlation p values and reported BH q value are from run04c_outputs/multiplicity_v3.csv. Pearson intervals use Fisher's z transformation; Spearman intervals use 10,000 paired-student percentile bootstrap resamples with ranks recomputed. The corresponding bootstrap seeds are 20260920, 20260925, 20260926, 20260927, and 20260918 for the five rows, respectively.</w:t>
      </w:r>
    </w:p>
    <w:p w14:paraId="1E0FA574">
      <w:pPr>
        <w:spacing w:before="0" w:after="200"/>
      </w:pPr>
      <w:r>
        <w:rPr>
          <w:rFonts w:hint="eastAsia"/>
          <w:sz w:val="22"/>
          <w:szCs w:val="22"/>
        </w:rPr>
        <w:t>OR3_recompute_and_plot.py reproduces the descriptive summaries in Tables 1, 3, and 4 and generates Figure 1 from the strict student-level input, using fixed accuracy cutpoints of 67.5% and 84.0%. Its outputs are OR3_verified_statistics.json, OR3_tertile_descriptives.csv, OR3_welch_comparisons.csv, and OR3_Figure1_strict.png. Table A1 uses exact-label counts from feature_mapping_audit.csv. No</w:t>
      </w:r>
      <w:bookmarkStart w:id="0" w:name="_GoBack"/>
      <w:bookmarkEnd w:id="0"/>
      <w:r>
        <w:rPr>
          <w:rFonts w:hint="eastAsia"/>
          <w:sz w:val="22"/>
          <w:szCs w:val="22"/>
        </w:rPr>
        <w:t xml:space="preserve"> coder ratings are altered by these analyses.</w:t>
      </w:r>
    </w:p>
    <w:sectPr>
      <w:pgSz w:w="12240" w:h="15840"/>
      <w:pgMar w:top="1440" w:right="1440" w:bottom="1440" w:left="1440" w:header="0" w:footer="0" w:gutter="0"/>
      <w:pgBorders>
        <w:top w:val="none" w:sz="0" w:space="0"/>
        <w:left w:val="none" w:sz="0" w:space="0"/>
        <w:bottom w:val="none" w:sz="0" w:space="0"/>
        <w:right w:val="none" w:sz="0" w:space="0"/>
      </w:pgBorders>
      <w:pgNumType w:fmt="decimal"/>
      <w:cols w:space="720" w:num="1"/>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Liberation Sans">
    <w:altName w:val="Thonburi"/>
    <w:panose1 w:val="00000000000000000000"/>
    <w:charset w:val="01"/>
    <w:family w:val="swiss"/>
    <w:pitch w:val="default"/>
    <w:sig w:usb0="00000000" w:usb1="00000000" w:usb2="00000000" w:usb3="00000000" w:csb0="00000000" w:csb1="00000000"/>
  </w:font>
  <w:font w:name="Thonburi">
    <w:panose1 w:val="00000400000000000000"/>
    <w:charset w:val="00"/>
    <w:family w:val="auto"/>
    <w:pitch w:val="default"/>
    <w:sig w:usb0="01000000" w:usb1="00000000" w:usb2="00000000" w:usb3="00000000" w:csb0="20000193" w:csb1="4D000000"/>
  </w:font>
  <w:font w:name="Noto Sans CJK SC">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FreeSans">
    <w:altName w:val="苹方-简"/>
    <w:panose1 w:val="00000000000000000000"/>
    <w:charset w:val="00"/>
    <w:family w:val="auto"/>
    <w:pitch w:val="default"/>
    <w:sig w:usb0="00000000" w:usb1="00000000" w:usb2="00000000" w:usb3="00000000" w:csb0="00000000" w:csb1="00000000"/>
  </w:font>
  <w:font w:name="Arial Italic">
    <w:panose1 w:val="020B0604020202090204"/>
    <w:charset w:val="00"/>
    <w:family w:val="auto"/>
    <w:pitch w:val="default"/>
    <w:sig w:usb0="E0000AFF" w:usb1="00007843" w:usb2="00000001" w:usb3="00000000" w:csb0="400001BF" w:csb1="DFF70000"/>
  </w:font>
  <w:font w:name="Arial Bold Italic">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rial Bold">
    <w:panose1 w:val="020B06040202020902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autoHyphenation/>
  <w:displayHorizontalDrawingGridEvery w:val="1"/>
  <w:displayVerticalDrawingGridEvery w:val="1"/>
  <w:noPunctuationKerning w:val="1"/>
  <w:footnotePr>
    <w:footnote w:id="0"/>
    <w:footnote w:id="1"/>
  </w:footnotePr>
  <w:compat>
    <w:doNotExpandShiftReturn/>
    <w:doNotWrapTextWithPunct/>
    <w:doNotUseEastAsianBreakRules/>
    <w:useFELayout/>
    <w:compatSetting w:name="compatibilityMode" w:uri="http://schemas.microsoft.com/office/word" w:val="12"/>
  </w:compat>
  <w:rsids>
    <w:rsidRoot w:val="00000000"/>
    <w:rsid w:val="5E5F83FB"/>
    <w:rsid w:val="6FFFED86"/>
    <w:rsid w:val="73F794B5"/>
    <w:rsid w:val="7EFA949F"/>
    <w:rsid w:val="D7BFB52D"/>
    <w:rsid w:val="EF5F23FD"/>
    <w:rsid w:val="EF92B568"/>
    <w:rsid w:val="FB7FC98E"/>
    <w:rsid w:val="FEDFD2B2"/>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jc w:val="left"/>
    </w:pPr>
    <w:rPr>
      <w:rFonts w:ascii="Arial" w:hAnsi="Arial" w:eastAsia="Arial" w:cs="Arial"/>
      <w:color w:val="auto"/>
      <w:kern w:val="0"/>
      <w:sz w:val="22"/>
      <w:szCs w:val="22"/>
      <w:lang w:val="en-US" w:eastAsia="zh-CN" w:bidi="hi-IN"/>
    </w:rPr>
  </w:style>
  <w:style w:type="paragraph" w:styleId="2">
    <w:name w:val="heading 1"/>
    <w:basedOn w:val="3"/>
    <w:qFormat/>
    <w:uiPriority w:val="0"/>
    <w:pPr>
      <w:spacing w:before="360" w:after="200"/>
      <w:outlineLvl w:val="0"/>
    </w:pPr>
    <w:rPr>
      <w:rFonts w:ascii="Arial" w:hAnsi="Arial" w:eastAsia="Arial" w:cs="Arial"/>
      <w:b/>
      <w:bCs/>
      <w:color w:val="1F4E79"/>
      <w:sz w:val="32"/>
      <w:szCs w:val="32"/>
    </w:rPr>
  </w:style>
  <w:style w:type="paragraph" w:styleId="5">
    <w:name w:val="heading 2"/>
    <w:basedOn w:val="3"/>
    <w:qFormat/>
    <w:uiPriority w:val="0"/>
    <w:pPr>
      <w:spacing w:before="280" w:after="160"/>
      <w:outlineLvl w:val="1"/>
    </w:pPr>
    <w:rPr>
      <w:rFonts w:ascii="Arial" w:hAnsi="Arial" w:eastAsia="Arial" w:cs="Arial"/>
      <w:b/>
      <w:bCs/>
      <w:color w:val="2E75B6"/>
      <w:sz w:val="26"/>
      <w:szCs w:val="26"/>
    </w:rPr>
  </w:style>
  <w:style w:type="paragraph" w:styleId="6">
    <w:name w:val="heading 3"/>
    <w:basedOn w:val="3"/>
    <w:qFormat/>
    <w:uiPriority w:val="0"/>
    <w:pPr>
      <w:spacing w:before="200" w:after="120"/>
      <w:outlineLvl w:val="2"/>
    </w:pPr>
    <w:rPr>
      <w:rFonts w:ascii="Arial" w:hAnsi="Arial" w:eastAsia="Arial" w:cs="Arial"/>
      <w:b/>
      <w:bCs/>
      <w:color w:val="404040"/>
      <w:sz w:val="24"/>
      <w:szCs w:val="24"/>
    </w:rPr>
  </w:style>
  <w:style w:type="paragraph" w:styleId="7">
    <w:name w:val="heading 4"/>
    <w:basedOn w:val="3"/>
    <w:qFormat/>
    <w:uiPriority w:val="0"/>
    <w:rPr>
      <w:i/>
      <w:iCs/>
      <w:color w:val="2E74B5"/>
    </w:rPr>
  </w:style>
  <w:style w:type="paragraph" w:styleId="8">
    <w:name w:val="heading 5"/>
    <w:basedOn w:val="3"/>
    <w:qFormat/>
    <w:uiPriority w:val="0"/>
    <w:rPr>
      <w:color w:val="2E74B5"/>
    </w:rPr>
  </w:style>
  <w:style w:type="paragraph" w:styleId="9">
    <w:name w:val="heading 6"/>
    <w:basedOn w:val="3"/>
    <w:qFormat/>
    <w:uiPriority w:val="0"/>
    <w:rPr>
      <w:color w:val="1F4D78"/>
    </w:rPr>
  </w:style>
  <w:style w:type="character" w:default="1" w:styleId="15">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Noto Sans CJK SC" w:cs="FreeSans"/>
      <w:sz w:val="28"/>
      <w:szCs w:val="28"/>
    </w:rPr>
  </w:style>
  <w:style w:type="paragraph" w:styleId="4">
    <w:name w:val="Body Text"/>
    <w:basedOn w:val="1"/>
    <w:uiPriority w:val="0"/>
    <w:pPr>
      <w:spacing w:before="0" w:after="140" w:line="276" w:lineRule="auto"/>
    </w:pPr>
  </w:style>
  <w:style w:type="paragraph" w:styleId="10">
    <w:name w:val="caption"/>
    <w:basedOn w:val="1"/>
    <w:qFormat/>
    <w:uiPriority w:val="0"/>
    <w:pPr>
      <w:suppressLineNumbers/>
      <w:spacing w:before="120" w:after="120"/>
    </w:pPr>
    <w:rPr>
      <w:rFonts w:cs="FreeSans"/>
      <w:i/>
      <w:iCs/>
      <w:sz w:val="24"/>
      <w:szCs w:val="24"/>
    </w:rPr>
  </w:style>
  <w:style w:type="paragraph" w:styleId="11">
    <w:name w:val="List"/>
    <w:basedOn w:val="4"/>
    <w:uiPriority w:val="0"/>
    <w:rPr>
      <w:rFonts w:cs="FreeSans"/>
    </w:rPr>
  </w:style>
  <w:style w:type="paragraph" w:styleId="12">
    <w:name w:val="footnote text"/>
    <w:basedOn w:val="1"/>
    <w:link w:val="20"/>
    <w:semiHidden/>
    <w:unhideWhenUsed/>
    <w:uiPriority w:val="99"/>
    <w:pPr>
      <w:spacing w:before="0" w:after="0" w:line="240" w:lineRule="auto"/>
    </w:pPr>
    <w:rPr>
      <w:sz w:val="20"/>
      <w:szCs w:val="20"/>
    </w:rPr>
  </w:style>
  <w:style w:type="paragraph" w:styleId="13">
    <w:name w:val="Title"/>
    <w:basedOn w:val="3"/>
    <w:qFormat/>
    <w:uiPriority w:val="0"/>
    <w:rPr>
      <w:sz w:val="56"/>
      <w:szCs w:val="56"/>
    </w:rPr>
  </w:style>
  <w:style w:type="character" w:styleId="16">
    <w:name w:val="line number"/>
    <w:uiPriority w:val="0"/>
  </w:style>
  <w:style w:type="character" w:styleId="17">
    <w:name w:val="Hyperlink"/>
    <w:unhideWhenUsed/>
    <w:uiPriority w:val="99"/>
    <w:rPr>
      <w:color w:val="0563C1"/>
      <w:u w:val="single"/>
    </w:rPr>
  </w:style>
  <w:style w:type="character" w:styleId="18">
    <w:name w:val="footnote reference"/>
    <w:uiPriority w:val="0"/>
    <w:rPr>
      <w:vertAlign w:val="superscript"/>
    </w:rPr>
  </w:style>
  <w:style w:type="character" w:customStyle="1" w:styleId="19">
    <w:name w:val="Footnote Characters"/>
    <w:semiHidden/>
    <w:unhideWhenUsed/>
    <w:qFormat/>
    <w:uiPriority w:val="99"/>
    <w:rPr>
      <w:vertAlign w:val="superscript"/>
    </w:rPr>
  </w:style>
  <w:style w:type="character" w:customStyle="1" w:styleId="20">
    <w:name w:val="Footnote Text Char"/>
    <w:link w:val="12"/>
    <w:semiHidden/>
    <w:unhideWhenUsed/>
    <w:qFormat/>
    <w:uiPriority w:val="99"/>
    <w:rPr>
      <w:sz w:val="20"/>
      <w:szCs w:val="20"/>
    </w:rPr>
  </w:style>
  <w:style w:type="paragraph" w:customStyle="1" w:styleId="21">
    <w:name w:val="Index"/>
    <w:basedOn w:val="1"/>
    <w:qFormat/>
    <w:uiPriority w:val="0"/>
    <w:pPr>
      <w:suppressLineNumbers/>
    </w:pPr>
    <w:rPr>
      <w:rFonts w:cs="FreeSans"/>
    </w:rPr>
  </w:style>
  <w:style w:type="paragraph" w:customStyle="1" w:styleId="22">
    <w:name w:val="Strong Emphasis"/>
    <w:qFormat/>
    <w:uiPriority w:val="0"/>
    <w:pPr>
      <w:widowControl/>
      <w:suppressAutoHyphens/>
      <w:bidi w:val="0"/>
      <w:spacing w:before="0" w:after="0"/>
      <w:jc w:val="left"/>
    </w:pPr>
    <w:rPr>
      <w:rFonts w:ascii="Arial" w:hAnsi="Arial" w:eastAsia="Arial" w:cs="Arial"/>
      <w:b/>
      <w:bCs/>
      <w:color w:val="auto"/>
      <w:kern w:val="0"/>
      <w:sz w:val="22"/>
      <w:szCs w:val="22"/>
      <w:lang w:val="en-US" w:eastAsia="zh-CN" w:bidi="hi-IN"/>
    </w:rPr>
  </w:style>
  <w:style w:type="paragraph" w:styleId="23">
    <w:name w:val="List Paragraph"/>
    <w:qFormat/>
    <w:uiPriority w:val="0"/>
    <w:pPr>
      <w:widowControl/>
      <w:suppressAutoHyphens/>
      <w:bidi w:val="0"/>
      <w:spacing w:before="0" w:after="0"/>
      <w:jc w:val="left"/>
    </w:pPr>
    <w:rPr>
      <w:rFonts w:ascii="Arial" w:hAnsi="Arial" w:eastAsia="Arial" w:cs="Arial"/>
      <w:color w:val="auto"/>
      <w:kern w:val="0"/>
      <w:sz w:val="22"/>
      <w:szCs w:val="22"/>
      <w:lang w:val="en-US" w:eastAsia="zh-CN" w:bidi="hi-I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734</Words>
  <Characters>4484</Characters>
  <Paragraphs>130</Paragraphs>
  <TotalTime>12</TotalTime>
  <ScaleCrop>false</ScaleCrop>
  <LinksUpToDate>false</LinksUpToDate>
  <CharactersWithSpaces>5064</CharactersWithSpaces>
  <Application>WPS Office_12.1.26046.26046_F1E327BC-269C-435d-A152-05C5408002CA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2026-01-21T19:34:00Z</dcterms:created>
  <dc:creator>Un-named</dc:creator>
  <cp:lastModifiedBy>nnfi12635</cp:lastModifiedBy>
  <dcterms:modified xsi:type="dcterms:W3CDTF">2026-10-07T13:47:51Z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A904C2472DF35168C805176A51F2C801_42</vt:lpwstr>
  </property>
</Properties>
</file>