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F73EF">
      <w:pPr>
        <w:spacing w:before="1200" w:after="240"/>
        <w:jc w:val="center"/>
      </w:pPr>
      <w:r>
        <w:rPr>
          <w:b/>
          <w:bCs/>
          <w:sz w:val="36"/>
          <w:szCs w:val="36"/>
        </w:rPr>
        <w:t>Coding Manual for AI Feedback Classification</w:t>
      </w:r>
    </w:p>
    <w:p w14:paraId="3893CDFE">
      <w:pPr>
        <w:spacing w:after="240"/>
        <w:jc w:val="center"/>
      </w:pPr>
      <w:r>
        <w:rPr>
          <w:b/>
          <w:bCs/>
          <w:sz w:val="32"/>
          <w:szCs w:val="32"/>
        </w:rPr>
        <w:t>AI 反馈类型编码手册</w:t>
      </w:r>
    </w:p>
    <w:p w14:paraId="1CB691AA">
      <w:pPr>
        <w:spacing w:after="480"/>
        <w:jc w:val="center"/>
      </w:pPr>
      <w:r>
        <w:rPr>
          <w:i/>
          <w:iCs/>
          <w:sz w:val="24"/>
          <w:szCs w:val="24"/>
        </w:rPr>
        <w:t>Based on Hattie &amp; Timperley (2007) Feedback Framework</w:t>
      </w:r>
    </w:p>
    <w:p w14:paraId="75050FB2">
      <w:pPr>
        <w:spacing w:after="120"/>
        <w:jc w:val="center"/>
      </w:pPr>
      <w:r>
        <w:rPr>
          <w:color w:val="666666"/>
          <w:sz w:val="22"/>
          <w:szCs w:val="22"/>
        </w:rPr>
        <w:t>For independent coders 致独立编码者</w:t>
      </w:r>
    </w:p>
    <w:p w14:paraId="6C76FC25">
      <w:pPr>
        <w:spacing w:after="120"/>
        <w:jc w:val="center"/>
        <w:rPr>
          <w:color w:val="666666"/>
          <w:sz w:val="22"/>
          <w:szCs w:val="22"/>
        </w:rPr>
      </w:pPr>
      <w:r>
        <w:rPr>
          <w:color w:val="666666"/>
          <w:sz w:val="22"/>
          <w:szCs w:val="22"/>
        </w:rPr>
        <w:t>Inter-Rater Reliability Study</w:t>
      </w:r>
    </w:p>
    <w:p w14:paraId="35804C49">
      <w:pPr>
        <w:spacing w:after="120"/>
        <w:jc w:val="center"/>
        <w:rPr>
          <w:rFonts w:hint="eastAsia"/>
          <w:color w:val="666666"/>
          <w:sz w:val="22"/>
          <w:szCs w:val="22"/>
        </w:rPr>
      </w:pPr>
    </w:p>
    <w:p w14:paraId="688A7EDE">
      <w:pPr>
        <w:spacing w:after="120"/>
        <w:jc w:val="center"/>
        <w:rPr>
          <w:rFonts w:hint="eastAsia"/>
          <w:color w:val="666666"/>
          <w:sz w:val="22"/>
          <w:szCs w:val="22"/>
        </w:rPr>
      </w:pPr>
      <w:r>
        <w:rPr>
          <w:rFonts w:hint="eastAsia"/>
          <w:color w:val="666666"/>
          <w:sz w:val="22"/>
          <w:szCs w:val="22"/>
        </w:rPr>
        <w:t>Revision note added for the present revision 修订说明（本轮新增）</w:t>
      </w:r>
    </w:p>
    <w:p w14:paraId="318EE0DF">
      <w:pPr>
        <w:spacing w:after="120"/>
        <w:jc w:val="center"/>
        <w:rPr>
          <w:rFonts w:hint="eastAsia"/>
          <w:color w:val="666666"/>
          <w:sz w:val="22"/>
          <w:szCs w:val="22"/>
        </w:rPr>
      </w:pPr>
    </w:p>
    <w:p w14:paraId="0787986A">
      <w:pPr>
        <w:spacing w:after="120"/>
        <w:jc w:val="center"/>
        <w:rPr>
          <w:rFonts w:hint="eastAsia"/>
          <w:color w:val="666666"/>
          <w:sz w:val="22"/>
          <w:szCs w:val="22"/>
        </w:rPr>
      </w:pPr>
      <w:r>
        <w:rPr>
          <w:rFonts w:hint="eastAsia"/>
          <w:color w:val="666666"/>
          <w:sz w:val="22"/>
          <w:szCs w:val="22"/>
        </w:rPr>
        <w:t>Sections 1–6 reproduce the instructions used for independent coding, with the sample-count correction in Section 1.1 explicitly marked. The archived coder ratings are unchanged. Appendix A documents subsequent author-level mappings, their implementation, and the coder-anchored sensitivity analysis; these additions were not part of the independent coding instructions.</w:t>
      </w:r>
    </w:p>
    <w:p w14:paraId="44223E4A">
      <w:pPr>
        <w:spacing w:after="120"/>
        <w:jc w:val="center"/>
        <w:rPr>
          <w:rFonts w:hint="eastAsia"/>
          <w:color w:val="666666"/>
          <w:sz w:val="22"/>
          <w:szCs w:val="22"/>
        </w:rPr>
      </w:pPr>
    </w:p>
    <w:p w14:paraId="4FADE16B">
      <w:pPr>
        <w:spacing w:after="120"/>
        <w:jc w:val="center"/>
        <w:rPr>
          <w:rFonts w:hint="eastAsia"/>
          <w:color w:val="666666"/>
          <w:sz w:val="22"/>
          <w:szCs w:val="22"/>
        </w:rPr>
      </w:pPr>
      <w:r>
        <w:rPr>
          <w:rFonts w:hint="eastAsia"/>
          <w:color w:val="666666"/>
          <w:sz w:val="22"/>
          <w:szCs w:val="22"/>
        </w:rPr>
        <w:t>第1–6节保留独立编码时使用的说明，第1.1节的样本数量勘误已明确标示。已归档的编码者原始评分保持不变。附录A记录后续作者级映射、实际执行方式及编码者锚定敏感性分析；这些新增说明不属于独立编码时的指导材料。</w:t>
      </w:r>
    </w:p>
    <w:p w14:paraId="2662CDA7">
      <w:pPr>
        <w:spacing w:after="120"/>
        <w:jc w:val="center"/>
        <w:rPr>
          <w:rFonts w:hint="eastAsia"/>
          <w:color w:val="666666"/>
          <w:sz w:val="22"/>
          <w:szCs w:val="22"/>
        </w:rPr>
      </w:pPr>
    </w:p>
    <w:p w14:paraId="55E98F59">
      <w:pPr>
        <w:spacing w:after="120"/>
        <w:jc w:val="center"/>
        <w:rPr>
          <w:rFonts w:hint="eastAsia"/>
          <w:color w:val="666666"/>
          <w:sz w:val="22"/>
          <w:szCs w:val="22"/>
        </w:rPr>
      </w:pPr>
      <w:r>
        <w:rPr>
          <w:rFonts w:hint="eastAsia"/>
          <w:color w:val="666666"/>
          <w:sz w:val="22"/>
          <w:szCs w:val="22"/>
        </w:rPr>
        <w:t>The historical instructions contain overlapping boundaries for some non-instructional social and entertainment features. Their category-order tie-breaking rule is an operational instruction, not a validated ordering of cognitive depth. These ambiguities limit the interpretation of the feature taxonomy; the archived ratings are retained, and the coder-anchored sensitivity analysis evaluates a specific alternative mapping without establishing the taxonomy's construct validity.</w:t>
      </w:r>
    </w:p>
    <w:p w14:paraId="20207A6E">
      <w:pPr>
        <w:spacing w:after="120"/>
        <w:jc w:val="center"/>
        <w:rPr>
          <w:rFonts w:hint="eastAsia"/>
          <w:color w:val="666666"/>
          <w:sz w:val="22"/>
          <w:szCs w:val="22"/>
        </w:rPr>
      </w:pPr>
    </w:p>
    <w:p w14:paraId="02EF7235">
      <w:pPr>
        <w:spacing w:after="120"/>
        <w:jc w:val="center"/>
        <w:rPr>
          <w:color w:val="666666"/>
          <w:sz w:val="22"/>
          <w:szCs w:val="22"/>
        </w:rPr>
      </w:pPr>
      <w:r>
        <w:rPr>
          <w:rFonts w:hint="eastAsia"/>
          <w:color w:val="666666"/>
          <w:sz w:val="22"/>
          <w:szCs w:val="22"/>
        </w:rPr>
        <w:t>历史说明对部分非教学性的社交与娱乐功能存在类别边界重叠。其中用于边界裁定的类别排序属于操作规则，并非经过验证的认知深度排序。这些歧义限制了功能分类的解释；原始编码评分保持不变，编码者锚定敏感性分析检验一套具体的替代映射，并不能确立该分类体系的构念效度。</w:t>
      </w:r>
    </w:p>
    <w:p w14:paraId="2EA552F5">
      <w:r>
        <w:br w:type="page"/>
      </w:r>
    </w:p>
    <w:p w14:paraId="5C1088A9">
      <w:pPr>
        <w:pStyle w:val="2"/>
        <w:spacing w:before="360" w:after="180"/>
      </w:pPr>
      <w:r>
        <w:rPr>
          <w:b/>
          <w:bCs/>
          <w:sz w:val="32"/>
          <w:szCs w:val="32"/>
        </w:rPr>
        <w:t>1. Background and Your Task 背景与任务</w:t>
      </w:r>
    </w:p>
    <w:p w14:paraId="2CBAF3EE">
      <w:pPr>
        <w:pStyle w:val="3"/>
        <w:spacing w:before="240" w:after="120"/>
      </w:pPr>
      <w:r>
        <w:rPr>
          <w:b/>
          <w:bCs/>
          <w:sz w:val="26"/>
          <w:szCs w:val="26"/>
        </w:rPr>
        <w:t>1.1 What is this study about? 研究背景</w:t>
      </w:r>
    </w:p>
    <w:p w14:paraId="00A4E5D9">
      <w:pPr>
        <w:spacing w:after="120" w:line="300" w:lineRule="auto"/>
      </w:pPr>
      <w:r>
        <w:t>Thank you for agreeing to help with this coding task. Your work is essential for establishing the methodological rigor of this research.</w:t>
      </w:r>
    </w:p>
    <w:p w14:paraId="749FC593">
      <w:pPr>
        <w:spacing w:after="120" w:line="300" w:lineRule="auto"/>
      </w:pPr>
      <w:r>
        <w:t>感谢你协助完成这项编码任务。你的工作对于确保本研究的方法论严谨性至关重要。</w:t>
      </w:r>
    </w:p>
    <w:p w14:paraId="405920A6">
      <w:pPr>
        <w:spacing w:after="120" w:line="300" w:lineRule="auto"/>
        <w:rPr>
          <w:rFonts w:hint="eastAsia"/>
        </w:rPr>
      </w:pPr>
      <w:r>
        <w:t xml:space="preserve">This study analyzes </w:t>
      </w:r>
      <w:r>
        <w:rPr>
          <w:rFonts w:hint="eastAsia"/>
        </w:rPr>
        <w:t>how university students use AI assistants embedded in Chinese MOOCs (Massive Open Online Courses). [Correction for the present revision: The full AI interaction dataset contains 108,351 interactions from 21,436 users. The main analytic sample comprises 16,389 users with 85,815 AI interactions.] Each interaction was triggered when a student used a particular AI feature on the platform (e.g., clicking a knowledge graph node, asking a question to a chatbot, performing a search).</w:t>
      </w:r>
    </w:p>
    <w:p w14:paraId="14CBA1A4">
      <w:pPr>
        <w:spacing w:after="120" w:line="300" w:lineRule="auto"/>
      </w:pPr>
      <w:r>
        <w:rPr>
          <w:rFonts w:hint="eastAsia"/>
        </w:rPr>
        <w:t>本研究分析中国 MOOC 平台中嵌入式 AI 助手的学生使用模式。【本轮修订勘误：完整 AI 交互数据包含21,436名用户的108,351次交互；主分析样本包含16,389名用户的85,815次 AI 交互。】每条记录对应学生使用某种 AI 功能时被触发的交互（如点击知识图谱节点、向聊天机器人提问、执行搜索等）。</w:t>
      </w:r>
    </w:p>
    <w:p w14:paraId="2C6EA692">
      <w:pPr>
        <w:pStyle w:val="3"/>
        <w:spacing w:before="240" w:after="120"/>
      </w:pPr>
      <w:r>
        <w:rPr>
          <w:b/>
          <w:bCs/>
          <w:sz w:val="26"/>
          <w:szCs w:val="26"/>
        </w:rPr>
        <w:t>1.2 What is your task? 你的任务</w:t>
      </w:r>
    </w:p>
    <w:p w14:paraId="6BE1E089">
      <w:pPr>
        <w:spacing w:after="120" w:line="300" w:lineRule="auto"/>
      </w:pPr>
      <w:r>
        <w:t>Your task is to classify each AI feature into one of four feedback levels from Hattie and Timperley's (2007) widely-cited feedback framework, OR mark it as "Other / Not Applicable" if it does not fit any feedback category.</w:t>
      </w:r>
    </w:p>
    <w:p w14:paraId="18396F3B">
      <w:pPr>
        <w:spacing w:after="120" w:line="300" w:lineRule="auto"/>
      </w:pPr>
      <w:r>
        <w:t>你的任务是根据 Hattie 和 Timperley (2007) 提出的反馈框架，把每种 AI 功能归入四个反馈层级之一，或在该功能不属于任何反馈类型时，标记为 "Other / Not Applicable"（其他 / 不适用）。</w:t>
      </w:r>
    </w:p>
    <w:p w14:paraId="56FC144A">
      <w:pPr>
        <w:spacing w:after="120" w:line="300" w:lineRule="auto"/>
      </w:pPr>
      <w:r>
        <w:rPr>
          <w:b/>
          <w:bCs/>
        </w:rPr>
        <w:t>You will receive:</w:t>
      </w:r>
    </w:p>
    <w:p w14:paraId="0CD2DB0D">
      <w:pPr>
        <w:pStyle w:val="17"/>
        <w:numPr>
          <w:ilvl w:val="0"/>
          <w:numId w:val="1"/>
        </w:numPr>
        <w:spacing w:after="80" w:line="280" w:lineRule="auto"/>
      </w:pPr>
      <w:r>
        <w:rPr>
          <w:b w:val="0"/>
          <w:bCs w:val="0"/>
        </w:rPr>
        <w:t>This codebook (the document you are reading now)</w:t>
      </w:r>
    </w:p>
    <w:p w14:paraId="0447C8D4">
      <w:pPr>
        <w:pStyle w:val="17"/>
        <w:numPr>
          <w:ilvl w:val="0"/>
          <w:numId w:val="1"/>
        </w:numPr>
        <w:spacing w:after="80" w:line="280" w:lineRule="auto"/>
      </w:pPr>
      <w:r>
        <w:rPr>
          <w:b w:val="0"/>
          <w:bCs w:val="0"/>
        </w:rPr>
        <w:t>An Excel sheet listing 16 AI features with brief descriptions and sample student inputs</w:t>
      </w:r>
    </w:p>
    <w:p w14:paraId="03561CF2">
      <w:pPr>
        <w:pStyle w:val="17"/>
        <w:numPr>
          <w:ilvl w:val="0"/>
          <w:numId w:val="1"/>
        </w:numPr>
        <w:spacing w:after="80" w:line="280" w:lineRule="auto"/>
      </w:pPr>
      <w:r>
        <w:rPr>
          <w:b w:val="0"/>
          <w:bCs w:val="0"/>
        </w:rPr>
        <w:t>A separate practice sheet with 3 example items for the training session</w:t>
      </w:r>
    </w:p>
    <w:p w14:paraId="7FAFBC1B">
      <w:pPr>
        <w:spacing w:after="120" w:line="300" w:lineRule="auto"/>
      </w:pPr>
      <w:r>
        <w:rPr>
          <w:b/>
          <w:bCs/>
        </w:rPr>
        <w:t>重要说明：</w:t>
      </w:r>
    </w:p>
    <w:p w14:paraId="1CA906CD">
      <w:pPr>
        <w:pStyle w:val="17"/>
        <w:numPr>
          <w:ilvl w:val="0"/>
          <w:numId w:val="1"/>
        </w:numPr>
        <w:spacing w:after="80" w:line="280" w:lineRule="auto"/>
      </w:pPr>
      <w:r>
        <w:rPr>
          <w:b w:val="0"/>
          <w:bCs w:val="0"/>
        </w:rPr>
        <w:t>请独立完成编码，不要与另一位编码者讨论你的判断。</w:t>
      </w:r>
    </w:p>
    <w:p w14:paraId="1242A288">
      <w:pPr>
        <w:pStyle w:val="17"/>
        <w:numPr>
          <w:ilvl w:val="0"/>
          <w:numId w:val="1"/>
        </w:numPr>
        <w:spacing w:after="80" w:line="280" w:lineRule="auto"/>
      </w:pPr>
      <w:r>
        <w:rPr>
          <w:b w:val="0"/>
          <w:bCs w:val="0"/>
        </w:rPr>
        <w:t>如果你对某个项目的归类感到不确定，按你的最佳判断选择一个层级，并在 Excel 表格的 "Notes" 列简要说明你犹豫的原因。</w:t>
      </w:r>
    </w:p>
    <w:p w14:paraId="4F89020A">
      <w:pPr>
        <w:pStyle w:val="17"/>
        <w:numPr>
          <w:ilvl w:val="0"/>
          <w:numId w:val="1"/>
        </w:numPr>
        <w:spacing w:after="80" w:line="280" w:lineRule="auto"/>
      </w:pPr>
      <w:r>
        <w:rPr>
          <w:b w:val="0"/>
          <w:bCs w:val="0"/>
        </w:rPr>
        <w:t>不要查阅其他相关文献来"找答案"——本编码任务的目的就是测试本手册的描述是否足够清晰，让你能独立做出判断。</w:t>
      </w:r>
    </w:p>
    <w:p w14:paraId="0826384D">
      <w:r>
        <w:br w:type="page"/>
      </w:r>
    </w:p>
    <w:p w14:paraId="19916738">
      <w:pPr>
        <w:pStyle w:val="2"/>
        <w:spacing w:before="360" w:after="180"/>
      </w:pPr>
      <w:r>
        <w:rPr>
          <w:b/>
          <w:bCs/>
          <w:sz w:val="32"/>
          <w:szCs w:val="32"/>
        </w:rPr>
        <w:t>2. The Hattie &amp; Timperley (2007) Feedback Framework 反馈框架</w:t>
      </w:r>
    </w:p>
    <w:p w14:paraId="73D4E34C">
      <w:pPr>
        <w:spacing w:after="120" w:line="300" w:lineRule="auto"/>
      </w:pPr>
      <w:r>
        <w:t>Hattie and Timperley (2007) proposed that effective feedback addresses three questions—"Where am I going?" (goals), "How am I going?" (progress), and "Where to next?" (next steps)—and that this feedback can be directed at four different levels of learning. The four levels differ in their depth of cognitive engagement and their power to support deep learning.</w:t>
      </w:r>
    </w:p>
    <w:p w14:paraId="5EFEF4DD">
      <w:pPr>
        <w:spacing w:after="120" w:line="300" w:lineRule="auto"/>
      </w:pPr>
      <w:r>
        <w:t>Hattie 和 Timperley (2007) 提出，有效反馈应回答三个问题："我要去哪里？"（目标）、"我做得怎么样？"（进度）、"下一步该怎么做？"（路径）。这种反馈可以指向四个不同的学习层级，这些层级在认知投入深度和促进深度学习的能力上有所不同。</w:t>
      </w:r>
    </w:p>
    <w:p w14:paraId="3D097D4A">
      <w:pPr>
        <w:spacing w:after="120" w:line="300" w:lineRule="auto"/>
      </w:pPr>
      <w:r>
        <w:t>In this study, we apply this framework to AI-mediated feedback. Each AI feature in the dataset corresponds to one type of cognitive support the system offers. Your job is to decide which level of feedback the AI feature most closely resembles.</w:t>
      </w:r>
    </w:p>
    <w:p w14:paraId="69FCD985">
      <w:pPr>
        <w:spacing w:after="120" w:line="300" w:lineRule="auto"/>
      </w:pPr>
      <w:r>
        <w:t>在本研究中，我们将该框架应用于 AI 介导的反馈。数据集中每个 AI 功能对应系统提供的一种认知支持。你需要判断每种功能最接近哪个反馈层级。</w:t>
      </w:r>
    </w:p>
    <w:p w14:paraId="17B491E4">
      <w:pPr>
        <w:pStyle w:val="3"/>
        <w:spacing w:before="240" w:after="120"/>
      </w:pPr>
      <w:r>
        <w:rPr>
          <w:b/>
          <w:bCs/>
          <w:sz w:val="26"/>
          <w:szCs w:val="26"/>
        </w:rPr>
        <w:t>2.1 The Four Levels of Feedback 四个反馈层级</w:t>
      </w:r>
    </w:p>
    <w:p w14:paraId="075DCCE5">
      <w:pPr>
        <w:pStyle w:val="4"/>
        <w:spacing w:before="180" w:after="100"/>
      </w:pPr>
      <w:r>
        <w:rPr>
          <w:b/>
          <w:bCs/>
          <w:sz w:val="22"/>
          <w:szCs w:val="22"/>
        </w:rPr>
        <w:t>Level 1 — Task-level Feedback (任务层级反馈, FT)</w:t>
      </w:r>
    </w:p>
    <w:p w14:paraId="720EE3A8">
      <w:pPr>
        <w:spacing w:after="120" w:line="300" w:lineRule="auto"/>
      </w:pPr>
      <w:r>
        <w:rPr>
          <w:b/>
          <w:bCs/>
        </w:rPr>
        <w:t>Definition (定义):</w:t>
      </w:r>
    </w:p>
    <w:p w14:paraId="5D1A7BF6">
      <w:pPr>
        <w:spacing w:after="120" w:line="300" w:lineRule="auto"/>
      </w:pPr>
      <w:r>
        <w:t>Feedback about whether a specific task or product is correct, complete, or contains accurate information. This level is about "the answer"—right vs. wrong, present vs. missing, accurate vs. inaccurate.</w:t>
      </w:r>
    </w:p>
    <w:p w14:paraId="4EA26AD9">
      <w:pPr>
        <w:spacing w:after="120" w:line="300" w:lineRule="auto"/>
      </w:pPr>
      <w:r>
        <w:t>关于某个具体任务或产物是否正确、完整、信息是否准确的反馈。该层级关注"答案本身"——对/错、有/无、准/不准。</w:t>
      </w:r>
    </w:p>
    <w:p w14:paraId="36B747D4">
      <w:pPr>
        <w:spacing w:after="120" w:line="300" w:lineRule="auto"/>
      </w:pPr>
      <w:r>
        <w:rPr>
          <w:b/>
          <w:bCs/>
        </w:rPr>
        <w:t>Key characteristics (主要特征):</w:t>
      </w:r>
    </w:p>
    <w:p w14:paraId="0828D6B4">
      <w:pPr>
        <w:pStyle w:val="17"/>
        <w:numPr>
          <w:ilvl w:val="0"/>
          <w:numId w:val="1"/>
        </w:numPr>
        <w:spacing w:after="80" w:line="280" w:lineRule="auto"/>
      </w:pPr>
      <w:r>
        <w:rPr>
          <w:b w:val="0"/>
          <w:bCs w:val="0"/>
        </w:rPr>
        <w:t>Surface-level information retrieval (表层信息检索)</w:t>
      </w:r>
    </w:p>
    <w:p w14:paraId="6E3882AB">
      <w:pPr>
        <w:pStyle w:val="17"/>
        <w:numPr>
          <w:ilvl w:val="0"/>
          <w:numId w:val="1"/>
        </w:numPr>
        <w:spacing w:after="80" w:line="280" w:lineRule="auto"/>
      </w:pPr>
      <w:r>
        <w:rPr>
          <w:b w:val="0"/>
          <w:bCs w:val="0"/>
        </w:rPr>
        <w:t>Direct fact-lookup or quick answers to specific questions (直接的事实查询或快速答案)</w:t>
      </w:r>
    </w:p>
    <w:p w14:paraId="6D4C9F42">
      <w:pPr>
        <w:pStyle w:val="17"/>
        <w:numPr>
          <w:ilvl w:val="0"/>
          <w:numId w:val="1"/>
        </w:numPr>
        <w:spacing w:after="80" w:line="280" w:lineRule="auto"/>
      </w:pPr>
      <w:r>
        <w:rPr>
          <w:b w:val="0"/>
          <w:bCs w:val="0"/>
        </w:rPr>
        <w:t>Does NOT explain the underlying concepts, methods, or reasoning (不解释背后的概念、方法或推理)</w:t>
      </w:r>
    </w:p>
    <w:p w14:paraId="5182E6D7">
      <w:pPr>
        <w:pStyle w:val="17"/>
        <w:numPr>
          <w:ilvl w:val="0"/>
          <w:numId w:val="1"/>
        </w:numPr>
        <w:spacing w:after="80" w:line="280" w:lineRule="auto"/>
      </w:pPr>
      <w:r>
        <w:rPr>
          <w:b w:val="0"/>
          <w:bCs w:val="0"/>
        </w:rPr>
        <w:t>Often answers "what is X" or "is this correct" type questions (通常回答"X 是什么"或"这对吗"类问题)</w:t>
      </w:r>
    </w:p>
    <w:p w14:paraId="70935FA8">
      <w:pPr>
        <w:spacing w:after="120" w:line="300" w:lineRule="auto"/>
      </w:pPr>
      <w:r>
        <w:rPr>
          <w:b/>
          <w:bCs/>
        </w:rPr>
        <w:t>Examples in non-AI contexts:</w:t>
      </w:r>
    </w:p>
    <w:p w14:paraId="1C8813E9">
      <w:pPr>
        <w:pStyle w:val="17"/>
        <w:numPr>
          <w:ilvl w:val="0"/>
          <w:numId w:val="1"/>
        </w:numPr>
        <w:spacing w:after="80" w:line="280" w:lineRule="auto"/>
      </w:pPr>
      <w:r>
        <w:rPr>
          <w:b w:val="0"/>
          <w:bCs w:val="0"/>
        </w:rPr>
        <w:t>A teacher writes "correct" or "wrong" on a homework problem</w:t>
      </w:r>
    </w:p>
    <w:p w14:paraId="5197C89B">
      <w:pPr>
        <w:pStyle w:val="17"/>
        <w:numPr>
          <w:ilvl w:val="0"/>
          <w:numId w:val="1"/>
        </w:numPr>
        <w:spacing w:after="80" w:line="280" w:lineRule="auto"/>
      </w:pPr>
      <w:r>
        <w:rPr>
          <w:b w:val="0"/>
          <w:bCs w:val="0"/>
        </w:rPr>
        <w:t>A dictionary giving you the definition of a word</w:t>
      </w:r>
    </w:p>
    <w:p w14:paraId="587A508E">
      <w:pPr>
        <w:pStyle w:val="17"/>
        <w:numPr>
          <w:ilvl w:val="0"/>
          <w:numId w:val="1"/>
        </w:numPr>
        <w:spacing w:after="80" w:line="280" w:lineRule="auto"/>
      </w:pPr>
      <w:r>
        <w:rPr>
          <w:b w:val="0"/>
          <w:bCs w:val="0"/>
        </w:rPr>
        <w:t>Looking up a fact in an encyclopedia</w:t>
      </w:r>
    </w:p>
    <w:p w14:paraId="6D9CBE56">
      <w:pPr>
        <w:spacing w:after="120" w:line="300" w:lineRule="auto"/>
      </w:pPr>
      <w:r>
        <w:t>Why this level has limited learning power: Hattie and Timperley note that task-level feedback alone often does not transfer to other tasks, because it does not help the learner understand WHY something is right or wrong, or HOW to approach similar problems.</w:t>
      </w:r>
    </w:p>
    <w:p w14:paraId="1FE015CD">
      <w:pPr>
        <w:spacing w:after="120" w:line="300" w:lineRule="auto"/>
      </w:pPr>
      <w:r>
        <w:t>该层级学习效力有限的原因：Hattie 和 Timperley 指出，单纯的任务层级反馈通常不能迁移到其他任务，因为它不帮助学习者理解某事为什么对或错，或如何处理类似问题。</w:t>
      </w:r>
    </w:p>
    <w:p w14:paraId="6888619D">
      <w:pPr>
        <w:pStyle w:val="4"/>
        <w:spacing w:before="180" w:after="100"/>
      </w:pPr>
      <w:r>
        <w:rPr>
          <w:b/>
          <w:bCs/>
          <w:sz w:val="22"/>
          <w:szCs w:val="22"/>
        </w:rPr>
        <w:t>Level 2 — Process-level Feedback (过程层级反馈, FP)</w:t>
      </w:r>
    </w:p>
    <w:p w14:paraId="050EDF66">
      <w:pPr>
        <w:spacing w:after="120" w:line="300" w:lineRule="auto"/>
      </w:pPr>
      <w:r>
        <w:rPr>
          <w:b/>
          <w:bCs/>
        </w:rPr>
        <w:t>Definition (定义):</w:t>
      </w:r>
    </w:p>
    <w:p w14:paraId="23CCA48F">
      <w:pPr>
        <w:spacing w:after="120" w:line="300" w:lineRule="auto"/>
      </w:pPr>
      <w:r>
        <w:t>Feedback about the processes, strategies, or relationships used to construct understanding or complete a task. This level is about "how things work" or "how concepts connect"—it builds the learner's mental model.</w:t>
      </w:r>
    </w:p>
    <w:p w14:paraId="2716F180">
      <w:pPr>
        <w:spacing w:after="120" w:line="300" w:lineRule="auto"/>
      </w:pPr>
      <w:r>
        <w:t>关于构建理解或完成任务时所使用的过程、策略或关系的反馈。该层级关注"事物如何运作"或"概念如何关联"——它帮助学习者建立心智模型。</w:t>
      </w:r>
    </w:p>
    <w:p w14:paraId="385384C8">
      <w:pPr>
        <w:spacing w:after="120" w:line="300" w:lineRule="auto"/>
      </w:pPr>
      <w:r>
        <w:rPr>
          <w:b/>
          <w:bCs/>
        </w:rPr>
        <w:t>Key characteristics (主要特征):</w:t>
      </w:r>
    </w:p>
    <w:p w14:paraId="598CF0EA">
      <w:pPr>
        <w:pStyle w:val="17"/>
        <w:numPr>
          <w:ilvl w:val="0"/>
          <w:numId w:val="1"/>
        </w:numPr>
        <w:spacing w:after="80" w:line="280" w:lineRule="auto"/>
      </w:pPr>
      <w:r>
        <w:rPr>
          <w:b w:val="0"/>
          <w:bCs w:val="0"/>
        </w:rPr>
        <w:t>Encourages exploration of how concepts relate to one another (鼓励探索概念间的关系)</w:t>
      </w:r>
    </w:p>
    <w:p w14:paraId="55CF59FB">
      <w:pPr>
        <w:pStyle w:val="17"/>
        <w:numPr>
          <w:ilvl w:val="0"/>
          <w:numId w:val="1"/>
        </w:numPr>
        <w:spacing w:after="80" w:line="280" w:lineRule="auto"/>
      </w:pPr>
      <w:r>
        <w:rPr>
          <w:b w:val="0"/>
          <w:bCs w:val="0"/>
        </w:rPr>
        <w:t>Reveals strategies, mechanisms, or principles behind a phenomenon (揭示现象背后的策略、机制或原理)</w:t>
      </w:r>
    </w:p>
    <w:p w14:paraId="6D228088">
      <w:pPr>
        <w:pStyle w:val="17"/>
        <w:numPr>
          <w:ilvl w:val="0"/>
          <w:numId w:val="1"/>
        </w:numPr>
        <w:spacing w:after="80" w:line="280" w:lineRule="auto"/>
      </w:pPr>
      <w:r>
        <w:rPr>
          <w:b w:val="0"/>
          <w:bCs w:val="0"/>
        </w:rPr>
        <w:t>Promotes deeper conceptual understanding rather than fact recall (促进概念性理解而非事实记忆)</w:t>
      </w:r>
    </w:p>
    <w:p w14:paraId="40ED4561">
      <w:pPr>
        <w:pStyle w:val="17"/>
        <w:numPr>
          <w:ilvl w:val="0"/>
          <w:numId w:val="1"/>
        </w:numPr>
        <w:spacing w:after="80" w:line="280" w:lineRule="auto"/>
      </w:pPr>
      <w:r>
        <w:rPr>
          <w:b w:val="0"/>
          <w:bCs w:val="0"/>
        </w:rPr>
        <w:t>Often involves multi-step reasoning or comparison (通常涉及多步推理或比较)</w:t>
      </w:r>
    </w:p>
    <w:p w14:paraId="443DACBE">
      <w:pPr>
        <w:spacing w:after="120" w:line="300" w:lineRule="auto"/>
      </w:pPr>
      <w:r>
        <w:rPr>
          <w:b/>
          <w:bCs/>
        </w:rPr>
        <w:t>Examples in non-AI contexts:</w:t>
      </w:r>
    </w:p>
    <w:p w14:paraId="11418879">
      <w:pPr>
        <w:pStyle w:val="17"/>
        <w:numPr>
          <w:ilvl w:val="0"/>
          <w:numId w:val="1"/>
        </w:numPr>
        <w:spacing w:after="80" w:line="280" w:lineRule="auto"/>
      </w:pPr>
      <w:r>
        <w:rPr>
          <w:b w:val="0"/>
          <w:bCs w:val="0"/>
        </w:rPr>
        <w:t>A teacher explaining "if you understand recursion, then binary tree traversal becomes natural"</w:t>
      </w:r>
    </w:p>
    <w:p w14:paraId="240C71FE">
      <w:pPr>
        <w:pStyle w:val="17"/>
        <w:numPr>
          <w:ilvl w:val="0"/>
          <w:numId w:val="1"/>
        </w:numPr>
        <w:spacing w:after="80" w:line="280" w:lineRule="auto"/>
      </w:pPr>
      <w:r>
        <w:rPr>
          <w:b w:val="0"/>
          <w:bCs w:val="0"/>
        </w:rPr>
        <w:t>A textbook diagram showing how data structures relate to each other</w:t>
      </w:r>
    </w:p>
    <w:p w14:paraId="69731119">
      <w:pPr>
        <w:pStyle w:val="17"/>
        <w:numPr>
          <w:ilvl w:val="0"/>
          <w:numId w:val="1"/>
        </w:numPr>
        <w:spacing w:after="80" w:line="280" w:lineRule="auto"/>
      </w:pPr>
      <w:r>
        <w:rPr>
          <w:b w:val="0"/>
          <w:bCs w:val="0"/>
        </w:rPr>
        <w:t>A peer asking "what's the difference between BFS and DFS, and when do you use each?"</w:t>
      </w:r>
    </w:p>
    <w:p w14:paraId="47F591F7">
      <w:pPr>
        <w:spacing w:after="120" w:line="300" w:lineRule="auto"/>
      </w:pPr>
      <w:r>
        <w:t>Why this level is powerful: Process-level feedback supports transfer—the learner gains generalizable understanding that applies to new tasks. Hattie and Timperley argue this is among the most pedagogically valuable feedback levels.</w:t>
      </w:r>
    </w:p>
    <w:p w14:paraId="64A8FD4B">
      <w:pPr>
        <w:spacing w:after="120" w:line="300" w:lineRule="auto"/>
      </w:pPr>
      <w:r>
        <w:t>该层级有效的原因：过程层级反馈支持迁移——学习者获得可推广的理解，能应用于新任务。Hattie 和 Timperley 认为这是教学上最有价值的反馈层级之一。</w:t>
      </w:r>
    </w:p>
    <w:p w14:paraId="6DB24A41">
      <w:pPr>
        <w:pStyle w:val="4"/>
        <w:spacing w:before="180" w:after="100"/>
      </w:pPr>
      <w:r>
        <w:rPr>
          <w:b/>
          <w:bCs/>
          <w:sz w:val="22"/>
          <w:szCs w:val="22"/>
        </w:rPr>
        <w:t>Level 3 — Self-Regulation Feedback (自我调节反馈, FR)</w:t>
      </w:r>
    </w:p>
    <w:p w14:paraId="075F4921">
      <w:pPr>
        <w:spacing w:after="120" w:line="300" w:lineRule="auto"/>
      </w:pPr>
      <w:r>
        <w:rPr>
          <w:b/>
          <w:bCs/>
        </w:rPr>
        <w:t>Definition (定义):</w:t>
      </w:r>
    </w:p>
    <w:p w14:paraId="55E37756">
      <w:pPr>
        <w:spacing w:after="120" w:line="300" w:lineRule="auto"/>
      </w:pPr>
      <w:r>
        <w:t>Feedback that supports the learner in monitoring, evaluating, and adjusting their own learning processes. This level addresses "how I am learning"—it activates metacognitive skills like planning, self-monitoring, help-seeking judgments, and progress evaluation.</w:t>
      </w:r>
    </w:p>
    <w:p w14:paraId="7643CC3F">
      <w:pPr>
        <w:spacing w:after="120" w:line="300" w:lineRule="auto"/>
      </w:pPr>
      <w:r>
        <w:t>帮助学习者监控、评估并调整自身学习过程的反馈。该层级关注"我是如何学习的"——它激活元认知技能，如计划、自我监控、求助判断、进度评估等。</w:t>
      </w:r>
    </w:p>
    <w:p w14:paraId="40BAFDB9">
      <w:pPr>
        <w:spacing w:after="120" w:line="300" w:lineRule="auto"/>
      </w:pPr>
      <w:r>
        <w:rPr>
          <w:b/>
          <w:bCs/>
        </w:rPr>
        <w:t>Key characteristics (主要特征):</w:t>
      </w:r>
    </w:p>
    <w:p w14:paraId="27E27EDC">
      <w:pPr>
        <w:pStyle w:val="17"/>
        <w:numPr>
          <w:ilvl w:val="0"/>
          <w:numId w:val="1"/>
        </w:numPr>
        <w:spacing w:after="80" w:line="280" w:lineRule="auto"/>
      </w:pPr>
      <w:r>
        <w:rPr>
          <w:b w:val="0"/>
          <w:bCs w:val="0"/>
        </w:rPr>
        <w:t>Helps the learner reflect on their own learning state or strategy (帮助学习者反思自己的学习状态或策略)</w:t>
      </w:r>
    </w:p>
    <w:p w14:paraId="470AC407">
      <w:pPr>
        <w:pStyle w:val="17"/>
        <w:numPr>
          <w:ilvl w:val="0"/>
          <w:numId w:val="1"/>
        </w:numPr>
        <w:spacing w:after="80" w:line="280" w:lineRule="auto"/>
      </w:pPr>
      <w:r>
        <w:rPr>
          <w:b w:val="0"/>
          <w:bCs w:val="0"/>
        </w:rPr>
        <w:t>Supports goal-setting, planning, or progress evaluation (支持目标设定、计划或进度评估)</w:t>
      </w:r>
    </w:p>
    <w:p w14:paraId="47C917CE">
      <w:pPr>
        <w:pStyle w:val="17"/>
        <w:numPr>
          <w:ilvl w:val="0"/>
          <w:numId w:val="1"/>
        </w:numPr>
        <w:spacing w:after="80" w:line="280" w:lineRule="auto"/>
      </w:pPr>
      <w:r>
        <w:rPr>
          <w:b w:val="0"/>
          <w:bCs w:val="0"/>
        </w:rPr>
        <w:t>Empowers the learner to make decisions about their learning path (赋能学习者就学习路径做出决策)</w:t>
      </w:r>
    </w:p>
    <w:p w14:paraId="03AB18E9">
      <w:pPr>
        <w:pStyle w:val="17"/>
        <w:numPr>
          <w:ilvl w:val="0"/>
          <w:numId w:val="1"/>
        </w:numPr>
        <w:spacing w:after="80" w:line="280" w:lineRule="auto"/>
      </w:pPr>
      <w:r>
        <w:rPr>
          <w:b w:val="0"/>
          <w:bCs w:val="0"/>
        </w:rPr>
        <w:t>Often involves the learner reaching out to a knowledgeable other (e.g., a teacher or assistant) when they have decided they need substantive help (通常涉及学习者在决定自己需要实质性帮助时主动求助有经验的他人)</w:t>
      </w:r>
    </w:p>
    <w:p w14:paraId="33EE1B0A">
      <w:pPr>
        <w:spacing w:after="120" w:line="300" w:lineRule="auto"/>
      </w:pPr>
      <w:r>
        <w:rPr>
          <w:b/>
          <w:bCs/>
        </w:rPr>
        <w:t>Examples in non-AI contexts:</w:t>
      </w:r>
    </w:p>
    <w:p w14:paraId="52717571">
      <w:pPr>
        <w:pStyle w:val="17"/>
        <w:numPr>
          <w:ilvl w:val="0"/>
          <w:numId w:val="1"/>
        </w:numPr>
        <w:spacing w:after="80" w:line="280" w:lineRule="auto"/>
      </w:pPr>
      <w:r>
        <w:rPr>
          <w:b w:val="0"/>
          <w:bCs w:val="0"/>
        </w:rPr>
        <w:t>A planner that helps students set weekly study goals and review their progress</w:t>
      </w:r>
    </w:p>
    <w:p w14:paraId="7D219A4C">
      <w:pPr>
        <w:pStyle w:val="17"/>
        <w:numPr>
          <w:ilvl w:val="0"/>
          <w:numId w:val="1"/>
        </w:numPr>
        <w:spacing w:after="80" w:line="280" w:lineRule="auto"/>
      </w:pPr>
      <w:r>
        <w:rPr>
          <w:b w:val="0"/>
          <w:bCs w:val="0"/>
        </w:rPr>
        <w:t>A teacher asking "what part of this concept are you still unsure about?"</w:t>
      </w:r>
    </w:p>
    <w:p w14:paraId="6F1A6739">
      <w:pPr>
        <w:pStyle w:val="17"/>
        <w:numPr>
          <w:ilvl w:val="0"/>
          <w:numId w:val="1"/>
        </w:numPr>
        <w:spacing w:after="80" w:line="280" w:lineRule="auto"/>
      </w:pPr>
      <w:r>
        <w:rPr>
          <w:b w:val="0"/>
          <w:bCs w:val="0"/>
        </w:rPr>
        <w:t>A student emailing a TA asking "I've been stuck on Chapter 4 — can you help me figure out what I'm missing?"</w:t>
      </w:r>
    </w:p>
    <w:p w14:paraId="006BE1D6">
      <w:pPr>
        <w:spacing w:after="120" w:line="300" w:lineRule="auto"/>
      </w:pPr>
      <w:r>
        <w:rPr>
          <w:b/>
          <w:bCs/>
        </w:rPr>
        <w:t>Important boundary (重要边界):</w:t>
      </w:r>
    </w:p>
    <w:p w14:paraId="390FD871">
      <w:pPr>
        <w:spacing w:after="120" w:line="300" w:lineRule="auto"/>
      </w:pPr>
      <w:r>
        <w:t>Self-regulation feedback is NOT the same as platform navigation or administrative help. "How do I drop this course?" is platform-administrative, not self-regulatory. "How is my progress in this course?" leans toward self-regulation only if it actually shows progress data; a generic FAQ does not count.</w:t>
      </w:r>
    </w:p>
    <w:p w14:paraId="4D4DFB7E">
      <w:pPr>
        <w:spacing w:after="120" w:line="300" w:lineRule="auto"/>
      </w:pPr>
      <w:r>
        <w:t>自我调节反馈 ≠ 平台导航或行政性帮助。"怎么退课？"是平台行政问题，不是自我调节。"我在这门课上的进度如何？"只有在真的显示进度数据时才接近自我调节；一般性的 FAQ 不算。</w:t>
      </w:r>
    </w:p>
    <w:p w14:paraId="7802374C">
      <w:pPr>
        <w:pStyle w:val="4"/>
        <w:spacing w:before="180" w:after="100"/>
      </w:pPr>
      <w:r>
        <w:rPr>
          <w:b/>
          <w:bCs/>
          <w:sz w:val="22"/>
          <w:szCs w:val="22"/>
        </w:rPr>
        <w:t>Level 4 — Self-level Feedback (自我层级反馈, FS)</w:t>
      </w:r>
    </w:p>
    <w:p w14:paraId="1DE6114A">
      <w:pPr>
        <w:spacing w:after="120" w:line="300" w:lineRule="auto"/>
      </w:pPr>
      <w:r>
        <w:rPr>
          <w:b/>
          <w:bCs/>
        </w:rPr>
        <w:t>Definition (定义):</w:t>
      </w:r>
    </w:p>
    <w:p w14:paraId="54036912">
      <w:pPr>
        <w:spacing w:after="120" w:line="300" w:lineRule="auto"/>
      </w:pPr>
      <w:r>
        <w:t>Feedback directed at the person rather than the task. This includes general praise, expressions of approval or affection, or social/emotional engagement that is not tied to specific learning content.</w:t>
      </w:r>
    </w:p>
    <w:p w14:paraId="7C9C2719">
      <w:pPr>
        <w:spacing w:after="120" w:line="300" w:lineRule="auto"/>
      </w:pPr>
      <w:r>
        <w:t>指向"人"而非"任务"的反馈。包括泛泛的表扬、认可或喜爱的表达，或与具体学习内容无关的社交/情感互动。</w:t>
      </w:r>
    </w:p>
    <w:p w14:paraId="5669D838">
      <w:pPr>
        <w:spacing w:after="120" w:line="300" w:lineRule="auto"/>
      </w:pPr>
      <w:r>
        <w:rPr>
          <w:b/>
          <w:bCs/>
        </w:rPr>
        <w:t>Key characteristics (主要特征):</w:t>
      </w:r>
    </w:p>
    <w:p w14:paraId="0FEDC447">
      <w:pPr>
        <w:pStyle w:val="17"/>
        <w:numPr>
          <w:ilvl w:val="0"/>
          <w:numId w:val="1"/>
        </w:numPr>
        <w:spacing w:after="80" w:line="280" w:lineRule="auto"/>
      </w:pPr>
      <w:r>
        <w:rPr>
          <w:b w:val="0"/>
          <w:bCs w:val="0"/>
        </w:rPr>
        <w:t>General praise ("Great job!", "You're so smart!") or social engagement (一般性表扬或社交互动)</w:t>
      </w:r>
    </w:p>
    <w:p w14:paraId="6DC1721B">
      <w:pPr>
        <w:pStyle w:val="17"/>
        <w:numPr>
          <w:ilvl w:val="0"/>
          <w:numId w:val="1"/>
        </w:numPr>
        <w:spacing w:after="80" w:line="280" w:lineRule="auto"/>
      </w:pPr>
      <w:r>
        <w:rPr>
          <w:b w:val="0"/>
          <w:bCs w:val="0"/>
        </w:rPr>
        <w:t>Entertainment, casual chat, or emotional expression (娱乐、闲聊或情感表达)</w:t>
      </w:r>
    </w:p>
    <w:p w14:paraId="5B1FE490">
      <w:pPr>
        <w:pStyle w:val="17"/>
        <w:numPr>
          <w:ilvl w:val="0"/>
          <w:numId w:val="1"/>
        </w:numPr>
        <w:spacing w:after="80" w:line="280" w:lineRule="auto"/>
      </w:pPr>
      <w:r>
        <w:rPr>
          <w:b w:val="0"/>
          <w:bCs w:val="0"/>
        </w:rPr>
        <w:t>Not tied to a specific learning task or concept (与具体学习任务或概念无关)</w:t>
      </w:r>
    </w:p>
    <w:p w14:paraId="02B037F8">
      <w:pPr>
        <w:spacing w:after="120" w:line="300" w:lineRule="auto"/>
      </w:pPr>
      <w:r>
        <w:rPr>
          <w:b/>
          <w:bCs/>
        </w:rPr>
        <w:t>Examples in non-AI contexts:</w:t>
      </w:r>
    </w:p>
    <w:p w14:paraId="1EFDE6D3">
      <w:pPr>
        <w:pStyle w:val="17"/>
        <w:numPr>
          <w:ilvl w:val="0"/>
          <w:numId w:val="1"/>
        </w:numPr>
        <w:spacing w:after="80" w:line="280" w:lineRule="auto"/>
      </w:pPr>
      <w:r>
        <w:rPr>
          <w:b w:val="0"/>
          <w:bCs w:val="0"/>
        </w:rPr>
        <w:t>A teacher saying "You're such a smart student!" with no specific feedback on the work</w:t>
      </w:r>
    </w:p>
    <w:p w14:paraId="1F5C230A">
      <w:pPr>
        <w:pStyle w:val="17"/>
        <w:numPr>
          <w:ilvl w:val="0"/>
          <w:numId w:val="1"/>
        </w:numPr>
        <w:spacing w:after="80" w:line="280" w:lineRule="auto"/>
      </w:pPr>
      <w:r>
        <w:rPr>
          <w:b w:val="0"/>
          <w:bCs w:val="0"/>
        </w:rPr>
        <w:t>A friend chatting about hobbies during a study break</w:t>
      </w:r>
    </w:p>
    <w:p w14:paraId="1359980E">
      <w:pPr>
        <w:pStyle w:val="17"/>
        <w:numPr>
          <w:ilvl w:val="0"/>
          <w:numId w:val="1"/>
        </w:numPr>
        <w:spacing w:after="80" w:line="280" w:lineRule="auto"/>
      </w:pPr>
      <w:r>
        <w:rPr>
          <w:b w:val="0"/>
          <w:bCs w:val="0"/>
        </w:rPr>
        <w:t>A motivational poster on the wall</w:t>
      </w:r>
    </w:p>
    <w:p w14:paraId="20A7D2A4">
      <w:pPr>
        <w:spacing w:after="120" w:line="300" w:lineRule="auto"/>
      </w:pPr>
      <w:r>
        <w:t>Why this level has limited learning power: Hattie and Timperley note that self-level feedback ("praise") is the most common form given but the LEAST effective for learning, because it does not provide actionable information about the task or process.</w:t>
      </w:r>
    </w:p>
    <w:p w14:paraId="3FB69C1E">
      <w:pPr>
        <w:spacing w:after="120" w:line="300" w:lineRule="auto"/>
      </w:pPr>
      <w:r>
        <w:t>该层级学习效力有限的原因：Hattie 和 Timperley 指出，自我层级反馈（"表扬"）是最常见但对学习最无效的反馈形式，因为它不提供关于任务或过程的可操作信息。</w:t>
      </w:r>
    </w:p>
    <w:p w14:paraId="2180528E">
      <w:pPr>
        <w:pStyle w:val="4"/>
        <w:spacing w:before="180" w:after="100"/>
      </w:pPr>
      <w:r>
        <w:rPr>
          <w:b/>
          <w:bCs/>
          <w:sz w:val="22"/>
          <w:szCs w:val="22"/>
        </w:rPr>
        <w:t>Category 5 — Other / Not Applicable (其他 / 不适用)</w:t>
      </w:r>
    </w:p>
    <w:p w14:paraId="0700D856">
      <w:pPr>
        <w:spacing w:after="120" w:line="300" w:lineRule="auto"/>
      </w:pPr>
      <w:r>
        <w:t>Use this category when the AI feature does NOT fit any of the four feedback levels. This is a legitimate option, not a "failure" answer. The Hattie-Timperley framework was developed for teacher-mediated educational feedback in classroom contexts; not every AI feature on a learning platform is feedback.</w:t>
      </w:r>
    </w:p>
    <w:p w14:paraId="491E053E">
      <w:pPr>
        <w:spacing w:after="120" w:line="300" w:lineRule="auto"/>
      </w:pPr>
      <w:r>
        <w:t>当 AI 功能 "不" 属于上述四个反馈层级中的任何一个时，使用此类别。这是合理的选项，不是 "失败" 答案。Hattie-Timperley 框架最初是为教师介导的课堂反馈设计的；学习平台上并非所有 AI 功能都构成反馈。</w:t>
      </w:r>
    </w:p>
    <w:p w14:paraId="682CD941">
      <w:pPr>
        <w:spacing w:after="120" w:line="300" w:lineRule="auto"/>
      </w:pPr>
      <w:r>
        <w:rPr>
          <w:b/>
          <w:bCs/>
        </w:rPr>
        <w:t>When to use this category (使用条件):</w:t>
      </w:r>
    </w:p>
    <w:p w14:paraId="61D2B294">
      <w:pPr>
        <w:pStyle w:val="17"/>
        <w:numPr>
          <w:ilvl w:val="0"/>
          <w:numId w:val="1"/>
        </w:numPr>
        <w:spacing w:after="80" w:line="280" w:lineRule="auto"/>
      </w:pPr>
      <w:r>
        <w:rPr>
          <w:b w:val="0"/>
          <w:bCs w:val="0"/>
        </w:rPr>
        <w:t>Pure utilities or tools that don't provide cognitive feedback (纯工具，不提供认知反馈)</w:t>
      </w:r>
    </w:p>
    <w:p w14:paraId="08CDE299">
      <w:pPr>
        <w:pStyle w:val="17"/>
        <w:numPr>
          <w:ilvl w:val="0"/>
          <w:numId w:val="1"/>
        </w:numPr>
        <w:spacing w:after="80" w:line="280" w:lineRule="auto"/>
      </w:pPr>
      <w:r>
        <w:rPr>
          <w:b w:val="0"/>
          <w:bCs w:val="0"/>
        </w:rPr>
        <w:t>Features for entertainment that have no learning content (纯娱乐功能，无学习内容)</w:t>
      </w:r>
    </w:p>
    <w:p w14:paraId="45D936F6">
      <w:pPr>
        <w:pStyle w:val="17"/>
        <w:numPr>
          <w:ilvl w:val="0"/>
          <w:numId w:val="1"/>
        </w:numPr>
        <w:spacing w:after="80" w:line="280" w:lineRule="auto"/>
      </w:pPr>
      <w:r>
        <w:rPr>
          <w:b w:val="0"/>
          <w:bCs w:val="0"/>
        </w:rPr>
        <w:t>System failures or non-meaningful inputs (系统失败或无意义输入)</w:t>
      </w:r>
    </w:p>
    <w:p w14:paraId="0CCA6070">
      <w:pPr>
        <w:pStyle w:val="17"/>
        <w:numPr>
          <w:ilvl w:val="0"/>
          <w:numId w:val="1"/>
        </w:numPr>
        <w:spacing w:after="80" w:line="280" w:lineRule="auto"/>
      </w:pPr>
      <w:r>
        <w:rPr>
          <w:b w:val="0"/>
          <w:bCs w:val="0"/>
        </w:rPr>
        <w:t>Platform administrative functions (平台行政功能)</w:t>
      </w:r>
    </w:p>
    <w:p w14:paraId="1AA553D3">
      <w:pPr>
        <w:spacing w:after="120" w:line="300" w:lineRule="auto"/>
      </w:pPr>
      <w:r>
        <w:t>If you choose "Other", please briefly explain in the Notes column WHY the feature doesn't fit any feedback level. (如果选择 "Other"，请在 Notes 列简要说明为什么该功能不属于任何反馈层级。)</w:t>
      </w:r>
    </w:p>
    <w:p w14:paraId="444F8B7C">
      <w:r>
        <w:br w:type="page"/>
      </w:r>
    </w:p>
    <w:p w14:paraId="7B1380BC">
      <w:pPr>
        <w:pStyle w:val="2"/>
        <w:spacing w:before="360" w:after="180"/>
      </w:pPr>
      <w:r>
        <w:rPr>
          <w:b/>
          <w:bCs/>
          <w:sz w:val="32"/>
          <w:szCs w:val="32"/>
        </w:rPr>
        <w:t>3. Decision Tree for Coding 编码决策树</w:t>
      </w:r>
    </w:p>
    <w:p w14:paraId="69287BBF">
      <w:pPr>
        <w:spacing w:after="120" w:line="300" w:lineRule="auto"/>
      </w:pPr>
      <w:r>
        <w:t>When you encounter an AI feature, work through these questions in order:</w:t>
      </w:r>
    </w:p>
    <w:p w14:paraId="32C7A571">
      <w:pPr>
        <w:spacing w:after="120" w:line="300" w:lineRule="auto"/>
      </w:pPr>
      <w:r>
        <w:t>遇到一个 AI 功能时，按顺序回答以下问题：</w:t>
      </w:r>
    </w:p>
    <w:p w14:paraId="0C012639">
      <w:pPr>
        <w:pStyle w:val="4"/>
        <w:spacing w:before="180" w:after="100"/>
      </w:pPr>
      <w:r>
        <w:rPr>
          <w:b/>
          <w:bCs/>
          <w:sz w:val="22"/>
          <w:szCs w:val="22"/>
        </w:rPr>
        <w:t>Question 1: Is this feature about learning content at all?</w:t>
      </w:r>
    </w:p>
    <w:p w14:paraId="55A5DDE7">
      <w:pPr>
        <w:spacing w:after="120" w:line="300" w:lineRule="auto"/>
      </w:pPr>
      <w:r>
        <w:rPr>
          <w:i/>
          <w:iCs/>
        </w:rPr>
        <w:t>(这个功能是否与学习内容相关？)</w:t>
      </w:r>
    </w:p>
    <w:p w14:paraId="4075B9DC">
      <w:pPr>
        <w:pStyle w:val="17"/>
        <w:numPr>
          <w:ilvl w:val="0"/>
          <w:numId w:val="1"/>
        </w:numPr>
        <w:spacing w:after="80" w:line="280" w:lineRule="auto"/>
      </w:pPr>
      <w:r>
        <w:rPr>
          <w:b/>
          <w:bCs/>
        </w:rPr>
        <w:t>If NO (e.g., it's a calculator, entertainment, or platform admin tool) → Code as Other / Not Applicable</w:t>
      </w:r>
    </w:p>
    <w:p w14:paraId="30BA7206">
      <w:pPr>
        <w:pStyle w:val="17"/>
        <w:numPr>
          <w:ilvl w:val="0"/>
          <w:numId w:val="1"/>
        </w:numPr>
        <w:spacing w:after="80" w:line="280" w:lineRule="auto"/>
      </w:pPr>
      <w:r>
        <w:rPr>
          <w:b w:val="0"/>
          <w:bCs w:val="0"/>
        </w:rPr>
        <w:t>If YES → go to Question 2</w:t>
      </w:r>
    </w:p>
    <w:p w14:paraId="04469E27">
      <w:pPr>
        <w:pStyle w:val="4"/>
        <w:spacing w:before="180" w:after="100"/>
      </w:pPr>
      <w:r>
        <w:rPr>
          <w:b/>
          <w:bCs/>
          <w:sz w:val="22"/>
          <w:szCs w:val="22"/>
        </w:rPr>
        <w:t>Question 2: Does the feature primarily provide simple answers / direct lookups?</w:t>
      </w:r>
    </w:p>
    <w:p w14:paraId="6072901F">
      <w:pPr>
        <w:spacing w:after="120" w:line="300" w:lineRule="auto"/>
      </w:pPr>
      <w:r>
        <w:rPr>
          <w:i/>
          <w:iCs/>
        </w:rPr>
        <w:t>(这个功能主要提供简单答案或直接查询吗？)</w:t>
      </w:r>
    </w:p>
    <w:p w14:paraId="5EF74E75">
      <w:pPr>
        <w:pStyle w:val="17"/>
        <w:numPr>
          <w:ilvl w:val="0"/>
          <w:numId w:val="1"/>
        </w:numPr>
        <w:spacing w:after="80" w:line="280" w:lineRule="auto"/>
      </w:pPr>
      <w:r>
        <w:rPr>
          <w:b/>
          <w:bCs/>
        </w:rPr>
        <w:t>If YES — feature gives a direct definition, short answer, or fact without explaining how concepts relate → Code as Task (FT)</w:t>
      </w:r>
    </w:p>
    <w:p w14:paraId="2A9E4D80">
      <w:pPr>
        <w:pStyle w:val="17"/>
        <w:numPr>
          <w:ilvl w:val="0"/>
          <w:numId w:val="1"/>
        </w:numPr>
        <w:spacing w:after="80" w:line="280" w:lineRule="auto"/>
      </w:pPr>
      <w:r>
        <w:rPr>
          <w:b w:val="0"/>
          <w:bCs w:val="0"/>
        </w:rPr>
        <w:t>If NO — feature does more than just give an answer → go to Question 3</w:t>
      </w:r>
    </w:p>
    <w:p w14:paraId="6BD0BC2C">
      <w:pPr>
        <w:pStyle w:val="4"/>
        <w:spacing w:before="180" w:after="100"/>
      </w:pPr>
      <w:r>
        <w:rPr>
          <w:b/>
          <w:bCs/>
          <w:sz w:val="22"/>
          <w:szCs w:val="22"/>
        </w:rPr>
        <w:t>Question 3: Does the feature support exploration of concepts, mechanisms, or relationships?</w:t>
      </w:r>
    </w:p>
    <w:p w14:paraId="2265CDFC">
      <w:pPr>
        <w:spacing w:after="120" w:line="300" w:lineRule="auto"/>
      </w:pPr>
      <w:r>
        <w:rPr>
          <w:i/>
          <w:iCs/>
        </w:rPr>
        <w:t>(这个功能是否支持探索概念、机制或关系？)</w:t>
      </w:r>
    </w:p>
    <w:p w14:paraId="435BC321">
      <w:pPr>
        <w:pStyle w:val="17"/>
        <w:numPr>
          <w:ilvl w:val="0"/>
          <w:numId w:val="1"/>
        </w:numPr>
        <w:spacing w:after="80" w:line="280" w:lineRule="auto"/>
      </w:pPr>
      <w:r>
        <w:rPr>
          <w:b/>
          <w:bCs/>
        </w:rPr>
        <w:t>If YES — feature helps learner see how concepts connect, how a process works, or how to approach a class of problems → Code as Process (FP)</w:t>
      </w:r>
    </w:p>
    <w:p w14:paraId="443370A1">
      <w:pPr>
        <w:pStyle w:val="17"/>
        <w:numPr>
          <w:ilvl w:val="0"/>
          <w:numId w:val="1"/>
        </w:numPr>
        <w:spacing w:after="80" w:line="280" w:lineRule="auto"/>
      </w:pPr>
      <w:r>
        <w:rPr>
          <w:b w:val="0"/>
          <w:bCs w:val="0"/>
        </w:rPr>
        <w:t>If NO → go to Question 4</w:t>
      </w:r>
    </w:p>
    <w:p w14:paraId="630E6831">
      <w:pPr>
        <w:pStyle w:val="4"/>
        <w:spacing w:before="180" w:after="100"/>
      </w:pPr>
      <w:r>
        <w:rPr>
          <w:b/>
          <w:bCs/>
          <w:sz w:val="22"/>
          <w:szCs w:val="22"/>
        </w:rPr>
        <w:t>Question 4: Does the feature help the learner monitor or adjust their own learning?</w:t>
      </w:r>
    </w:p>
    <w:p w14:paraId="778BAD9B">
      <w:pPr>
        <w:spacing w:after="120" w:line="300" w:lineRule="auto"/>
      </w:pPr>
      <w:r>
        <w:rPr>
          <w:i/>
          <w:iCs/>
        </w:rPr>
        <w:t>(这个功能是否帮助学习者监控或调整自身学习？)</w:t>
      </w:r>
    </w:p>
    <w:p w14:paraId="20E0DEE8">
      <w:pPr>
        <w:pStyle w:val="17"/>
        <w:numPr>
          <w:ilvl w:val="0"/>
          <w:numId w:val="1"/>
        </w:numPr>
        <w:spacing w:after="80" w:line="280" w:lineRule="auto"/>
      </w:pPr>
      <w:r>
        <w:rPr>
          <w:b/>
          <w:bCs/>
        </w:rPr>
        <w:t>If YES — feature supports planning, self-monitoring, deciding when to seek substantive help, or evaluating progress → Code as Self-Regulation (FR)</w:t>
      </w:r>
    </w:p>
    <w:p w14:paraId="71978D75">
      <w:pPr>
        <w:pStyle w:val="17"/>
        <w:numPr>
          <w:ilvl w:val="0"/>
          <w:numId w:val="1"/>
        </w:numPr>
        <w:spacing w:after="80" w:line="280" w:lineRule="auto"/>
      </w:pPr>
      <w:r>
        <w:rPr>
          <w:b w:val="0"/>
          <w:bCs w:val="0"/>
        </w:rPr>
        <w:t>If NO → go to Question 5</w:t>
      </w:r>
    </w:p>
    <w:p w14:paraId="75C7BEE3">
      <w:pPr>
        <w:pStyle w:val="4"/>
        <w:spacing w:before="180" w:after="100"/>
      </w:pPr>
      <w:r>
        <w:rPr>
          <w:b/>
          <w:bCs/>
          <w:sz w:val="22"/>
          <w:szCs w:val="22"/>
        </w:rPr>
        <w:t>Question 5: Is this primarily social / emotional / praise-based?</w:t>
      </w:r>
    </w:p>
    <w:p w14:paraId="4CA2C294">
      <w:pPr>
        <w:spacing w:after="120" w:line="300" w:lineRule="auto"/>
      </w:pPr>
      <w:r>
        <w:rPr>
          <w:i/>
          <w:iCs/>
        </w:rPr>
        <w:t>(这是不是主要是社交/情感/表扬性互动？)</w:t>
      </w:r>
    </w:p>
    <w:p w14:paraId="265F92C0">
      <w:pPr>
        <w:pStyle w:val="17"/>
        <w:numPr>
          <w:ilvl w:val="0"/>
          <w:numId w:val="1"/>
        </w:numPr>
        <w:spacing w:after="80" w:line="280" w:lineRule="auto"/>
      </w:pPr>
      <w:r>
        <w:rPr>
          <w:b/>
          <w:bCs/>
        </w:rPr>
        <w:t>If YES — feature involves casual chat, generic praise, or emotional expression with no learning content → Code as Self (FS)</w:t>
      </w:r>
    </w:p>
    <w:p w14:paraId="1664A83A">
      <w:pPr>
        <w:pStyle w:val="17"/>
        <w:numPr>
          <w:ilvl w:val="0"/>
          <w:numId w:val="1"/>
        </w:numPr>
        <w:spacing w:after="80" w:line="280" w:lineRule="auto"/>
      </w:pPr>
      <w:r>
        <w:rPr>
          <w:b w:val="0"/>
          <w:bCs w:val="0"/>
        </w:rPr>
        <w:t>If NO and you've reached this point — code as Other / Not Applicable and explain in Notes</w:t>
      </w:r>
    </w:p>
    <w:p w14:paraId="0B0CAE59">
      <w:r>
        <w:br w:type="page"/>
      </w:r>
    </w:p>
    <w:p w14:paraId="3F9B7116">
      <w:pPr>
        <w:pStyle w:val="2"/>
        <w:spacing w:before="360" w:after="180"/>
      </w:pPr>
      <w:r>
        <w:rPr>
          <w:b/>
          <w:bCs/>
          <w:sz w:val="32"/>
          <w:szCs w:val="32"/>
        </w:rPr>
        <w:t>4. Boundary Cases 边界判断指引</w:t>
      </w:r>
    </w:p>
    <w:p w14:paraId="4692F066">
      <w:pPr>
        <w:spacing w:after="120" w:line="300" w:lineRule="auto"/>
      </w:pPr>
      <w:r>
        <w:t>Some AI features may seem to fit two levels. The following rules help you decide in ambiguous cases. These rules are based on the literature on educational feedback (Hattie &amp; Timperley, 2007; Shute, 2008) and apply across feature types.</w:t>
      </w:r>
    </w:p>
    <w:p w14:paraId="7A8EA225">
      <w:pPr>
        <w:spacing w:after="120" w:line="300" w:lineRule="auto"/>
      </w:pPr>
      <w:r>
        <w:t>某些 AI 功能可能看似同时符合两个层级。以下规则帮助你在模糊情况下做出判断。这些规则基于教育反馈领域的文献（Hattie &amp; Timperley, 2007; Shute, 2008），适用于各类功能。</w:t>
      </w:r>
    </w:p>
    <w:p w14:paraId="1EBE287A">
      <w:pPr>
        <w:pStyle w:val="3"/>
        <w:spacing w:before="240" w:after="120"/>
      </w:pPr>
      <w:r>
        <w:rPr>
          <w:b/>
          <w:bCs/>
          <w:sz w:val="26"/>
          <w:szCs w:val="26"/>
        </w:rPr>
        <w:t>Rule 1: Task vs. Process — "Look up" vs. "Explore"</w:t>
      </w:r>
    </w:p>
    <w:p w14:paraId="39D9A115">
      <w:pPr>
        <w:spacing w:after="120" w:line="300" w:lineRule="auto"/>
      </w:pPr>
      <w:r>
        <w:t>Ask: Is the AI feature giving the student a single answer that ends the inquiry, or is it opening up further conceptual exploration?</w:t>
      </w:r>
    </w:p>
    <w:p w14:paraId="4A0D8156">
      <w:pPr>
        <w:spacing w:after="120" w:line="300" w:lineRule="auto"/>
      </w:pPr>
      <w:r>
        <w:t>询问：AI 功能给学生一个终结性的答案，还是打开了进一步的概念探索？</w:t>
      </w:r>
    </w:p>
    <w:p w14:paraId="1649F109">
      <w:pPr>
        <w:pStyle w:val="17"/>
        <w:numPr>
          <w:ilvl w:val="0"/>
          <w:numId w:val="1"/>
        </w:numPr>
        <w:spacing w:after="80" w:line="280" w:lineRule="auto"/>
      </w:pPr>
      <w:r>
        <w:rPr>
          <w:b w:val="0"/>
          <w:bCs w:val="0"/>
        </w:rPr>
        <w:t>If the typical interaction ends with one short answer the student then accepts → Task</w:t>
      </w:r>
    </w:p>
    <w:p w14:paraId="364BCCF4">
      <w:pPr>
        <w:pStyle w:val="17"/>
        <w:numPr>
          <w:ilvl w:val="0"/>
          <w:numId w:val="1"/>
        </w:numPr>
        <w:spacing w:after="80" w:line="280" w:lineRule="auto"/>
      </w:pPr>
      <w:r>
        <w:rPr>
          <w:b w:val="0"/>
          <w:bCs w:val="0"/>
        </w:rPr>
        <w:t>If the typical interaction invites further exploration of related concepts, mechanisms, or methods → Process</w:t>
      </w:r>
    </w:p>
    <w:p w14:paraId="68D69FE4">
      <w:pPr>
        <w:spacing w:after="120" w:line="300" w:lineRule="auto"/>
      </w:pPr>
      <w:r>
        <w:t>Hint: Think about what the student does after the AI responds. If the response naturally leads to "now what's the relationship between this and X?", it's likely Process. If the response is "OK, I have my answer, moving on", it's likely Task.</w:t>
      </w:r>
    </w:p>
    <w:p w14:paraId="3152B542">
      <w:pPr>
        <w:spacing w:after="120" w:line="300" w:lineRule="auto"/>
      </w:pPr>
      <w:r>
        <w:t>提示：思考学生在 AI 响应后会做什么。如果响应自然引向"那这和 X 是什么关系？"，更可能是 Process。如果响应是"好的，我得到了答案，继续下一题"，更可能是 Task。</w:t>
      </w:r>
    </w:p>
    <w:p w14:paraId="03DF3DF4">
      <w:pPr>
        <w:pStyle w:val="3"/>
        <w:spacing w:before="240" w:after="120"/>
      </w:pPr>
      <w:r>
        <w:rPr>
          <w:b/>
          <w:bCs/>
          <w:sz w:val="26"/>
          <w:szCs w:val="26"/>
        </w:rPr>
        <w:t>Rule 2: Process vs. Self-Regulation — "How does it work" vs. "How am I doing"</w:t>
      </w:r>
    </w:p>
    <w:p w14:paraId="463771D0">
      <w:pPr>
        <w:spacing w:after="120" w:line="300" w:lineRule="auto"/>
      </w:pPr>
      <w:r>
        <w:t>Ask: Is the focus on the subject matter (the concept, the algorithm, the structure) or on the learner's own learning process?</w:t>
      </w:r>
    </w:p>
    <w:p w14:paraId="304C03D9">
      <w:pPr>
        <w:spacing w:after="120" w:line="300" w:lineRule="auto"/>
      </w:pPr>
      <w:r>
        <w:t>询问：焦点是学科内容（概念、算法、结构）还是学习者自身的学习过程？</w:t>
      </w:r>
    </w:p>
    <w:p w14:paraId="3B1C13FA">
      <w:pPr>
        <w:pStyle w:val="17"/>
        <w:numPr>
          <w:ilvl w:val="0"/>
          <w:numId w:val="1"/>
        </w:numPr>
        <w:spacing w:after="80" w:line="280" w:lineRule="auto"/>
      </w:pPr>
      <w:r>
        <w:rPr>
          <w:b w:val="0"/>
          <w:bCs w:val="0"/>
        </w:rPr>
        <w:t>If focus is on the subject matter → Process</w:t>
      </w:r>
    </w:p>
    <w:p w14:paraId="72D81BDB">
      <w:pPr>
        <w:pStyle w:val="17"/>
        <w:numPr>
          <w:ilvl w:val="0"/>
          <w:numId w:val="1"/>
        </w:numPr>
        <w:spacing w:after="80" w:line="280" w:lineRule="auto"/>
      </w:pPr>
      <w:r>
        <w:rPr>
          <w:b w:val="0"/>
          <w:bCs w:val="0"/>
        </w:rPr>
        <w:t>If focus is on the learner's monitoring/planning/self-evaluation → Self-Regulation</w:t>
      </w:r>
    </w:p>
    <w:p w14:paraId="04D2C3A5">
      <w:pPr>
        <w:pStyle w:val="3"/>
        <w:spacing w:before="240" w:after="120"/>
      </w:pPr>
      <w:r>
        <w:rPr>
          <w:b/>
          <w:bCs/>
          <w:sz w:val="26"/>
          <w:szCs w:val="26"/>
        </w:rPr>
        <w:t>Rule 3: Self-Regulation vs. Other — "Substantive help-seeking" vs. "Administrative"</w:t>
      </w:r>
    </w:p>
    <w:p w14:paraId="1D321AD1">
      <w:pPr>
        <w:spacing w:after="120" w:line="300" w:lineRule="auto"/>
      </w:pPr>
      <w:r>
        <w:t>Ask: Does the feature support the learner in making decisions about WHAT to learn or HOW to learn it?</w:t>
      </w:r>
    </w:p>
    <w:p w14:paraId="16ACB362">
      <w:pPr>
        <w:spacing w:after="120" w:line="300" w:lineRule="auto"/>
      </w:pPr>
      <w:r>
        <w:t>询问：该功能是否帮助学习者就"学什么"或"怎么学"做出决策？</w:t>
      </w:r>
    </w:p>
    <w:p w14:paraId="2F395AB3">
      <w:pPr>
        <w:pStyle w:val="17"/>
        <w:numPr>
          <w:ilvl w:val="0"/>
          <w:numId w:val="1"/>
        </w:numPr>
        <w:spacing w:after="80" w:line="280" w:lineRule="auto"/>
      </w:pPr>
      <w:r>
        <w:rPr>
          <w:b w:val="0"/>
          <w:bCs w:val="0"/>
        </w:rPr>
        <w:t>If yes — student is asking a content-rich question to a knowledgeable source about their own learning → Self-Regulation</w:t>
      </w:r>
    </w:p>
    <w:p w14:paraId="54B9FD08">
      <w:pPr>
        <w:pStyle w:val="17"/>
        <w:numPr>
          <w:ilvl w:val="0"/>
          <w:numId w:val="1"/>
        </w:numPr>
        <w:spacing w:after="80" w:line="280" w:lineRule="auto"/>
      </w:pPr>
      <w:r>
        <w:rPr>
          <w:b w:val="0"/>
          <w:bCs w:val="0"/>
        </w:rPr>
        <w:t>If no — student is just dealing with platform mechanics (login, payment, course enrollment, FAQ about how to use a button) → Other</w:t>
      </w:r>
    </w:p>
    <w:p w14:paraId="4A751090">
      <w:pPr>
        <w:pStyle w:val="3"/>
        <w:spacing w:before="240" w:after="120"/>
      </w:pPr>
      <w:r>
        <w:rPr>
          <w:b/>
          <w:bCs/>
          <w:sz w:val="26"/>
          <w:szCs w:val="26"/>
        </w:rPr>
        <w:t>Rule 4: When in doubt — code conservatively</w:t>
      </w:r>
    </w:p>
    <w:p w14:paraId="54BB933E">
      <w:pPr>
        <w:spacing w:after="120" w:line="300" w:lineRule="auto"/>
      </w:pPr>
      <w:r>
        <w:t>If you cannot decide between two adjacent levels, choose the LOWER level (Task &lt; Process &lt; Self-Regulation &lt; Self). This conservative approach prevents overstating the cognitive depth of an AI feature.</w:t>
      </w:r>
    </w:p>
    <w:p w14:paraId="6A04FE5E">
      <w:pPr>
        <w:spacing w:after="120" w:line="300" w:lineRule="auto"/>
      </w:pPr>
      <w:r>
        <w:t>如果你在相邻两个层级之间犹豫，选择较低的层级（Task &lt; Process &lt; Self-Regulation &lt; Self）。这种保守做法避免高估 AI 功能的认知深度。</w:t>
      </w:r>
    </w:p>
    <w:p w14:paraId="0A04A5AF">
      <w:pPr>
        <w:spacing w:after="120" w:line="300" w:lineRule="auto"/>
      </w:pPr>
      <w:r>
        <w:t>(Note: "lower" here refers to ordering in the framework, not to importance. Task-level feedback is still legitimate feedback.)</w:t>
      </w:r>
    </w:p>
    <w:p w14:paraId="75BEC08F">
      <w:pPr>
        <w:spacing w:after="120" w:line="300" w:lineRule="auto"/>
      </w:pPr>
      <w:r>
        <w:t>（注：此处"较低"指框架中的顺序，不指重要性。任务层级反馈仍是合法的反馈类型。）</w:t>
      </w:r>
    </w:p>
    <w:p w14:paraId="5A06FCD4">
      <w:r>
        <w:br w:type="page"/>
      </w:r>
    </w:p>
    <w:p w14:paraId="7D41CC92">
      <w:pPr>
        <w:pStyle w:val="2"/>
        <w:spacing w:before="360" w:after="180"/>
      </w:pPr>
      <w:r>
        <w:rPr>
          <w:b/>
          <w:bCs/>
          <w:sz w:val="32"/>
          <w:szCs w:val="32"/>
        </w:rPr>
        <w:t>5. Worked Examples (For Training Only) 已编码示例（仅供培训用）</w:t>
      </w:r>
    </w:p>
    <w:p w14:paraId="56771890">
      <w:pPr>
        <w:spacing w:after="120" w:line="300" w:lineRule="auto"/>
      </w:pPr>
      <w:r>
        <w:t>These examples are NOT in the actual coding list. They are provided to help you calibrate during the training session. Read each one and consider how the decision tree applies.</w:t>
      </w:r>
    </w:p>
    <w:p w14:paraId="0811C54B">
      <w:pPr>
        <w:spacing w:after="120" w:line="300" w:lineRule="auto"/>
      </w:pPr>
      <w:r>
        <w:t>以下示例"不"在正式编码列表中。它们用于培训阶段的校准。请阅读每个示例并思考决策树如何适用。</w:t>
      </w:r>
    </w:p>
    <w:p w14:paraId="6D88AC6E">
      <w:pPr>
        <w:pStyle w:val="3"/>
        <w:spacing w:before="240" w:after="120"/>
      </w:pPr>
      <w:r>
        <w:rPr>
          <w:b/>
          <w:bCs/>
          <w:sz w:val="26"/>
          <w:szCs w:val="26"/>
        </w:rPr>
        <w:t>Example A: A pop-up that says "Great work! You're so smart!"</w:t>
      </w:r>
    </w:p>
    <w:p w14:paraId="004EA3D9">
      <w:pPr>
        <w:spacing w:after="120" w:line="300" w:lineRule="auto"/>
      </w:pPr>
      <w:r>
        <w:t>Description: After completing a quiz, a pop-up appears with a congratulatory message but no information about what the student did well or what to improve.</w:t>
      </w:r>
    </w:p>
    <w:p w14:paraId="735B697F">
      <w:pPr>
        <w:spacing w:after="120" w:line="300" w:lineRule="auto"/>
      </w:pPr>
      <w:r>
        <w:t>描述：完成测验后，弹窗显示祝贺信息，但不提供关于学生做得好的部分或需要改进之处的任何信息。</w:t>
      </w:r>
    </w:p>
    <w:p w14:paraId="1E72DF42">
      <w:pPr>
        <w:spacing w:after="120" w:line="300" w:lineRule="auto"/>
      </w:pPr>
      <w:r>
        <w:t>Reasoning: This is general praise directed at the person, not at any specific task or process. It does not help the learner understand the task, the process, or their own learning.</w:t>
      </w:r>
    </w:p>
    <w:p w14:paraId="286F5892">
      <w:pPr>
        <w:spacing w:after="120" w:line="300" w:lineRule="auto"/>
      </w:pPr>
      <w:r>
        <w:t>推理：这是指向"人"的一般性表扬，与具体任务或过程无关，不帮助学习者理解任务、过程或自身学习。</w:t>
      </w:r>
    </w:p>
    <w:p w14:paraId="7F2CBE83">
      <w:pPr>
        <w:spacing w:after="120" w:line="300" w:lineRule="auto"/>
      </w:pPr>
      <w:r>
        <w:rPr>
          <w:b/>
          <w:bCs/>
        </w:rPr>
        <w:t>Code: Self-level (FS)</w:t>
      </w:r>
    </w:p>
    <w:p w14:paraId="53202EBA">
      <w:pPr>
        <w:pStyle w:val="3"/>
        <w:spacing w:before="240" w:after="120"/>
      </w:pPr>
      <w:r>
        <w:rPr>
          <w:b/>
          <w:bCs/>
          <w:sz w:val="26"/>
          <w:szCs w:val="26"/>
        </w:rPr>
        <w:t>Example B: A definition lookup tool</w:t>
      </w:r>
    </w:p>
    <w:p w14:paraId="52F86B1E">
      <w:pPr>
        <w:spacing w:after="120" w:line="300" w:lineRule="auto"/>
      </w:pPr>
      <w:r>
        <w:t>Description: Student types "什么是斐波那契数列" ("What is the Fibonacci sequence?") and the AI returns the standard textbook definition: "A sequence in which each number is the sum of the two preceding ones."</w:t>
      </w:r>
    </w:p>
    <w:p w14:paraId="6D28C78F">
      <w:pPr>
        <w:spacing w:after="120" w:line="300" w:lineRule="auto"/>
      </w:pPr>
      <w:r>
        <w:t>描述：学生输入"什么是斐波那契数列"，AI 返回标准教科书定义："一个数列，其中每个数是前两个数之和。"</w:t>
      </w:r>
    </w:p>
    <w:p w14:paraId="502E5E88">
      <w:pPr>
        <w:spacing w:after="120" w:line="300" w:lineRule="auto"/>
      </w:pPr>
      <w:r>
        <w:t>Reasoning: The AI provides a direct, surface-level answer to a "what is X" question. It does not explain how the concept relates to other concepts, how the sequence is computed efficiently, or when it is useful. The interaction ends with the answer.</w:t>
      </w:r>
    </w:p>
    <w:p w14:paraId="2BB9AA9C">
      <w:pPr>
        <w:spacing w:after="120" w:line="300" w:lineRule="auto"/>
      </w:pPr>
      <w:r>
        <w:t>推理：AI 对"X 是什么"的问题提供直接的表层答案，不解释该概念与其他概念的关系、如何高效计算或何时使用。交互以答案为终点。</w:t>
      </w:r>
    </w:p>
    <w:p w14:paraId="077A83D6">
      <w:pPr>
        <w:spacing w:after="120" w:line="300" w:lineRule="auto"/>
      </w:pPr>
      <w:r>
        <w:rPr>
          <w:b/>
          <w:bCs/>
        </w:rPr>
        <w:t>Code: Task (FT)</w:t>
      </w:r>
    </w:p>
    <w:p w14:paraId="7E245ECC">
      <w:pPr>
        <w:pStyle w:val="3"/>
        <w:spacing w:before="240" w:after="120"/>
      </w:pPr>
      <w:r>
        <w:rPr>
          <w:b/>
          <w:bCs/>
          <w:sz w:val="26"/>
          <w:szCs w:val="26"/>
        </w:rPr>
        <w:t>Example C: A study-progress dashboard with reflection prompts</w:t>
      </w:r>
    </w:p>
    <w:p w14:paraId="30167321">
      <w:pPr>
        <w:spacing w:after="120" w:line="300" w:lineRule="auto"/>
      </w:pPr>
      <w:r>
        <w:t>Description: A widget displays the student's completion percentage for each chapter and asks: "Which chapter do you feel least confident about? What might you do this week to strengthen that area?"</w:t>
      </w:r>
    </w:p>
    <w:p w14:paraId="53A7F04F">
      <w:pPr>
        <w:spacing w:after="120" w:line="300" w:lineRule="auto"/>
      </w:pPr>
      <w:r>
        <w:t>描述：一个组件展示学生在各章节的完成百分比，并询问："你对哪一章最不自信？这周你打算做什么来加强这部分？"</w:t>
      </w:r>
    </w:p>
    <w:p w14:paraId="73ADE205">
      <w:pPr>
        <w:spacing w:after="120" w:line="300" w:lineRule="auto"/>
      </w:pPr>
      <w:r>
        <w:t>Reasoning: This feature directs attention to the learner's own learning state (confidence, weak areas) and prompts planning for the upcoming week. It is not about a specific task or about explaining concepts—it is about how the learner regulates their own learning.</w:t>
      </w:r>
    </w:p>
    <w:p w14:paraId="221C5F4D">
      <w:pPr>
        <w:spacing w:after="120" w:line="300" w:lineRule="auto"/>
      </w:pPr>
      <w:r>
        <w:t>推理：该功能将注意力引向学习者自身的学习状态（信心、薄弱环节），并提示对下周的计划。它既不针对具体任务，也不解释概念——而是关于学习者如何调节自身学习。</w:t>
      </w:r>
    </w:p>
    <w:p w14:paraId="5DB822F5">
      <w:pPr>
        <w:spacing w:after="120" w:line="300" w:lineRule="auto"/>
      </w:pPr>
      <w:r>
        <w:rPr>
          <w:b/>
          <w:bCs/>
        </w:rPr>
        <w:t>Code: Self-Regulation (FR)</w:t>
      </w:r>
    </w:p>
    <w:p w14:paraId="3BB5F3BA">
      <w:r>
        <w:br w:type="page"/>
      </w:r>
    </w:p>
    <w:p w14:paraId="461720CD">
      <w:pPr>
        <w:pStyle w:val="2"/>
        <w:spacing w:before="360" w:after="180"/>
      </w:pPr>
      <w:r>
        <w:rPr>
          <w:b/>
          <w:bCs/>
          <w:sz w:val="32"/>
          <w:szCs w:val="32"/>
        </w:rPr>
        <w:t>6. Coding Procedure 编码流程</w:t>
      </w:r>
    </w:p>
    <w:p w14:paraId="3E98B18C">
      <w:pPr>
        <w:spacing w:after="120" w:line="300" w:lineRule="auto"/>
      </w:pPr>
      <w:r>
        <w:t>Step-by-step instructions:</w:t>
      </w:r>
    </w:p>
    <w:p w14:paraId="09AD7603">
      <w:pPr>
        <w:pStyle w:val="17"/>
        <w:numPr>
          <w:ilvl w:val="0"/>
          <w:numId w:val="2"/>
        </w:numPr>
        <w:spacing w:after="80"/>
      </w:pPr>
      <w:r>
        <w:t>Read the entire codebook (this document) once before starting. (开始前先把本手册完整读一遍。)</w:t>
      </w:r>
    </w:p>
    <w:p w14:paraId="3C02EB0B">
      <w:pPr>
        <w:pStyle w:val="17"/>
        <w:numPr>
          <w:ilvl w:val="0"/>
          <w:numId w:val="2"/>
        </w:numPr>
        <w:spacing w:after="80"/>
      </w:pPr>
      <w:r>
        <w:t>Attend the 1-hour training session (we will review the framework together and work through 3 practice items). (参加 1 小时培训，一起过框架并完成 3 个练习题。)</w:t>
      </w:r>
    </w:p>
    <w:p w14:paraId="0A7FE940">
      <w:pPr>
        <w:pStyle w:val="17"/>
        <w:numPr>
          <w:ilvl w:val="0"/>
          <w:numId w:val="2"/>
        </w:numPr>
        <w:spacing w:after="80"/>
      </w:pPr>
      <w:r>
        <w:t>Open the Excel coding sheet you receive after training. (培训后打开你收到的 Excel 编码表。)</w:t>
      </w:r>
    </w:p>
    <w:p w14:paraId="47E1AE3D">
      <w:pPr>
        <w:pStyle w:val="17"/>
        <w:numPr>
          <w:ilvl w:val="0"/>
          <w:numId w:val="2"/>
        </w:numPr>
        <w:spacing w:after="80"/>
      </w:pPr>
      <w:r>
        <w:t>For each row, read the AI feature name, description, and sample student inputs. (对每一行，阅读 AI 功能名称、描述和学生输入样例。)</w:t>
      </w:r>
    </w:p>
    <w:p w14:paraId="65BD9454">
      <w:pPr>
        <w:pStyle w:val="17"/>
        <w:numPr>
          <w:ilvl w:val="0"/>
          <w:numId w:val="2"/>
        </w:numPr>
        <w:spacing w:after="80"/>
      </w:pPr>
      <w:r>
        <w:t>Apply the decision tree (</w:t>
      </w:r>
      <w:r>
        <w:rPr>
          <w:rFonts w:hint="eastAsia" w:ascii="Arial" w:hAnsi="Arial" w:eastAsia="Arial" w:cs="Arial"/>
        </w:rPr>
        <w:t>§</w:t>
      </w:r>
      <w:r>
        <w:t>3 above). (运用决策树，见第 3 节。)</w:t>
      </w:r>
    </w:p>
    <w:p w14:paraId="7C56DBE8">
      <w:pPr>
        <w:pStyle w:val="17"/>
        <w:numPr>
          <w:ilvl w:val="0"/>
          <w:numId w:val="2"/>
        </w:numPr>
        <w:spacing w:after="80"/>
      </w:pPr>
      <w:r>
        <w:t>Select ONE classification from the dropdown menu in the "Classification" column. (在"Classification"列的下拉菜单中选择 "一个" 分类。)</w:t>
      </w:r>
    </w:p>
    <w:p w14:paraId="59D6963C">
      <w:pPr>
        <w:pStyle w:val="17"/>
        <w:numPr>
          <w:ilvl w:val="0"/>
          <w:numId w:val="2"/>
        </w:numPr>
        <w:spacing w:after="80"/>
      </w:pPr>
      <w:r>
        <w:t>If you are uncertain, briefly note your reasoning in the "Notes" column. (若不确定，在 "Notes" 列简要说明你的推理。)</w:t>
      </w:r>
    </w:p>
    <w:p w14:paraId="2300F070">
      <w:pPr>
        <w:pStyle w:val="17"/>
        <w:numPr>
          <w:ilvl w:val="0"/>
          <w:numId w:val="2"/>
        </w:numPr>
        <w:spacing w:after="80"/>
      </w:pPr>
      <w:r>
        <w:t>Save the file and email it back to the lead researcher. Do NOT share with the other coder. (保存文件并发送给研究负责人，不要与另一位编码者分享。)</w:t>
      </w:r>
    </w:p>
    <w:p w14:paraId="2611BCC0">
      <w:pPr>
        <w:spacing w:after="120" w:line="300" w:lineRule="auto"/>
      </w:pPr>
    </w:p>
    <w:p w14:paraId="4D7025A4">
      <w:pPr>
        <w:spacing w:after="120" w:line="300" w:lineRule="auto"/>
      </w:pPr>
      <w:r>
        <w:rPr>
          <w:b/>
          <w:bCs/>
        </w:rPr>
        <w:t>Important reminders 重要提醒：</w:t>
      </w:r>
    </w:p>
    <w:p w14:paraId="7A553459">
      <w:pPr>
        <w:pStyle w:val="17"/>
        <w:numPr>
          <w:ilvl w:val="0"/>
          <w:numId w:val="1"/>
        </w:numPr>
        <w:spacing w:after="80" w:line="280" w:lineRule="auto"/>
      </w:pPr>
      <w:r>
        <w:rPr>
          <w:b w:val="0"/>
          <w:bCs w:val="0"/>
        </w:rPr>
        <w:t>Work alone — do not discuss specific items with the other coder. (独立完成——不要与另一位编码者讨论具体项目。)</w:t>
      </w:r>
    </w:p>
    <w:p w14:paraId="73E8865A">
      <w:pPr>
        <w:pStyle w:val="17"/>
        <w:numPr>
          <w:ilvl w:val="0"/>
          <w:numId w:val="1"/>
        </w:numPr>
        <w:spacing w:after="80" w:line="280" w:lineRule="auto"/>
      </w:pPr>
      <w:r>
        <w:rPr>
          <w:b w:val="0"/>
          <w:bCs w:val="0"/>
        </w:rPr>
        <w:t>Code all 16 items, even if some seem similar. (编码全部 16 项，即使有些看起来相似。)</w:t>
      </w:r>
    </w:p>
    <w:p w14:paraId="0CD9ECF7">
      <w:pPr>
        <w:pStyle w:val="17"/>
        <w:numPr>
          <w:ilvl w:val="0"/>
          <w:numId w:val="1"/>
        </w:numPr>
        <w:spacing w:after="80" w:line="280" w:lineRule="auto"/>
      </w:pPr>
      <w:r>
        <w:rPr>
          <w:b w:val="0"/>
          <w:bCs w:val="0"/>
        </w:rPr>
        <w:t>It's OK to be unsure on boundary cases — note your uncertainty. (在边界案例上感到不确定是正常的——请记录你的犹豫。)</w:t>
      </w:r>
    </w:p>
    <w:p w14:paraId="0FE8499D">
      <w:pPr>
        <w:pStyle w:val="17"/>
        <w:numPr>
          <w:ilvl w:val="0"/>
          <w:numId w:val="1"/>
        </w:numPr>
        <w:spacing w:after="80" w:line="280" w:lineRule="auto"/>
      </w:pPr>
      <w:r>
        <w:rPr>
          <w:b w:val="0"/>
          <w:bCs w:val="0"/>
        </w:rPr>
        <w:t>Estimated time: 30–60 minutes for independent coding. (独立编码预计耗时 30–60 分钟。)</w:t>
      </w:r>
    </w:p>
    <w:p w14:paraId="7F211A86">
      <w:r>
        <w:br w:type="page"/>
      </w:r>
    </w:p>
    <w:p w14:paraId="38D64C24">
      <w:pPr>
        <w:pStyle w:val="2"/>
        <w:spacing w:before="360" w:after="180"/>
      </w:pPr>
      <w:r>
        <w:rPr>
          <w:b/>
          <w:bCs/>
          <w:sz w:val="32"/>
          <w:szCs w:val="32"/>
        </w:rPr>
        <w:t>7. References 参考文献</w:t>
      </w:r>
    </w:p>
    <w:p w14:paraId="276E9D39">
      <w:pPr>
        <w:spacing w:after="180" w:line="300" w:lineRule="auto"/>
        <w:ind w:left="720" w:hanging="720"/>
        <w:rPr>
          <w:rFonts w:hint="eastAsia"/>
          <w:sz w:val="22"/>
          <w:szCs w:val="22"/>
        </w:rPr>
      </w:pPr>
      <w:r>
        <w:rPr>
          <w:rFonts w:hint="eastAsia"/>
          <w:sz w:val="22"/>
          <w:szCs w:val="22"/>
        </w:rPr>
        <w:t>Hattie, J., &amp; Timperley, H. (2007). The power of feedback. Review of Educational Research, 77(1), 81–112. https://doi.org/10.3102/003465430298487</w:t>
      </w:r>
    </w:p>
    <w:p w14:paraId="4D2C8AAF">
      <w:pPr>
        <w:spacing w:after="180" w:line="300" w:lineRule="auto"/>
        <w:ind w:left="720" w:hanging="720"/>
        <w:rPr>
          <w:rFonts w:hint="eastAsia"/>
          <w:sz w:val="22"/>
          <w:szCs w:val="22"/>
        </w:rPr>
      </w:pPr>
      <w:r>
        <w:rPr>
          <w:rFonts w:hint="eastAsia"/>
          <w:sz w:val="22"/>
          <w:szCs w:val="22"/>
        </w:rPr>
        <w:t>Karabenick, S. A. (2003). Seeking help in large college classes: A person-centered approach. Contemporary Educational Psychology, 28(1), 37–58. https://doi.org/10.1016/S0361-476X(02)00012-7</w:t>
      </w:r>
    </w:p>
    <w:p w14:paraId="6CDEBFA8">
      <w:pPr>
        <w:spacing w:after="180" w:line="300" w:lineRule="auto"/>
        <w:ind w:left="720" w:hanging="720"/>
        <w:rPr>
          <w:rFonts w:hint="eastAsia"/>
          <w:sz w:val="22"/>
          <w:szCs w:val="22"/>
        </w:rPr>
      </w:pPr>
      <w:r>
        <w:rPr>
          <w:rFonts w:hint="eastAsia"/>
          <w:sz w:val="22"/>
          <w:szCs w:val="22"/>
        </w:rPr>
        <w:t>Landis, J. R., &amp; Koch, G. G. (1977). The measurement of observer agreement for categorical data. Biometrics, 33(1), 159–174. https://doi.org/10.2307/2529310</w:t>
      </w:r>
    </w:p>
    <w:p w14:paraId="6E052D80">
      <w:pPr>
        <w:spacing w:after="180" w:line="300" w:lineRule="auto"/>
        <w:ind w:left="720" w:hanging="720"/>
        <w:rPr>
          <w:rFonts w:hint="eastAsia"/>
          <w:sz w:val="22"/>
          <w:szCs w:val="22"/>
        </w:rPr>
      </w:pPr>
      <w:r>
        <w:rPr>
          <w:rFonts w:hint="eastAsia"/>
          <w:sz w:val="22"/>
          <w:szCs w:val="22"/>
        </w:rPr>
        <w:t>Nelson-Le Gall, S. (1985). Help-seeking behavior in learning. Review of Research in Education, 12(1), 55–90. https://doi.org/10.3102/0091732X012001055</w:t>
      </w:r>
    </w:p>
    <w:p w14:paraId="7B9DA628">
      <w:pPr>
        <w:spacing w:after="180" w:line="300" w:lineRule="auto"/>
        <w:ind w:left="720" w:hanging="720"/>
        <w:rPr>
          <w:rStyle w:val="15"/>
          <w:sz w:val="22"/>
          <w:szCs w:val="22"/>
        </w:rPr>
      </w:pPr>
      <w:r>
        <w:rPr>
          <w:rFonts w:hint="eastAsia"/>
          <w:sz w:val="22"/>
          <w:szCs w:val="22"/>
        </w:rPr>
        <w:t>Shute, V. J. (2008). Focus on formative feedback. Review of Educational Research, 78(1), 153–189. https://doi.org/10.3102/0034654307313795</w:t>
      </w:r>
      <w:r>
        <w:rPr>
          <w:sz w:val="22"/>
          <w:szCs w:val="22"/>
        </w:rPr>
        <w:fldChar w:fldCharType="begin"/>
      </w:r>
      <w:r>
        <w:rPr>
          <w:sz w:val="22"/>
          <w:szCs w:val="22"/>
        </w:rPr>
        <w:instrText xml:space="preserve"> HYPERLINK "https://doi.org/10.3102/0034654307313795" </w:instrText>
      </w:r>
      <w:r>
        <w:rPr>
          <w:sz w:val="22"/>
          <w:szCs w:val="22"/>
        </w:rPr>
        <w:fldChar w:fldCharType="separate"/>
      </w:r>
    </w:p>
    <w:p w14:paraId="10A018C0">
      <w:pPr>
        <w:spacing w:after="180" w:line="300" w:lineRule="auto"/>
        <w:rPr>
          <w:rStyle w:val="15"/>
          <w:sz w:val="22"/>
          <w:szCs w:val="22"/>
        </w:rPr>
      </w:pPr>
    </w:p>
    <w:p w14:paraId="7FCACE4A">
      <w:pPr>
        <w:spacing w:after="120" w:line="300" w:lineRule="auto"/>
      </w:pPr>
      <w:r>
        <w:rPr>
          <w:b/>
          <w:bCs/>
        </w:rPr>
        <w:t>Thank you for your careful work! 感谢你的认真工作！</w:t>
      </w:r>
    </w:p>
    <w:p w14:paraId="7356D8CB">
      <w:pPr>
        <w:spacing w:after="180" w:line="300" w:lineRule="auto"/>
        <w:ind w:left="720" w:hanging="720"/>
        <w:rPr>
          <w:sz w:val="22"/>
          <w:szCs w:val="22"/>
        </w:rPr>
      </w:pPr>
      <w:r>
        <w:rPr>
          <w:rStyle w:val="15"/>
          <w:sz w:val="22"/>
          <w:szCs w:val="22"/>
        </w:rPr>
        <w:br w:type="page"/>
      </w:r>
      <w:r>
        <w:rPr>
          <w:sz w:val="22"/>
          <w:szCs w:val="22"/>
        </w:rPr>
        <w:fldChar w:fldCharType="end"/>
      </w:r>
    </w:p>
    <w:p w14:paraId="433E7344">
      <w:pPr>
        <w:pStyle w:val="2"/>
        <w:spacing w:before="360" w:after="180"/>
        <w:rPr>
          <w:rFonts w:hint="eastAsia" w:ascii="Arial" w:hAnsi="Arial" w:eastAsia="宋体" w:cs="Arial"/>
          <w:b/>
          <w:bCs/>
          <w:sz w:val="32"/>
          <w:szCs w:val="32"/>
          <w:lang w:eastAsia="zh-CN"/>
        </w:rPr>
      </w:pPr>
      <w:r>
        <w:rPr>
          <w:rFonts w:hint="eastAsia" w:ascii="Arial" w:hAnsi="Arial" w:eastAsia="Arial" w:cs="Arial"/>
          <w:b/>
          <w:bCs/>
          <w:sz w:val="32"/>
          <w:szCs w:val="32"/>
        </w:rPr>
        <w:t>Appendix A — Classification Provenance, Author-Level Mappings, and Sensitivity Mapping</w:t>
      </w:r>
      <w:r>
        <w:rPr>
          <w:rFonts w:hint="eastAsia" w:eastAsia="宋体" w:cs="Arial"/>
          <w:b/>
          <w:bCs/>
          <w:sz w:val="32"/>
          <w:szCs w:val="32"/>
          <w:lang w:val="en-US" w:eastAsia="zh-CN"/>
        </w:rPr>
        <w:t xml:space="preserve"> </w:t>
      </w:r>
      <w:r>
        <w:rPr>
          <w:rFonts w:hint="eastAsia" w:ascii="Arial" w:hAnsi="Arial" w:eastAsia="Arial" w:cs="Arial"/>
          <w:b/>
          <w:bCs/>
          <w:sz w:val="32"/>
          <w:szCs w:val="32"/>
        </w:rPr>
        <w:t>附录A — 分类来源、作者级映射与敏感性分析映射</w:t>
      </w:r>
    </w:p>
    <w:p w14:paraId="5FF336B0">
      <w:pPr>
        <w:spacing w:after="120" w:line="300" w:lineRule="auto"/>
        <w:rPr>
          <w:b/>
          <w:bCs/>
        </w:rPr>
      </w:pPr>
      <w:r>
        <w:rPr>
          <w:rFonts w:hint="eastAsia" w:ascii="Arial" w:hAnsi="Arial" w:eastAsia="宋体" w:cs="Arial"/>
          <w:b/>
          <w:bCs/>
          <w:color w:val="2E75B6"/>
          <w:sz w:val="26"/>
          <w:szCs w:val="26"/>
          <w:lang w:val="en-US" w:eastAsia="zh-CN"/>
        </w:rPr>
        <w:t>A.</w:t>
      </w:r>
      <w:r>
        <w:rPr>
          <w:rFonts w:ascii="Arial" w:hAnsi="Arial" w:eastAsia="Arial" w:cs="Arial"/>
          <w:b/>
          <w:bCs/>
          <w:color w:val="2E75B6"/>
          <w:sz w:val="26"/>
          <w:szCs w:val="26"/>
        </w:rPr>
        <w:t xml:space="preserve">1 </w:t>
      </w:r>
      <w:r>
        <w:rPr>
          <w:rFonts w:hint="eastAsia" w:ascii="Arial" w:hAnsi="Arial" w:eastAsia="Arial" w:cs="Arial"/>
          <w:b/>
          <w:bCs/>
          <w:color w:val="2E75B6"/>
          <w:sz w:val="26"/>
          <w:szCs w:val="26"/>
        </w:rPr>
        <w:t>Purpose of this appendix 本附录的目的</w:t>
      </w:r>
    </w:p>
    <w:p w14:paraId="1557D88B">
      <w:pPr>
        <w:spacing w:after="120" w:line="300" w:lineRule="auto"/>
        <w:rPr>
          <w:rFonts w:hint="eastAsia" w:ascii="Arial" w:hAnsi="Arial" w:eastAsia="Arial" w:cs="Arial"/>
        </w:rPr>
      </w:pPr>
      <w:r>
        <w:rPr>
          <w:rFonts w:hint="eastAsia" w:ascii="Arial" w:hAnsi="Arial" w:eastAsia="Arial" w:cs="Arial"/>
        </w:rPr>
        <w:t>The five-category codebook described in Sections 1–6 of this manual was the framework that both coders used independently. As described in the manual, the "Other / Not Applicable" category was a legitimate option for features that did not fit any of the four Hattie–Timperley levels (e.g., platform-administrative utilities, entertainment features, system non-responses).</w:t>
      </w:r>
    </w:p>
    <w:p w14:paraId="7AC20929">
      <w:pPr>
        <w:spacing w:after="120" w:line="300" w:lineRule="auto"/>
        <w:rPr>
          <w:rFonts w:hint="eastAsia" w:ascii="Arial" w:hAnsi="Arial" w:eastAsia="Arial" w:cs="Arial"/>
        </w:rPr>
      </w:pPr>
      <w:r>
        <w:rPr>
          <w:rFonts w:hint="eastAsia" w:ascii="Arial" w:hAnsi="Arial" w:eastAsia="Arial" w:cs="Arial"/>
        </w:rPr>
        <w:t>本手册第 1–6 节所描述的五分类编码框架，是两位编码者各自独立使用的判断框架。如手册所述，"其他 / 不适用"是合理选项，用于不属于四个 Hattie-Timperley 层级中任何一个的功能（如平台行政工具、娱乐功能、系统未响应等）。</w:t>
      </w:r>
    </w:p>
    <w:p w14:paraId="2577F9E0">
      <w:pPr>
        <w:spacing w:after="120" w:line="300" w:lineRule="auto"/>
        <w:rPr>
          <w:rFonts w:hint="eastAsia" w:ascii="Arial" w:hAnsi="Arial" w:eastAsia="Arial" w:cs="Arial"/>
        </w:rPr>
      </w:pPr>
      <w:r>
        <w:rPr>
          <w:rFonts w:hint="eastAsia" w:ascii="Arial" w:hAnsi="Arial" w:eastAsia="Arial" w:cs="Arial"/>
        </w:rPr>
        <w:t>The historical primary analyses use author-defined feature mappings to operationalise the Hattie–Timperley-informed categories. These mappings are analytic choices rather than a statistical requirement to remove the Other category. All per-user feature and category shares use the user's total AI interactions as the denominator. The historical effective-feedback numerator includes Process and Self-Regulation interactions; unmapped Other interactions remain in the denominator but do not enter this numerator. The coder-anchored sensitivity analysis instead retains the original coder agreements and documented adjudications without subsequent author remapping.</w:t>
      </w:r>
    </w:p>
    <w:p w14:paraId="423E6799">
      <w:pPr>
        <w:spacing w:after="120" w:line="300" w:lineRule="auto"/>
        <w:rPr>
          <w:rFonts w:hint="eastAsia" w:ascii="Arial" w:hAnsi="Arial" w:eastAsia="Arial" w:cs="Arial"/>
        </w:rPr>
      </w:pPr>
      <w:r>
        <w:rPr>
          <w:rFonts w:hint="eastAsia" w:ascii="Arial" w:hAnsi="Arial" w:eastAsia="Arial" w:cs="Arial"/>
        </w:rPr>
        <w:t>历史主分析使用作者定义的功能映射，对参照Hattie–Timperley框架的类别进行操作化。这些映射属于分析选择，并非统计上必须删除Other类别。用户层面的各功能与类别占比均以该用户全部AI交互为分母。历史“有效反馈”的分子包括Process与Self-Regulation交互；未映射的Other交互保留在分母中，但不进入该分子。编码者锚定敏感性分析则保留原始编码共识与已记录的裁决，不再进行后续作者重映射。</w:t>
      </w:r>
    </w:p>
    <w:p w14:paraId="06FB1B55">
      <w:pPr>
        <w:spacing w:after="120" w:line="300" w:lineRule="auto"/>
        <w:rPr>
          <w:rFonts w:hint="eastAsia" w:ascii="Arial" w:hAnsi="Arial" w:eastAsia="Arial" w:cs="Arial"/>
        </w:rPr>
      </w:pPr>
      <w:r>
        <w:rPr>
          <w:rFonts w:hint="eastAsia" w:ascii="Arial" w:hAnsi="Arial" w:eastAsia="Arial" w:cs="Arial"/>
        </w:rPr>
        <w:t>This appendix documents the author-level mappings, departures from coder consensus, and features retained as Other, so that the relationship between the independent classifications and the categories used in Table 1 and the primary analyses is traceable. The κ statistic reported in Section 3.4.4 of the manuscript (κ = .716) pertains to the coders' raw five-category classifications and is not affected by subsequent author-level mappings. The rationales below explain historical author-level operational choices. They do not establish the cognitive processes or pedagogical effects of individual logged interactions, and agreement statistics do not validate these interpretations. The complete feature-by-feature mappings are provided in A.6.</w:t>
      </w:r>
    </w:p>
    <w:p w14:paraId="6B77E815">
      <w:pPr>
        <w:spacing w:after="120" w:line="300" w:lineRule="auto"/>
        <w:rPr>
          <w:rFonts w:hint="eastAsia" w:ascii="Arial" w:hAnsi="Arial" w:eastAsia="Arial" w:cs="Arial"/>
        </w:rPr>
      </w:pPr>
      <w:r>
        <w:rPr>
          <w:rFonts w:hint="eastAsia" w:ascii="Arial" w:hAnsi="Arial" w:eastAsia="Arial" w:cs="Arial"/>
        </w:rPr>
        <w:t>本附录记录作者级映射、偏离编码者共识的重分类以及保留为Other的功能，使独立编码分类与正文Table 1及主分析所用类别之间的关系可追溯。正文第3.4.4节报告的κ = .716针对编码者原始五分类的一致性，不受后续作者级映射影响。以下理由解释历史作者级操作化选择，不证明单次日志交互涉及的认知过程或教学效果；一致性统计量也不能验证这些解释。完整的逐项功能映射见A.6。</w:t>
      </w:r>
    </w:p>
    <w:p w14:paraId="4FC0C99C">
      <w:pPr>
        <w:spacing w:after="120" w:line="300" w:lineRule="auto"/>
        <w:rPr>
          <w:rFonts w:hint="eastAsia" w:ascii="Arial" w:hAnsi="Arial" w:eastAsia="Arial" w:cs="Arial"/>
          <w:b/>
          <w:bCs/>
          <w:color w:val="2E75B6"/>
          <w:sz w:val="26"/>
          <w:szCs w:val="26"/>
        </w:rPr>
      </w:pPr>
      <w:r>
        <w:rPr>
          <w:rFonts w:hint="eastAsia" w:ascii="Arial" w:hAnsi="Arial" w:eastAsia="宋体" w:cs="Arial"/>
          <w:b/>
          <w:bCs/>
          <w:color w:val="2E75B6"/>
          <w:sz w:val="26"/>
          <w:szCs w:val="26"/>
          <w:lang w:val="en-US" w:eastAsia="zh-CN"/>
        </w:rPr>
        <w:t>A.2</w:t>
      </w:r>
      <w:r>
        <w:rPr>
          <w:rFonts w:ascii="Arial" w:hAnsi="Arial" w:eastAsia="Arial" w:cs="Arial"/>
          <w:b/>
          <w:bCs/>
          <w:color w:val="2E75B6"/>
          <w:sz w:val="26"/>
          <w:szCs w:val="26"/>
        </w:rPr>
        <w:t xml:space="preserve"> </w:t>
      </w:r>
      <w:r>
        <w:rPr>
          <w:rFonts w:hint="eastAsia" w:ascii="Arial" w:hAnsi="Arial" w:eastAsia="Arial" w:cs="Arial"/>
          <w:b/>
          <w:bCs/>
          <w:color w:val="2E75B6"/>
          <w:sz w:val="26"/>
          <w:szCs w:val="26"/>
        </w:rPr>
        <w:t>Author-Level Mapping Decisions (5 features) 作者级映射决策（5 项功能）</w:t>
      </w:r>
    </w:p>
    <w:p w14:paraId="4DDB6638">
      <w:pPr>
        <w:spacing w:after="120" w:line="300" w:lineRule="auto"/>
        <w:rPr>
          <w:rFonts w:hint="eastAsia" w:ascii="Arial" w:hAnsi="Arial" w:eastAsia="Arial" w:cs="Arial"/>
        </w:rPr>
      </w:pPr>
      <w:r>
        <w:rPr>
          <w:rFonts w:hint="eastAsia" w:ascii="Arial" w:hAnsi="Arial" w:eastAsia="Arial" w:cs="Arial"/>
        </w:rPr>
        <w:t>The following five features were unanimously classified as "Other" by both coders. For analytic purposes, each was mapped to the Hattie–Timperley level whose pedagogical function the feature most closely resembles within the context of the MOOCCubeX platform. The rationale for each mapping is documented below.</w:t>
      </w:r>
    </w:p>
    <w:p w14:paraId="4F83E9E2">
      <w:pPr>
        <w:spacing w:after="120" w:line="300" w:lineRule="auto"/>
        <w:rPr>
          <w:rFonts w:hint="eastAsia" w:ascii="Arial" w:hAnsi="Arial" w:eastAsia="Arial" w:cs="Arial"/>
        </w:rPr>
      </w:pPr>
      <w:r>
        <w:rPr>
          <w:rFonts w:hint="eastAsia" w:ascii="Arial" w:hAnsi="Arial" w:eastAsia="Arial" w:cs="Arial"/>
        </w:rPr>
        <w:t>以下五项功能被两位编码者一致归为"其他"。为后续分析需要，每一项被映射到在 MOOCCubeX 平台情境下其教学功能最接近的 Hattie-Timperley 层级。每项映射的依据如下。</w:t>
      </w:r>
    </w:p>
    <w:p w14:paraId="4658E02C">
      <w:pPr>
        <w:spacing w:after="120" w:line="300" w:lineRule="auto"/>
        <w:rPr>
          <w:rFonts w:hint="default" w:ascii="Arial Bold" w:hAnsi="Arial Bold" w:eastAsia="Arial" w:cs="Arial Bold"/>
          <w:b/>
          <w:bCs/>
        </w:rPr>
      </w:pPr>
      <w:r>
        <w:rPr>
          <w:rFonts w:hint="default" w:ascii="Arial Bold" w:hAnsi="Arial Bold" w:eastAsia="Arial" w:cs="Arial Bold"/>
          <w:b/>
          <w:bCs/>
        </w:rPr>
        <w:t>Mapping A1: Poetry Composition → Self-level (FS)</w:t>
      </w:r>
    </w:p>
    <w:p w14:paraId="4CC583B4">
      <w:pPr>
        <w:spacing w:after="120" w:line="300" w:lineRule="auto"/>
        <w:rPr>
          <w:rFonts w:hint="default" w:ascii="Arial Bold" w:hAnsi="Arial Bold" w:eastAsia="Arial" w:cs="Arial Bold"/>
          <w:b/>
          <w:bCs/>
        </w:rPr>
      </w:pPr>
      <w:r>
        <w:rPr>
          <w:rFonts w:hint="default" w:ascii="Arial Bold" w:hAnsi="Arial Bold" w:eastAsia="Arial" w:cs="Arial Bold"/>
          <w:b/>
          <w:bCs/>
        </w:rPr>
        <w:t>映射 A1：作诗 → 自我层级 (FS)</w:t>
      </w:r>
    </w:p>
    <w:p w14:paraId="139C72C0">
      <w:pPr>
        <w:spacing w:after="120" w:line="300" w:lineRule="auto"/>
        <w:rPr>
          <w:rFonts w:hint="eastAsia" w:ascii="Arial" w:hAnsi="Arial" w:eastAsia="Arial" w:cs="Arial"/>
        </w:rPr>
      </w:pPr>
      <w:r>
        <w:rPr>
          <w:rFonts w:hint="eastAsia" w:ascii="Arial" w:hAnsi="Arial" w:eastAsia="Arial" w:cs="Arial"/>
        </w:rPr>
        <w:t>Authors' interpretation of the Other classification (not a recorded coder rationale): an entertainment feature with no learning content.</w:t>
      </w:r>
    </w:p>
    <w:p w14:paraId="0E46E921">
      <w:pPr>
        <w:spacing w:after="120" w:line="300" w:lineRule="auto"/>
        <w:rPr>
          <w:rFonts w:hint="eastAsia" w:ascii="Arial" w:hAnsi="Arial" w:eastAsia="Arial" w:cs="Arial"/>
        </w:rPr>
      </w:pPr>
      <w:r>
        <w:rPr>
          <w:rFonts w:hint="eastAsia" w:ascii="Arial" w:hAnsi="Arial" w:eastAsia="Arial" w:cs="Arial"/>
        </w:rPr>
        <w:t>作者对Other分类的解释（非已记录的编码者理由）：与学习内容无关的娱乐性功能。</w:t>
      </w:r>
    </w:p>
    <w:p w14:paraId="5BD315C4">
      <w:pPr>
        <w:spacing w:after="120" w:line="300" w:lineRule="auto"/>
        <w:rPr>
          <w:rFonts w:hint="eastAsia" w:ascii="Arial" w:hAnsi="Arial" w:eastAsia="Arial" w:cs="Arial"/>
        </w:rPr>
      </w:pPr>
      <w:r>
        <w:rPr>
          <w:rFonts w:hint="eastAsia" w:ascii="Arial" w:hAnsi="Arial" w:eastAsia="Arial" w:cs="Arial"/>
        </w:rPr>
        <w:t>Author-level mapping rationale: Although Poetry Composition does not fit the codebook's strict definition of self-level feedback (general praise or social engagement directed at the person), the historical author mapping groups it with social-affective and entertainment-oriented interactions under Self. This is an author-defined extension of the category, as discussed in Section 3.4.3 of the manuscript, rather than evidence that these interactions are equivalent to person-directed praise or produce the same pedagogical effects.</w:t>
      </w:r>
    </w:p>
    <w:p w14:paraId="5C8E66F7">
      <w:pPr>
        <w:spacing w:after="120" w:line="300" w:lineRule="auto"/>
        <w:rPr>
          <w:rFonts w:hint="eastAsia" w:ascii="Arial" w:hAnsi="Arial" w:eastAsia="Arial" w:cs="Arial"/>
        </w:rPr>
      </w:pPr>
      <w:r>
        <w:rPr>
          <w:rFonts w:hint="eastAsia" w:ascii="Arial" w:hAnsi="Arial" w:eastAsia="Arial" w:cs="Arial"/>
        </w:rPr>
        <w:t>作者级映射依据：尽管“作诗”不符合手册中“自我层级”的严格定义（指向“人”的一般性表扬或社交互动），历史作者映射仍将其与社交情感性、娱乐导向的互动一起归入Self。这是正文第3.4.3节所讨论的作者定义的类别扩展，并不证明这些互动等同于指向“人”的表扬，也不证明二者具有相同的教学效果。</w:t>
      </w:r>
    </w:p>
    <w:p w14:paraId="5DCDC3CA">
      <w:pPr>
        <w:spacing w:after="120" w:line="300" w:lineRule="auto"/>
        <w:rPr>
          <w:rFonts w:hint="default" w:ascii="Arial Bold" w:hAnsi="Arial Bold" w:eastAsia="Arial" w:cs="Arial Bold"/>
          <w:b/>
          <w:bCs/>
        </w:rPr>
      </w:pPr>
      <w:r>
        <w:rPr>
          <w:rFonts w:hint="default" w:ascii="Arial Bold" w:hAnsi="Arial Bold" w:eastAsia="Arial" w:cs="Arial Bold"/>
          <w:b/>
          <w:bCs/>
        </w:rPr>
        <w:t>Mapping A2: From FAQ → Self-Regulation (FR)</w:t>
      </w:r>
    </w:p>
    <w:p w14:paraId="2988C056">
      <w:pPr>
        <w:spacing w:after="120" w:line="300" w:lineRule="auto"/>
        <w:rPr>
          <w:rFonts w:hint="default" w:ascii="Arial Bold" w:hAnsi="Arial Bold" w:eastAsia="Arial" w:cs="Arial Bold"/>
          <w:b/>
          <w:bCs/>
        </w:rPr>
      </w:pPr>
      <w:r>
        <w:rPr>
          <w:rFonts w:hint="default" w:ascii="Arial Bold" w:hAnsi="Arial Bold" w:eastAsia="Arial" w:cs="Arial Bold"/>
          <w:b/>
          <w:bCs/>
        </w:rPr>
        <w:t>映射 A2：来自 FAQ → 自我调节 (FR)</w:t>
      </w:r>
    </w:p>
    <w:p w14:paraId="2472F07F">
      <w:pPr>
        <w:spacing w:after="120" w:line="300" w:lineRule="auto"/>
        <w:rPr>
          <w:rFonts w:hint="eastAsia" w:ascii="Arial" w:hAnsi="Arial" w:eastAsia="Arial" w:cs="Arial"/>
        </w:rPr>
      </w:pPr>
      <w:r>
        <w:rPr>
          <w:rFonts w:hint="eastAsia" w:ascii="Arial" w:hAnsi="Arial" w:eastAsia="Arial" w:cs="Arial"/>
        </w:rPr>
        <w:t>Authors' interpretation of the Other classification (not a recorded coder rationale): platform-administrative help, explicitly identified by the codebook as outside the Self-Regulation category.</w:t>
      </w:r>
    </w:p>
    <w:p w14:paraId="2F16379E">
      <w:pPr>
        <w:spacing w:after="120" w:line="300" w:lineRule="auto"/>
        <w:rPr>
          <w:rFonts w:hint="eastAsia" w:ascii="Arial" w:hAnsi="Arial" w:eastAsia="Arial" w:cs="Arial"/>
        </w:rPr>
      </w:pPr>
      <w:r>
        <w:rPr>
          <w:rFonts w:hint="eastAsia" w:ascii="Arial" w:hAnsi="Arial" w:eastAsia="Arial" w:cs="Arial"/>
        </w:rPr>
        <w:t>作者对Other分类的解释（非已记录的编码者理由）：平台行政性帮助，手册明确说明此类不属于自我调节范畴。</w:t>
      </w:r>
    </w:p>
    <w:p w14:paraId="08457892">
      <w:pPr>
        <w:spacing w:after="120" w:line="300" w:lineRule="auto"/>
        <w:rPr>
          <w:rFonts w:hint="eastAsia" w:ascii="Arial" w:hAnsi="Arial" w:eastAsia="Arial" w:cs="Arial"/>
        </w:rPr>
      </w:pPr>
      <w:r>
        <w:rPr>
          <w:rFonts w:hint="eastAsia" w:ascii="Arial" w:hAnsi="Arial" w:eastAsia="Arial" w:cs="Arial"/>
        </w:rPr>
        <w:t>Author-level mapping rationale: The FAQ feature in MOOCCubeX provides standardised answers about platform mechanics, such as course enrollment, certificate procedures, and homework submission. The historical mapping treats voluntary retrieval of procedural support as potentially consistent with self-regulation. This interpretation extends beyond the codebook's boundary in Section 2.1, which excludes platform navigation and administrative help from Self-Regulation. The interaction logs do not establish that a learner monitored their understanding or selected the resource strategically; the Self-Regulation assignment remains an author-level operational interpretation. The coder-anchored sensitivity analysis retains this feature as Other.</w:t>
      </w:r>
    </w:p>
    <w:p w14:paraId="44861BAF">
      <w:pPr>
        <w:spacing w:after="120" w:line="300" w:lineRule="auto"/>
        <w:rPr>
          <w:rFonts w:hint="eastAsia" w:ascii="Arial" w:hAnsi="Arial" w:eastAsia="Arial" w:cs="Arial"/>
        </w:rPr>
      </w:pPr>
      <w:r>
        <w:rPr>
          <w:rFonts w:hint="eastAsia" w:ascii="Arial" w:hAnsi="Arial" w:eastAsia="Arial" w:cs="Arial"/>
        </w:rPr>
        <w:t>作者级映射依据：MOOCCubeX的FAQ功能提供有关平台机制的标准答案，如选课、证书流程及作业提交。历史映射将主动检索程序性支持视为可能与自我调节相符。这一解释超出了手册第2.1节的边界；该节将平台导航及行政性帮助排除在Self-Regulation之外。交互日志无法证明学习者监控了自身理解或进行了策略性资源选择，因此归入Self-Regulation仍属于作者级操作化解释。编码者锚定敏感性分析将该功能保留为Other。</w:t>
      </w:r>
    </w:p>
    <w:p w14:paraId="15578B73">
      <w:pPr>
        <w:spacing w:after="120" w:line="300" w:lineRule="auto"/>
        <w:rPr>
          <w:rFonts w:hint="default" w:ascii="Arial Bold" w:hAnsi="Arial Bold" w:eastAsia="Arial" w:cs="Arial Bold"/>
          <w:b/>
          <w:bCs/>
        </w:rPr>
      </w:pPr>
      <w:r>
        <w:rPr>
          <w:rFonts w:hint="default" w:ascii="Arial Bold" w:hAnsi="Arial Bold" w:eastAsia="Arial" w:cs="Arial Bold"/>
          <w:b/>
          <w:bCs/>
        </w:rPr>
        <w:t>Mapping A3: Ask TA (Human) → Self-Regulation (FR)</w:t>
      </w:r>
    </w:p>
    <w:p w14:paraId="6FA29736">
      <w:pPr>
        <w:spacing w:after="120" w:line="300" w:lineRule="auto"/>
        <w:rPr>
          <w:rFonts w:hint="default" w:ascii="Arial Bold" w:hAnsi="Arial Bold" w:eastAsia="Arial" w:cs="Arial Bold"/>
          <w:b/>
          <w:bCs/>
        </w:rPr>
      </w:pPr>
      <w:r>
        <w:rPr>
          <w:rFonts w:hint="default" w:ascii="Arial Bold" w:hAnsi="Arial Bold" w:eastAsia="Arial" w:cs="Arial Bold"/>
          <w:b/>
          <w:bCs/>
        </w:rPr>
        <w:t>映射 A3：问助教 → 自我调节 (FR)</w:t>
      </w:r>
    </w:p>
    <w:p w14:paraId="7FFB457C">
      <w:pPr>
        <w:spacing w:after="120" w:line="300" w:lineRule="auto"/>
        <w:rPr>
          <w:rFonts w:hint="eastAsia" w:ascii="Arial" w:hAnsi="Arial" w:eastAsia="Arial" w:cs="Arial"/>
        </w:rPr>
      </w:pPr>
      <w:r>
        <w:rPr>
          <w:rFonts w:hint="eastAsia" w:ascii="Arial" w:hAnsi="Arial" w:eastAsia="Arial" w:cs="Arial"/>
        </w:rPr>
        <w:t>Authors' interpretation of the Other classification (not a recorded coder rationale): help routed to a human teaching assistant rather than generated by the AI system.</w:t>
      </w:r>
    </w:p>
    <w:p w14:paraId="32DCD346">
      <w:pPr>
        <w:spacing w:after="120" w:line="300" w:lineRule="auto"/>
        <w:rPr>
          <w:rFonts w:hint="eastAsia" w:ascii="Arial" w:hAnsi="Arial" w:eastAsia="Arial" w:cs="Arial"/>
        </w:rPr>
      </w:pPr>
      <w:r>
        <w:rPr>
          <w:rFonts w:hint="eastAsia" w:ascii="Arial" w:hAnsi="Arial" w:eastAsia="Arial" w:cs="Arial"/>
        </w:rPr>
        <w:t>作者对Other分类的解释（非已记录的编码者理由）：求助被转交给人工助教，而非由AI系统生成回答。</w:t>
      </w:r>
    </w:p>
    <w:p w14:paraId="6657C03D">
      <w:pPr>
        <w:spacing w:after="120" w:line="300" w:lineRule="auto"/>
        <w:rPr>
          <w:rFonts w:hint="eastAsia" w:ascii="Arial" w:hAnsi="Arial" w:eastAsia="Arial" w:cs="Arial"/>
        </w:rPr>
      </w:pPr>
      <w:r>
        <w:rPr>
          <w:rFonts w:hint="eastAsia" w:ascii="Arial" w:hAnsi="Arial" w:eastAsia="Arial" w:cs="Arial"/>
        </w:rPr>
        <w:t>Author-level mapping rationale: Although TA queries are routed to a human teaching assistant rather than answered by the AI, submitting a question to a knowledgeable other can represent adaptive help-seeking within self-regulated learning (Nelson-Le Gall, 1985; Karabenick, 2003). The codebook itself (Section 2.1, Self-Regulation Feedback) lists "a student emailing a TA asking 'I've been stuck on Chapter 4 — can you help me figure out what I'm missing?'" as an example of self-regulation. The historical assignment of Ask TA to Self-Regulation reflects this theoretical positioning. However, the feature label alone does not distinguish adaptive help-seeking from answer-seeking. This mapping also combines AI-mediated and human-mediated help-seeking within one category; consequently, the Self-Regulation share should not be interpreted as a measure of exclusively AI-generated feedback.</w:t>
      </w:r>
    </w:p>
    <w:p w14:paraId="4D195D3E">
      <w:pPr>
        <w:spacing w:after="120" w:line="300" w:lineRule="auto"/>
        <w:rPr>
          <w:rFonts w:hint="eastAsia" w:ascii="Arial" w:hAnsi="Arial" w:eastAsia="Arial" w:cs="Arial"/>
        </w:rPr>
      </w:pPr>
      <w:r>
        <w:rPr>
          <w:rFonts w:hint="eastAsia" w:ascii="Arial" w:hAnsi="Arial" w:eastAsia="Arial" w:cs="Arial"/>
        </w:rPr>
        <w:t>作者级映射依据：尽管“问助教”由人工助教回答而非AI生成，向有经验的他人提出问题可能体现自我调节学习中的适应性求助（Nelson-Le Gall, 1985; Karabenick, 2003）。手册本身（第2.1节，自我调节反馈）以</w:t>
      </w:r>
      <w:r>
        <w:rPr>
          <w:rFonts w:hint="default" w:ascii="Arial" w:hAnsi="Arial" w:eastAsia="Arial" w:cs="Arial"/>
        </w:rPr>
        <w:t>"</w:t>
      </w:r>
      <w:r>
        <w:rPr>
          <w:rFonts w:hint="eastAsia" w:ascii="Arial" w:hAnsi="Arial" w:eastAsia="Arial" w:cs="Arial"/>
        </w:rPr>
        <w:t>学生发邮件给助教问'我卡在第4章——你能帮我看看我缺了什么吗？'</w:t>
      </w:r>
      <w:r>
        <w:rPr>
          <w:rFonts w:hint="default" w:ascii="Arial" w:hAnsi="Arial" w:eastAsia="Arial" w:cs="Arial"/>
        </w:rPr>
        <w:t>"</w:t>
      </w:r>
      <w:r>
        <w:rPr>
          <w:rFonts w:hint="eastAsia" w:ascii="Arial" w:hAnsi="Arial" w:eastAsia="Arial" w:cs="Arial"/>
        </w:rPr>
        <w:t>作为自我调节的例子。历史映射将Ask TA归入Self-Regulation，反映了这一理论定位。然而，仅凭功能标签无法区分适应性求助与索取答案。这一映射也将AI介导与人工介导的求助合并于同一类别，因此Self-Regulation占比不应被解释为仅衡量AI生成反馈的指标。</w:t>
      </w:r>
    </w:p>
    <w:p w14:paraId="0375920C">
      <w:pPr>
        <w:spacing w:after="120" w:line="300" w:lineRule="auto"/>
        <w:rPr>
          <w:rFonts w:hint="default" w:ascii="Arial Bold" w:hAnsi="Arial Bold" w:eastAsia="Arial" w:cs="Arial Bold"/>
          <w:b/>
          <w:bCs/>
        </w:rPr>
      </w:pPr>
      <w:r>
        <w:rPr>
          <w:rFonts w:hint="default" w:ascii="Arial Bold" w:hAnsi="Arial Bold" w:eastAsia="Arial" w:cs="Arial Bold"/>
          <w:b/>
          <w:bCs/>
        </w:rPr>
        <w:t>Mapping A4: Arithmetic Calculator → Task (FT)</w:t>
      </w:r>
    </w:p>
    <w:p w14:paraId="445AE2C2">
      <w:pPr>
        <w:spacing w:after="120" w:line="300" w:lineRule="auto"/>
        <w:rPr>
          <w:rFonts w:hint="default" w:ascii="Arial Bold" w:hAnsi="Arial Bold" w:eastAsia="Arial" w:cs="Arial Bold"/>
          <w:b/>
          <w:bCs/>
        </w:rPr>
      </w:pPr>
      <w:r>
        <w:rPr>
          <w:rFonts w:hint="default" w:ascii="Arial Bold" w:hAnsi="Arial Bold" w:eastAsia="Arial" w:cs="Arial Bold"/>
          <w:b/>
          <w:bCs/>
        </w:rPr>
        <w:t>映射 A4：加减乘除 → 任务层级 (FT)</w:t>
      </w:r>
    </w:p>
    <w:p w14:paraId="1CFFB6E5">
      <w:pPr>
        <w:spacing w:after="120" w:line="300" w:lineRule="auto"/>
        <w:rPr>
          <w:rFonts w:hint="default" w:ascii="Arial" w:hAnsi="Arial" w:eastAsia="Arial" w:cs="Arial"/>
        </w:rPr>
      </w:pPr>
      <w:r>
        <w:rPr>
          <w:rFonts w:hint="default" w:ascii="Arial" w:hAnsi="Arial" w:eastAsia="Arial" w:cs="Arial"/>
        </w:rPr>
        <w:t>Authors' interpretation of the Other classification (not a recorded coder rationale): a utility rather than feedback in the strict pedagogical sense.</w:t>
      </w:r>
    </w:p>
    <w:p w14:paraId="2336A78E">
      <w:pPr>
        <w:spacing w:after="120" w:line="300" w:lineRule="auto"/>
        <w:rPr>
          <w:rFonts w:hint="default" w:ascii="Arial" w:hAnsi="Arial" w:eastAsia="Arial" w:cs="Arial"/>
        </w:rPr>
      </w:pPr>
      <w:r>
        <w:rPr>
          <w:rFonts w:hint="default" w:ascii="Arial" w:hAnsi="Arial" w:eastAsia="Arial" w:cs="Arial"/>
        </w:rPr>
        <w:t>作者对Other分类的解释（非已记录的编码者理由）：属于工具，而非严格教学意义上的反馈。</w:t>
      </w:r>
    </w:p>
    <w:p w14:paraId="5770FEA5">
      <w:pPr>
        <w:spacing w:after="120" w:line="300" w:lineRule="auto"/>
        <w:rPr>
          <w:rFonts w:hint="default" w:ascii="Arial" w:hAnsi="Arial" w:eastAsia="Arial" w:cs="Arial"/>
        </w:rPr>
      </w:pPr>
      <w:r>
        <w:rPr>
          <w:rFonts w:hint="default" w:ascii="Arial" w:hAnsi="Arial" w:eastAsia="Arial" w:cs="Arial"/>
        </w:rPr>
        <w:t>Author-level mapping rationale: The arithmetic calculator returns a numerical answer to a direct query. The historical author mapping treats this direct-answer function as an operational analogue of Task-level support. Although the calculator is not feedback in the strict pedagogical sense, its described function provides the basis for this feature-level assignment. This assignment is an operational proxy; it does not measure the cognitive process involved in each individual interaction.</w:t>
      </w:r>
    </w:p>
    <w:p w14:paraId="3994498A">
      <w:pPr>
        <w:spacing w:after="120" w:line="300" w:lineRule="auto"/>
        <w:rPr>
          <w:rFonts w:hint="default" w:ascii="Arial" w:hAnsi="Arial" w:eastAsia="Arial" w:cs="Arial"/>
        </w:rPr>
      </w:pPr>
      <w:r>
        <w:rPr>
          <w:rFonts w:hint="default" w:ascii="Arial" w:hAnsi="Arial" w:eastAsia="Arial" w:cs="Arial"/>
        </w:rPr>
        <w:t>作者级映射依据：算术计算器对直接查询返回数值答案。历史作者映射将这一直接提供答案的功能视为Task层级支持的操作化类比。尽管计算器不属于严格教学意</w:t>
      </w:r>
      <w:bookmarkStart w:id="0" w:name="_GoBack"/>
      <w:bookmarkEnd w:id="0"/>
      <w:r>
        <w:rPr>
          <w:rFonts w:hint="default" w:ascii="Arial" w:hAnsi="Arial" w:eastAsia="Arial" w:cs="Arial"/>
        </w:rPr>
        <w:t>义上的反馈，其功能描述仍构成这项功能级分类的依据。该分类是一种操作化代理，并不测量每次交互涉及的认知过程。</w:t>
      </w:r>
    </w:p>
    <w:p w14:paraId="586ED0B1">
      <w:pPr>
        <w:spacing w:after="120" w:line="300" w:lineRule="auto"/>
        <w:rPr>
          <w:rFonts w:hint="default" w:ascii="Arial Bold" w:hAnsi="Arial Bold" w:eastAsia="Arial" w:cs="Arial Bold"/>
          <w:b/>
          <w:bCs/>
        </w:rPr>
      </w:pPr>
      <w:r>
        <w:rPr>
          <w:rFonts w:hint="default" w:ascii="Arial Bold" w:hAnsi="Arial Bold" w:eastAsia="Arial" w:cs="Arial Bold"/>
          <w:b/>
          <w:bCs/>
        </w:rPr>
        <w:t>Mapping A5: From Course Information → Task (FT)</w:t>
      </w:r>
    </w:p>
    <w:p w14:paraId="75B35379">
      <w:pPr>
        <w:spacing w:after="120" w:line="300" w:lineRule="auto"/>
        <w:rPr>
          <w:rFonts w:hint="default" w:ascii="Arial Bold" w:hAnsi="Arial Bold" w:eastAsia="Arial" w:cs="Arial Bold"/>
          <w:b/>
          <w:bCs/>
        </w:rPr>
      </w:pPr>
      <w:r>
        <w:rPr>
          <w:rFonts w:hint="default" w:ascii="Arial Bold" w:hAnsi="Arial Bold" w:eastAsia="Arial" w:cs="Arial Bold"/>
          <w:b/>
          <w:bCs/>
        </w:rPr>
        <w:t>映射 A5：来自课程信息 → 任务层级 (FT)</w:t>
      </w:r>
    </w:p>
    <w:p w14:paraId="5D96FEB7">
      <w:pPr>
        <w:spacing w:after="120" w:line="300" w:lineRule="auto"/>
        <w:rPr>
          <w:rFonts w:hint="default" w:ascii="Arial" w:hAnsi="Arial" w:eastAsia="Arial" w:cs="Arial"/>
        </w:rPr>
      </w:pPr>
      <w:r>
        <w:rPr>
          <w:rFonts w:hint="default" w:ascii="Arial" w:hAnsi="Arial" w:eastAsia="Arial" w:cs="Arial"/>
        </w:rPr>
        <w:t>Authors' interpretation of the Other classification (not a recorded coder rationale): platform metadata lookup rather than learning content.</w:t>
      </w:r>
    </w:p>
    <w:p w14:paraId="1A683CF2">
      <w:pPr>
        <w:spacing w:after="120" w:line="300" w:lineRule="auto"/>
        <w:rPr>
          <w:rFonts w:hint="default" w:ascii="Arial" w:hAnsi="Arial" w:eastAsia="Arial" w:cs="Arial"/>
        </w:rPr>
      </w:pPr>
      <w:r>
        <w:rPr>
          <w:rFonts w:hint="default" w:ascii="Arial" w:hAnsi="Arial" w:eastAsia="Arial" w:cs="Arial"/>
        </w:rPr>
        <w:t>作者对Other分类的解释（非已记录的编码者理由）：平台元数据检索，而非学习内容。</w:t>
      </w:r>
    </w:p>
    <w:p w14:paraId="51358855">
      <w:pPr>
        <w:spacing w:after="120" w:line="300" w:lineRule="auto"/>
        <w:rPr>
          <w:rFonts w:hint="default" w:ascii="Arial" w:hAnsi="Arial" w:eastAsia="Arial" w:cs="Arial"/>
        </w:rPr>
      </w:pPr>
      <w:r>
        <w:rPr>
          <w:rFonts w:hint="default" w:ascii="Arial" w:hAnsi="Arial" w:eastAsia="Arial" w:cs="Arial"/>
        </w:rPr>
        <w:t>Author-level mapping rationale: Course information lookups (e.g., "which professors teach Course X") provide factual information in response to a direct query. The historical author mapping treats this direct-information function as Task-level support. As with the arithmetic calculator, the assignment uses the feature's described function as an operational proxy and does not measure the cognitive process involved in each individual interaction.</w:t>
      </w:r>
    </w:p>
    <w:p w14:paraId="358FBEEC">
      <w:pPr>
        <w:spacing w:after="120" w:line="300" w:lineRule="auto"/>
        <w:rPr>
          <w:rFonts w:hint="default" w:ascii="Arial" w:hAnsi="Arial" w:eastAsia="Arial" w:cs="Arial"/>
        </w:rPr>
      </w:pPr>
      <w:r>
        <w:rPr>
          <w:rFonts w:hint="default" w:ascii="Arial" w:hAnsi="Arial" w:eastAsia="Arial" w:cs="Arial"/>
        </w:rPr>
        <w:t>作者级映射依据：课程信息检索（如"哪些教授教X课程"）为直接查询提供事实性信息。历史作者映射将这一直接提供信息的功能归为Task层级支持。与算术计算器一样，该分类以功能描述作为操作化代理，并不测量每次交互涉及的认知过程。</w:t>
      </w:r>
    </w:p>
    <w:p w14:paraId="4F8DC89C">
      <w:pPr>
        <w:spacing w:after="120" w:line="300" w:lineRule="auto"/>
        <w:rPr>
          <w:rFonts w:hint="eastAsia" w:ascii="Arial" w:hAnsi="Arial" w:eastAsia="Arial" w:cs="Arial"/>
        </w:rPr>
      </w:pPr>
      <w:r>
        <w:rPr>
          <w:rFonts w:hint="eastAsia" w:ascii="Arial" w:hAnsi="Arial" w:eastAsia="宋体" w:cs="Arial"/>
          <w:b/>
          <w:bCs/>
          <w:color w:val="2E75B6"/>
          <w:sz w:val="26"/>
          <w:szCs w:val="26"/>
          <w:lang w:val="en-US" w:eastAsia="zh-CN"/>
        </w:rPr>
        <w:t>A.3</w:t>
      </w:r>
      <w:r>
        <w:rPr>
          <w:rFonts w:ascii="Arial" w:hAnsi="Arial" w:eastAsia="Arial" w:cs="Arial"/>
          <w:b/>
          <w:bCs/>
          <w:color w:val="2E75B6"/>
          <w:sz w:val="26"/>
          <w:szCs w:val="26"/>
        </w:rPr>
        <w:t xml:space="preserve"> </w:t>
      </w:r>
      <w:r>
        <w:rPr>
          <w:rFonts w:hint="eastAsia" w:ascii="Arial" w:hAnsi="Arial" w:eastAsia="Arial" w:cs="Arial"/>
          <w:b/>
          <w:bCs/>
          <w:color w:val="2E75B6"/>
          <w:sz w:val="26"/>
          <w:szCs w:val="26"/>
        </w:rPr>
        <w:t>Features Retained Outside the Four-Level Classification (2 features) 四层级分类之外保留的功能（2项）</w:t>
      </w:r>
    </w:p>
    <w:p w14:paraId="5AC46E81">
      <w:pPr>
        <w:spacing w:after="120" w:line="300" w:lineRule="auto"/>
        <w:rPr>
          <w:rFonts w:hint="eastAsia" w:ascii="Arial" w:hAnsi="Arial" w:eastAsia="Arial" w:cs="Arial"/>
        </w:rPr>
      </w:pPr>
      <w:r>
        <w:rPr>
          <w:rFonts w:hint="eastAsia" w:ascii="Arial" w:hAnsi="Arial" w:eastAsia="Arial" w:cs="Arial"/>
        </w:rPr>
        <w:t>The following t</w:t>
      </w:r>
      <w:r>
        <w:rPr>
          <w:rFonts w:hint="eastAsia" w:eastAsia="宋体" w:cs="Arial"/>
          <w:lang w:val="en-US" w:eastAsia="zh-CN"/>
        </w:rPr>
        <w:t>wo</w:t>
      </w:r>
      <w:r>
        <w:rPr>
          <w:rFonts w:hint="eastAsia" w:ascii="Arial" w:hAnsi="Arial" w:eastAsia="Arial" w:cs="Arial"/>
        </w:rPr>
        <w:t xml:space="preserve"> features, System Cannot Answer and Inappropriate Input (Filtered), were classified as Other by both coders and remain outside the four Hattie–Timperley-informed categories. Their interactions are retained in the dataset and in the denominator of all per-user AI-usage shares, but not in the effective-feedback numerator. TA Answer Browser is documented separately as Mapping A8.</w:t>
      </w:r>
    </w:p>
    <w:p w14:paraId="10B99665">
      <w:pPr>
        <w:spacing w:after="120" w:line="300" w:lineRule="auto"/>
        <w:rPr>
          <w:rFonts w:hint="eastAsia" w:ascii="Arial" w:hAnsi="Arial" w:eastAsia="宋体" w:cs="Arial"/>
          <w:lang w:eastAsia="zh-CN"/>
        </w:rPr>
      </w:pPr>
      <w:r>
        <w:rPr>
          <w:rFonts w:hint="eastAsia" w:ascii="Arial" w:hAnsi="Arial" w:eastAsia="Arial" w:cs="Arial"/>
        </w:rPr>
        <w:t>以下两项功能——System Cannot Answer与Inappropriate Input (Filtered)——均被两位编码者归为Other，且不计入四个参照Hattie–Timperley框架的类别。它们的交互保留在数据集及各用户AI使用占比的分母中，但不进入“有效反馈”的分子。TA Answer Browser的映射另见Mapping A8</w:t>
      </w:r>
      <w:r>
        <w:rPr>
          <w:rFonts w:hint="eastAsia" w:eastAsia="宋体" w:cs="Arial"/>
          <w:lang w:eastAsia="zh-CN"/>
        </w:rPr>
        <w:t>。</w:t>
      </w:r>
    </w:p>
    <w:p w14:paraId="169E1C52">
      <w:pPr>
        <w:spacing w:after="120" w:line="300" w:lineRule="auto"/>
        <w:rPr>
          <w:rFonts w:hint="default" w:ascii="Arial Bold" w:hAnsi="Arial Bold" w:eastAsia="Arial" w:cs="Arial Bold"/>
          <w:b/>
          <w:bCs/>
        </w:rPr>
      </w:pPr>
      <w:r>
        <w:rPr>
          <w:rFonts w:hint="default" w:ascii="Arial Bold" w:hAnsi="Arial Bold" w:eastAsia="Arial" w:cs="Arial Bold"/>
          <w:b/>
          <w:bCs/>
        </w:rPr>
        <w:t>Unmapped Feature A6: System Cannot Answer 未映射功能A6：系统无法回答</w:t>
      </w:r>
    </w:p>
    <w:p w14:paraId="148D72D1">
      <w:pPr>
        <w:spacing w:after="120" w:line="300" w:lineRule="auto"/>
        <w:rPr>
          <w:rFonts w:hint="default" w:ascii="Arial" w:hAnsi="Arial" w:eastAsia="Arial" w:cs="Arial"/>
          <w:b w:val="0"/>
          <w:bCs w:val="0"/>
        </w:rPr>
      </w:pPr>
      <w:r>
        <w:rPr>
          <w:rFonts w:hint="default" w:ascii="Arial" w:hAnsi="Arial" w:eastAsia="Arial" w:cs="Arial"/>
          <w:b w:val="0"/>
          <w:bCs w:val="0"/>
        </w:rPr>
        <w:t>The system explicitly returns "cannot answer." These interactions remain classified as Other and are excluded from the effective-feedback numerator, but retained in the denominator of per-user AI-usage shares.</w:t>
      </w:r>
    </w:p>
    <w:p w14:paraId="38C81506">
      <w:pPr>
        <w:spacing w:after="120" w:line="300" w:lineRule="auto"/>
        <w:rPr>
          <w:rFonts w:hint="eastAsia" w:ascii="Arial" w:hAnsi="Arial" w:eastAsia="Arial" w:cs="Arial"/>
          <w:b w:val="0"/>
          <w:bCs w:val="0"/>
        </w:rPr>
      </w:pPr>
      <w:r>
        <w:rPr>
          <w:rFonts w:hint="default" w:ascii="Arial Bold" w:hAnsi="Arial Bold" w:eastAsia="Arial" w:cs="Arial Bold"/>
          <w:b w:val="0"/>
          <w:bCs w:val="0"/>
        </w:rPr>
        <w:t>系统明确返回</w:t>
      </w:r>
      <w:r>
        <w:rPr>
          <w:rFonts w:hint="default" w:ascii="Arial" w:hAnsi="Arial" w:eastAsia="Arial" w:cs="Arial"/>
        </w:rPr>
        <w:t>"</w:t>
      </w:r>
      <w:r>
        <w:rPr>
          <w:rFonts w:hint="default" w:ascii="Arial Bold" w:hAnsi="Arial Bold" w:eastAsia="Arial" w:cs="Arial Bold"/>
          <w:b w:val="0"/>
          <w:bCs w:val="0"/>
        </w:rPr>
        <w:t>无法回答</w:t>
      </w:r>
      <w:r>
        <w:rPr>
          <w:rFonts w:hint="default" w:ascii="Arial" w:hAnsi="Arial" w:eastAsia="Arial" w:cs="Arial"/>
        </w:rPr>
        <w:t>"</w:t>
      </w:r>
      <w:r>
        <w:rPr>
          <w:rFonts w:hint="default" w:ascii="Arial Bold" w:hAnsi="Arial Bold" w:eastAsia="Arial" w:cs="Arial Bold"/>
          <w:b w:val="0"/>
          <w:bCs w:val="0"/>
        </w:rPr>
        <w:t>。这些交互保留为Other，不进入“有效反馈”的分子，但保留在各用户AI使用占比的分母中</w:t>
      </w:r>
      <w:r>
        <w:rPr>
          <w:rFonts w:hint="eastAsia" w:ascii="Arial" w:hAnsi="Arial" w:eastAsia="Arial" w:cs="Arial"/>
          <w:b w:val="0"/>
          <w:bCs w:val="0"/>
        </w:rPr>
        <w:t>。</w:t>
      </w:r>
    </w:p>
    <w:p w14:paraId="7CA0D84E">
      <w:pPr>
        <w:spacing w:after="120" w:line="300" w:lineRule="auto"/>
        <w:rPr>
          <w:rFonts w:hint="default" w:ascii="Arial Bold" w:hAnsi="Arial Bold" w:eastAsia="Arial" w:cs="Arial Bold"/>
          <w:b/>
          <w:bCs/>
        </w:rPr>
      </w:pPr>
      <w:r>
        <w:rPr>
          <w:rFonts w:hint="default" w:ascii="Arial Bold" w:hAnsi="Arial Bold" w:eastAsia="Arial" w:cs="Arial Bold"/>
          <w:b/>
          <w:bCs/>
        </w:rPr>
        <w:t>Unmapped Feature A7: Inappropriate Input (Filtered) 未映射功能A7：脏问题（过滤）</w:t>
      </w:r>
    </w:p>
    <w:p w14:paraId="57CF7B1A">
      <w:pPr>
        <w:spacing w:after="120" w:line="300" w:lineRule="auto"/>
        <w:rPr>
          <w:rFonts w:hint="eastAsia" w:ascii="Arial" w:hAnsi="Arial" w:eastAsia="Arial" w:cs="Arial"/>
        </w:rPr>
      </w:pPr>
      <w:r>
        <w:rPr>
          <w:rFonts w:hint="eastAsia" w:ascii="Arial" w:hAnsi="Arial" w:eastAsia="Arial" w:cs="Arial"/>
        </w:rPr>
        <w:t>Input is flagged as inappropriate and filtered by the system. These interactions remain classified as Other and are excluded from the effective-feedback numerator, but retained in the denominator of per-user AI-usage shares.</w:t>
      </w:r>
    </w:p>
    <w:p w14:paraId="0F224DD0">
      <w:pPr>
        <w:spacing w:after="120" w:line="300" w:lineRule="auto"/>
        <w:rPr>
          <w:rFonts w:hint="eastAsia" w:ascii="Arial" w:hAnsi="Arial" w:eastAsia="Arial" w:cs="Arial"/>
        </w:rPr>
      </w:pPr>
      <w:r>
        <w:rPr>
          <w:rFonts w:hint="eastAsia" w:ascii="Arial" w:hAnsi="Arial" w:eastAsia="Arial" w:cs="Arial"/>
        </w:rPr>
        <w:t>输入被系统标记为不当并过滤。这些交互保留为Other，不进入“有效反馈”的分子，但保留在各用户AI使用占比的分母中。</w:t>
      </w:r>
    </w:p>
    <w:p w14:paraId="6C27046B">
      <w:pPr>
        <w:spacing w:after="120" w:line="300" w:lineRule="auto"/>
        <w:rPr>
          <w:rFonts w:hint="default" w:ascii="Arial Bold" w:hAnsi="Arial Bold" w:eastAsia="Arial" w:cs="Arial Bold"/>
          <w:b/>
          <w:bCs/>
        </w:rPr>
      </w:pPr>
      <w:r>
        <w:rPr>
          <w:rFonts w:hint="eastAsia" w:ascii="Arial Bold" w:hAnsi="Arial Bold" w:eastAsia="宋体" w:cs="Arial Bold"/>
          <w:b/>
          <w:bCs/>
          <w:lang w:val="en-US" w:eastAsia="zh-CN"/>
        </w:rPr>
        <w:t>Mapping</w:t>
      </w:r>
      <w:r>
        <w:rPr>
          <w:rFonts w:hint="default" w:ascii="Arial Bold" w:hAnsi="Arial Bold" w:eastAsia="Arial" w:cs="Arial Bold"/>
          <w:b/>
          <w:bCs/>
        </w:rPr>
        <w:t xml:space="preserve"> A8: TA Answer Browser → Self-Regulation (FR) 映射 A8：助教回答浏览 → 自我调节 (FR)</w:t>
      </w:r>
    </w:p>
    <w:p w14:paraId="29C40641">
      <w:pPr>
        <w:spacing w:after="120" w:line="300" w:lineRule="auto"/>
        <w:rPr>
          <w:rFonts w:hint="eastAsia" w:ascii="Arial" w:hAnsi="Arial" w:eastAsia="Arial" w:cs="Arial"/>
        </w:rPr>
      </w:pPr>
      <w:r>
        <w:rPr>
          <w:rFonts w:hint="eastAsia" w:ascii="Arial" w:hAnsi="Arial" w:eastAsia="Arial" w:cs="Arial"/>
        </w:rPr>
        <w:t xml:space="preserve">The earlier author-level documentation treated this feature as navigation-only and outside the effective-feedback numerator, whereas the historical analysis pipeline classified it as Self-Regulation. The author-level interpretation treats browsing previously answered TA Q&amp;A as potentially supporting review and self-monitoring; the logs do not establish that such monitoring occurred. It contributes 758 interactions in the analytic sample (0.88% of all 85,815 interactions) and enters the historical effective-feedback numerator. This appendix documents the mapping as implemented. The coder-anchored sensitivity analysis (Section 4.7.2 of the manuscript) assigns TA Answer Browser to its adjudicated Other category as part of a complete alternative mapping. The resulting composite correlation is </w:t>
      </w:r>
      <w:r>
        <w:rPr>
          <w:rFonts w:hint="default" w:ascii="Arial Italic" w:hAnsi="Arial Italic" w:eastAsia="Arial" w:cs="Arial Italic"/>
          <w:i/>
          <w:iCs/>
        </w:rPr>
        <w:t>r</w:t>
      </w:r>
      <w:r>
        <w:rPr>
          <w:rFonts w:hint="eastAsia" w:ascii="Arial" w:hAnsi="Arial" w:eastAsia="Arial" w:cs="Arial"/>
        </w:rPr>
        <w:t xml:space="preserve"> = −.113, compared with </w:t>
      </w:r>
      <w:r>
        <w:rPr>
          <w:rFonts w:hint="default" w:ascii="Arial Italic" w:hAnsi="Arial Italic" w:eastAsia="Arial" w:cs="Arial Italic"/>
          <w:i/>
          <w:iCs/>
        </w:rPr>
        <w:t>r</w:t>
      </w:r>
      <w:r>
        <w:rPr>
          <w:rFonts w:hint="eastAsia" w:ascii="Arial" w:hAnsi="Arial" w:eastAsia="Arial" w:cs="Arial"/>
        </w:rPr>
        <w:t xml:space="preserve"> = −.103 under the historical feature mapping. The negative association persists under this complete alternative, but this comparison does not isolate the contribution of TA Answer Browser.</w:t>
      </w:r>
    </w:p>
    <w:p w14:paraId="75780EBF">
      <w:pPr>
        <w:spacing w:after="120" w:line="300" w:lineRule="auto"/>
        <w:rPr>
          <w:rFonts w:hint="eastAsia" w:ascii="Arial" w:hAnsi="Arial" w:eastAsia="Arial" w:cs="Arial"/>
          <w:highlight w:val="none"/>
        </w:rPr>
      </w:pPr>
      <w:r>
        <w:rPr>
          <w:rFonts w:hint="eastAsia" w:ascii="Arial" w:hAnsi="Arial" w:eastAsia="Arial" w:cs="Arial"/>
        </w:rPr>
        <w:t>较早的作者级文档将该功能视为纯导航功能，不计入“有效反馈”的分子；历史分析管线则将其归为Self-Regulation。作者级解释将浏览既有助教问答视为可能支持复习与自我监控，但日志不能证明这种监控实际发生。该功能在主分析样本中贡献758次交互（占全部85,815次交互的0.88%），计入历史“有效反馈”的分子。本附录按实际执行情况记录该映射。正文的编码者锚定敏感性分析（第4.7.2节）采用完整的替代映射，其中TA Answer Browser按裁决归为Other。所得复合占比相关为</w:t>
      </w:r>
      <w:r>
        <w:rPr>
          <w:rFonts w:hint="default" w:ascii="Arial Italic" w:hAnsi="Arial Italic" w:eastAsia="Arial" w:cs="Arial Italic"/>
          <w:i/>
          <w:iCs/>
        </w:rPr>
        <w:t>r</w:t>
      </w:r>
      <w:r>
        <w:rPr>
          <w:rFonts w:hint="eastAsia" w:ascii="Arial" w:hAnsi="Arial" w:eastAsia="Arial" w:cs="Arial"/>
        </w:rPr>
        <w:t xml:space="preserve"> = −.113，历史功能映射下为</w:t>
      </w:r>
      <w:r>
        <w:rPr>
          <w:rFonts w:hint="default" w:ascii="Arial Italic" w:hAnsi="Arial Italic" w:eastAsia="Arial" w:cs="Arial Italic"/>
          <w:i/>
          <w:iCs/>
        </w:rPr>
        <w:t>r</w:t>
      </w:r>
      <w:r>
        <w:rPr>
          <w:rFonts w:hint="eastAsia" w:ascii="Arial" w:hAnsi="Arial" w:eastAsia="Arial" w:cs="Arial"/>
        </w:rPr>
        <w:t xml:space="preserve"> = −.103。完整替代方案下负相关仍然存在，但该比较不能单独识别TA Answer Browser改类的影响</w:t>
      </w:r>
      <w:r>
        <w:rPr>
          <w:rFonts w:hint="eastAsia" w:ascii="Arial" w:hAnsi="Arial" w:eastAsia="Arial" w:cs="Arial"/>
          <w:highlight w:val="none"/>
        </w:rPr>
        <w:t>。</w:t>
      </w:r>
    </w:p>
    <w:p w14:paraId="7C0F963C">
      <w:pPr>
        <w:spacing w:after="120" w:line="300" w:lineRule="auto"/>
        <w:rPr>
          <w:rFonts w:hint="eastAsia" w:ascii="Arial" w:hAnsi="Arial" w:eastAsia="Arial" w:cs="Arial"/>
        </w:rPr>
      </w:pPr>
      <w:r>
        <w:rPr>
          <w:rFonts w:hint="eastAsia" w:ascii="Arial" w:hAnsi="Arial" w:eastAsia="宋体" w:cs="Arial"/>
          <w:b/>
          <w:bCs/>
          <w:color w:val="2E75B6"/>
          <w:sz w:val="26"/>
          <w:szCs w:val="26"/>
          <w:lang w:val="en-US" w:eastAsia="zh-CN"/>
        </w:rPr>
        <w:t>A.4</w:t>
      </w:r>
      <w:r>
        <w:rPr>
          <w:rFonts w:ascii="Arial" w:hAnsi="Arial" w:eastAsia="Arial" w:cs="Arial"/>
          <w:b/>
          <w:bCs/>
          <w:color w:val="2E75B6"/>
          <w:sz w:val="26"/>
          <w:szCs w:val="26"/>
        </w:rPr>
        <w:t xml:space="preserve"> </w:t>
      </w:r>
      <w:r>
        <w:rPr>
          <w:rFonts w:hint="eastAsia" w:ascii="Arial" w:hAnsi="Arial" w:eastAsia="Arial" w:cs="Arial"/>
          <w:b/>
          <w:bCs/>
          <w:color w:val="2E75B6"/>
          <w:sz w:val="26"/>
          <w:szCs w:val="26"/>
        </w:rPr>
        <w:t>Author Reclassification</w:t>
      </w:r>
      <w:r>
        <w:rPr>
          <w:rFonts w:hint="eastAsia" w:eastAsia="宋体" w:cs="Arial"/>
          <w:b/>
          <w:bCs/>
          <w:color w:val="2E75B6"/>
          <w:sz w:val="26"/>
          <w:szCs w:val="26"/>
          <w:lang w:val="en-US" w:eastAsia="zh-CN"/>
        </w:rPr>
        <w:t>s</w:t>
      </w:r>
      <w:r>
        <w:rPr>
          <w:rFonts w:hint="eastAsia" w:ascii="Arial" w:hAnsi="Arial" w:eastAsia="Arial" w:cs="Arial"/>
          <w:b/>
          <w:bCs/>
          <w:color w:val="2E75B6"/>
          <w:sz w:val="26"/>
          <w:szCs w:val="26"/>
        </w:rPr>
        <w:t xml:space="preserve"> (</w:t>
      </w:r>
      <w:r>
        <w:rPr>
          <w:rFonts w:hint="eastAsia" w:eastAsia="宋体" w:cs="Arial"/>
          <w:b/>
          <w:bCs/>
          <w:color w:val="2E75B6"/>
          <w:sz w:val="26"/>
          <w:szCs w:val="26"/>
          <w:lang w:val="en-US" w:eastAsia="zh-CN"/>
        </w:rPr>
        <w:t>2</w:t>
      </w:r>
      <w:r>
        <w:rPr>
          <w:rFonts w:hint="eastAsia" w:ascii="Arial" w:hAnsi="Arial" w:eastAsia="Arial" w:cs="Arial"/>
          <w:b/>
          <w:bCs/>
          <w:color w:val="2E75B6"/>
          <w:sz w:val="26"/>
          <w:szCs w:val="26"/>
        </w:rPr>
        <w:t xml:space="preserve"> feature</w:t>
      </w:r>
      <w:r>
        <w:rPr>
          <w:rFonts w:hint="eastAsia" w:eastAsia="宋体" w:cs="Arial"/>
          <w:b/>
          <w:bCs/>
          <w:color w:val="2E75B6"/>
          <w:sz w:val="26"/>
          <w:szCs w:val="26"/>
          <w:lang w:val="en-US" w:eastAsia="zh-CN"/>
        </w:rPr>
        <w:t>s</w:t>
      </w:r>
      <w:r>
        <w:rPr>
          <w:rFonts w:hint="eastAsia" w:ascii="Arial" w:hAnsi="Arial" w:eastAsia="Arial" w:cs="Arial"/>
          <w:b/>
          <w:bCs/>
          <w:color w:val="2E75B6"/>
          <w:sz w:val="26"/>
          <w:szCs w:val="26"/>
        </w:rPr>
        <w:t>) 作者重分类（</w:t>
      </w:r>
      <w:r>
        <w:rPr>
          <w:rFonts w:hint="eastAsia" w:eastAsia="宋体" w:cs="Arial"/>
          <w:b/>
          <w:bCs/>
          <w:color w:val="2E75B6"/>
          <w:sz w:val="26"/>
          <w:szCs w:val="26"/>
          <w:lang w:val="en-US" w:eastAsia="zh-CN"/>
        </w:rPr>
        <w:t>2</w:t>
      </w:r>
      <w:r>
        <w:rPr>
          <w:rFonts w:hint="eastAsia" w:ascii="Arial" w:hAnsi="Arial" w:eastAsia="Arial" w:cs="Arial"/>
          <w:b/>
          <w:bCs/>
          <w:color w:val="2E75B6"/>
          <w:sz w:val="26"/>
          <w:szCs w:val="26"/>
        </w:rPr>
        <w:t xml:space="preserve"> 项功能）</w:t>
      </w:r>
    </w:p>
    <w:p w14:paraId="201BCEAA">
      <w:pPr>
        <w:spacing w:after="120" w:line="300" w:lineRule="auto"/>
        <w:rPr>
          <w:rFonts w:hint="eastAsia" w:ascii="Arial" w:hAnsi="Arial" w:eastAsia="Arial" w:cs="Arial"/>
        </w:rPr>
      </w:pPr>
      <w:r>
        <w:rPr>
          <w:rFonts w:hint="eastAsia" w:ascii="Arial" w:hAnsi="Arial" w:eastAsia="Arial" w:cs="Arial"/>
        </w:rPr>
        <w:t xml:space="preserve">In </w:t>
      </w:r>
      <w:r>
        <w:rPr>
          <w:rFonts w:hint="eastAsia" w:eastAsia="宋体" w:cs="Arial"/>
          <w:lang w:val="en-US" w:eastAsia="zh-CN"/>
        </w:rPr>
        <w:t>two</w:t>
      </w:r>
      <w:r>
        <w:rPr>
          <w:rFonts w:hint="eastAsia" w:ascii="Arial" w:hAnsi="Arial" w:eastAsia="Arial" w:cs="Arial"/>
        </w:rPr>
        <w:t xml:space="preserve"> case</w:t>
      </w:r>
      <w:r>
        <w:rPr>
          <w:rFonts w:hint="eastAsia" w:eastAsia="宋体" w:cs="Arial"/>
          <w:lang w:val="en-US" w:eastAsia="zh-CN"/>
        </w:rPr>
        <w:t>s</w:t>
      </w:r>
      <w:r>
        <w:rPr>
          <w:rFonts w:hint="eastAsia" w:ascii="Arial" w:hAnsi="Arial" w:eastAsia="Arial" w:cs="Arial"/>
        </w:rPr>
        <w:t xml:space="preserve">, the final classification in Table 1 differs from the coders' consensus classification rather than from an "Other" mapping. </w:t>
      </w:r>
      <w:r>
        <w:rPr>
          <w:rFonts w:hint="eastAsia" w:eastAsia="宋体" w:cs="Arial"/>
          <w:lang w:val="en-US" w:eastAsia="zh-CN"/>
        </w:rPr>
        <w:t>These are</w:t>
      </w:r>
      <w:r>
        <w:rPr>
          <w:rFonts w:hint="eastAsia" w:ascii="Arial" w:hAnsi="Arial" w:eastAsia="Arial" w:cs="Arial"/>
        </w:rPr>
        <w:t xml:space="preserve"> documented separately for transparency.</w:t>
      </w:r>
    </w:p>
    <w:p w14:paraId="25B368F7">
      <w:pPr>
        <w:spacing w:after="120" w:line="300" w:lineRule="auto"/>
        <w:rPr>
          <w:rFonts w:hint="eastAsia" w:ascii="Arial" w:hAnsi="Arial" w:eastAsia="Arial" w:cs="Arial"/>
        </w:rPr>
      </w:pPr>
      <w:r>
        <w:rPr>
          <w:rFonts w:hint="eastAsia" w:ascii="Arial" w:hAnsi="Arial" w:eastAsia="Arial" w:cs="Arial"/>
        </w:rPr>
        <w:t>有两项功能的 Table 1 最终分类与编码者一致意见不同（且不属于 "Other" 的映射问题）。为透明化目的，单独说明如下。</w:t>
      </w:r>
    </w:p>
    <w:p w14:paraId="0861BB1F">
      <w:pPr>
        <w:spacing w:after="120" w:line="300" w:lineRule="auto"/>
        <w:rPr>
          <w:rFonts w:hint="default" w:ascii="Arial Bold" w:hAnsi="Arial Bold" w:eastAsia="Arial" w:cs="Arial Bold"/>
          <w:b/>
          <w:bCs/>
        </w:rPr>
      </w:pPr>
      <w:r>
        <w:rPr>
          <w:rFonts w:hint="default" w:ascii="Arial Bold" w:hAnsi="Arial Bold" w:eastAsia="Arial" w:cs="Arial Bold"/>
          <w:b/>
          <w:bCs/>
        </w:rPr>
        <w:t>Reclassification B1: From MOOCCube — Coders' consensus: Task (FT) → Table 1: Process (FP)</w:t>
      </w:r>
    </w:p>
    <w:p w14:paraId="45D29524">
      <w:pPr>
        <w:spacing w:after="120" w:line="300" w:lineRule="auto"/>
        <w:rPr>
          <w:rFonts w:hint="eastAsia" w:ascii="Arial" w:hAnsi="Arial" w:eastAsia="Arial" w:cs="Arial"/>
        </w:rPr>
      </w:pPr>
      <w:r>
        <w:rPr>
          <w:rFonts w:hint="default" w:ascii="Arial Bold" w:hAnsi="Arial Bold" w:eastAsia="Arial" w:cs="Arial Bold"/>
          <w:b/>
          <w:bCs/>
        </w:rPr>
        <w:t>重分类 B1：来自 MOOCCube — 编码者一致：Task (FT) → 正文 Table 1：Process (FP)</w:t>
      </w:r>
    </w:p>
    <w:p w14:paraId="2C2E4AA9">
      <w:pPr>
        <w:spacing w:after="120" w:line="300" w:lineRule="auto"/>
        <w:rPr>
          <w:rFonts w:hint="eastAsia" w:ascii="Arial" w:hAnsi="Arial" w:eastAsia="Arial" w:cs="Arial"/>
        </w:rPr>
      </w:pPr>
      <w:r>
        <w:rPr>
          <w:rFonts w:hint="eastAsia" w:ascii="Arial" w:hAnsi="Arial" w:eastAsia="Arial" w:cs="Arial"/>
        </w:rPr>
        <w:t>Both coders independently classified From MOOCCube as Task-level feedback. In Table 1 and the historical primary analyses, the author mapping instead treats it as Process-level, based on an interpretation of its knowledge-base function as potentially supporting conceptual connections. This is an author-level operational judgement rather than a coder consensus or a verified measure of the cognitive activity in individual interactions.</w:t>
      </w:r>
    </w:p>
    <w:p w14:paraId="5E959571">
      <w:pPr>
        <w:spacing w:after="120" w:line="300" w:lineRule="auto"/>
        <w:rPr>
          <w:rFonts w:hint="eastAsia" w:ascii="Arial" w:hAnsi="Arial" w:eastAsia="Arial" w:cs="Arial"/>
        </w:rPr>
      </w:pPr>
      <w:r>
        <w:rPr>
          <w:rFonts w:hint="eastAsia" w:ascii="Arial" w:hAnsi="Arial" w:eastAsia="Arial" w:cs="Arial"/>
        </w:rPr>
        <w:t>两位编码者均独立地将From MOOCCube归为Task层级反馈。在正文Table 1与历史主分析中，作者映射将其归为Process层级，依据是将其知识库功能解释为可能支持概念联系。这属于作者级操作化判断，并非编码者共识，也不是对单次交互中认知活动的经验证实。</w:t>
      </w:r>
    </w:p>
    <w:p w14:paraId="716BFEEF">
      <w:pPr>
        <w:spacing w:after="120" w:line="300" w:lineRule="auto"/>
        <w:rPr>
          <w:rFonts w:hint="eastAsia" w:ascii="Arial" w:hAnsi="Arial" w:eastAsia="Arial" w:cs="Arial"/>
        </w:rPr>
      </w:pPr>
      <w:r>
        <w:rPr>
          <w:rFonts w:hint="eastAsia" w:ascii="Arial" w:hAnsi="Arial" w:eastAsia="Arial" w:cs="Arial"/>
        </w:rPr>
        <w:t>The raw five-category κ = .716 reported in Section 3.4.4 includes this item as an agreement between coders. The coder-anchored sensitivity analysis in Section 4.7.2 restores this feature to Task together with all other departures from the coder-anchored mapping. That analysis does not isolate the effect of reclassifying From MOOCCube alone. The separate KG Navigation sensitivity analysis in Section 4.6 should not be interpreted as testing the From MOOCCube reassignment.</w:t>
      </w:r>
    </w:p>
    <w:p w14:paraId="5F5EA32C">
      <w:pPr>
        <w:spacing w:after="120" w:line="300" w:lineRule="auto"/>
        <w:rPr>
          <w:rFonts w:hint="eastAsia" w:ascii="Arial" w:hAnsi="Arial" w:eastAsia="Arial" w:cs="Arial"/>
        </w:rPr>
      </w:pPr>
      <w:r>
        <w:rPr>
          <w:rFonts w:hint="eastAsia" w:ascii="Arial" w:hAnsi="Arial" w:eastAsia="Arial" w:cs="Arial"/>
        </w:rPr>
        <w:t>正文第3.4.4节报告的原始五分类κ = .716将此项作为编码者间一致的条目纳入。第4.7.2节的编码者锚定敏感性分析将该功能恢复为Task，并同时恢复其他偏离编码者锚定分类的映射。该分析不能单独识别From MOOCCube改类的影响。第4.6节单独针对KG Navigation开展的敏感性分析，也不应被解释为检验了From MOOCCube的改类。</w:t>
      </w:r>
    </w:p>
    <w:p w14:paraId="5612B60B">
      <w:pPr>
        <w:spacing w:after="120" w:line="300" w:lineRule="auto"/>
        <w:rPr>
          <w:rFonts w:hint="default" w:ascii="Arial Bold" w:hAnsi="Arial Bold" w:eastAsia="Arial" w:cs="Arial Bold"/>
          <w:b/>
          <w:bCs/>
        </w:rPr>
      </w:pPr>
      <w:r>
        <w:rPr>
          <w:rFonts w:hint="default" w:ascii="Arial Bold" w:hAnsi="Arial Bold" w:eastAsia="Arial" w:cs="Arial Bold"/>
          <w:b/>
          <w:bCs/>
        </w:rPr>
        <w:t>Reclassification B2: Pop-up Reflection Question — Coders' consensus: Process (FP) → Table 1: Self-Regulation (FR)</w:t>
      </w:r>
    </w:p>
    <w:p w14:paraId="4E89B824">
      <w:pPr>
        <w:spacing w:after="120" w:line="300" w:lineRule="auto"/>
        <w:rPr>
          <w:rFonts w:hint="default" w:ascii="Arial Bold" w:hAnsi="Arial Bold" w:eastAsia="Arial" w:cs="Arial Bold"/>
          <w:b/>
          <w:bCs/>
        </w:rPr>
      </w:pPr>
      <w:r>
        <w:rPr>
          <w:rFonts w:hint="default" w:ascii="Arial Bold" w:hAnsi="Arial Bold" w:eastAsia="Arial" w:cs="Arial Bold"/>
          <w:b/>
          <w:bCs/>
        </w:rPr>
        <w:t>重分类 B2：飘窗回答 — 编码者一致：Process (FP) → 正文 Table 1：自我调节 (FR)</w:t>
      </w:r>
    </w:p>
    <w:p w14:paraId="2B3D4220">
      <w:pPr>
        <w:spacing w:after="120" w:line="300" w:lineRule="auto"/>
        <w:rPr>
          <w:rFonts w:hint="eastAsia" w:ascii="Arial" w:hAnsi="Arial" w:eastAsia="Arial" w:cs="Arial"/>
        </w:rPr>
      </w:pPr>
      <w:r>
        <w:rPr>
          <w:rFonts w:hint="eastAsia" w:ascii="Arial" w:hAnsi="Arial" w:eastAsia="Arial" w:cs="Arial"/>
        </w:rPr>
        <w:t xml:space="preserve">Both coders independently classified Pop-up Reflection Question as Process-level. In Table 1 and the historical primary analyses, it is classified as Self-Regulation, reflecting the author's interpretation of the feature as potentially prompting learners to evaluate their own understanding. The feature label does not establish that learners actually engaged in self-monitoring. It contributes 753 interactions in the analytic sample. This is an author-level judgement that departs from the coders' consensus. The coder-anchored sensitivity analysis (Section 4.7.2) restores this feature to Process as part of a complete alternative mapping. The resulting composite correlation is </w:t>
      </w:r>
      <w:r>
        <w:rPr>
          <w:rFonts w:hint="default" w:ascii="Arial Italic" w:hAnsi="Arial Italic" w:eastAsia="Arial" w:cs="Arial Italic"/>
          <w:i/>
          <w:iCs/>
        </w:rPr>
        <w:t>r</w:t>
      </w:r>
      <w:r>
        <w:rPr>
          <w:rFonts w:hint="eastAsia" w:ascii="Arial" w:hAnsi="Arial" w:eastAsia="Arial" w:cs="Arial"/>
        </w:rPr>
        <w:t xml:space="preserve"> = −.113, compared with </w:t>
      </w:r>
      <w:r>
        <w:rPr>
          <w:rFonts w:hint="default" w:ascii="Arial Italic" w:hAnsi="Arial Italic" w:eastAsia="Arial" w:cs="Arial Italic"/>
          <w:i/>
          <w:iCs/>
        </w:rPr>
        <w:t>r</w:t>
      </w:r>
      <w:r>
        <w:rPr>
          <w:rFonts w:hint="eastAsia" w:ascii="Arial" w:hAnsi="Arial" w:eastAsia="Arial" w:cs="Arial"/>
        </w:rPr>
        <w:t xml:space="preserve"> = −.103 under the historical feature mapping. The negative association persists under this complete alternative, but this comparison does not isolate the contribution of Pop-up Reflection Question.</w:t>
      </w:r>
    </w:p>
    <w:p w14:paraId="30D73F63">
      <w:pPr>
        <w:spacing w:after="120" w:line="300" w:lineRule="auto"/>
        <w:rPr>
          <w:rFonts w:hint="eastAsia" w:ascii="Arial" w:hAnsi="Arial" w:eastAsia="Arial" w:cs="Arial"/>
        </w:rPr>
      </w:pPr>
      <w:r>
        <w:rPr>
          <w:rFonts w:hint="eastAsia" w:ascii="Arial" w:hAnsi="Arial" w:eastAsia="Arial" w:cs="Arial"/>
        </w:rPr>
        <w:t>两位编码者均独立地将Pop-up Reflection Question归为Process层级。正文Table 1与历史主分析将其归为Self-Regulation，反映了作者将该功能解释为可能提示学习者评估自身理解的判断。功能标签不能证明学习者实际进行了自我监控。该功能在主分析样本中贡献753次交互。这是一项偏离编码者共识的作者级判断。编码者锚定敏感性分析（第4.7.2节）采用完整的替代映射，其中该功能恢复为Process。所得复合占比相关为</w:t>
      </w:r>
      <w:r>
        <w:rPr>
          <w:rFonts w:hint="default" w:ascii="Arial Italic" w:hAnsi="Arial Italic" w:eastAsia="Arial" w:cs="Arial Italic"/>
          <w:i/>
          <w:iCs/>
        </w:rPr>
        <w:t>r</w:t>
      </w:r>
      <w:r>
        <w:rPr>
          <w:rFonts w:hint="eastAsia" w:ascii="Arial" w:hAnsi="Arial" w:eastAsia="Arial" w:cs="Arial"/>
        </w:rPr>
        <w:t xml:space="preserve"> = −.113，历史功能映射下为</w:t>
      </w:r>
      <w:r>
        <w:rPr>
          <w:rFonts w:hint="default" w:ascii="Arial Italic" w:hAnsi="Arial Italic" w:eastAsia="Arial" w:cs="Arial Italic"/>
          <w:i/>
          <w:iCs/>
        </w:rPr>
        <w:t>r</w:t>
      </w:r>
      <w:r>
        <w:rPr>
          <w:rFonts w:hint="eastAsia" w:ascii="Arial" w:hAnsi="Arial" w:eastAsia="Arial" w:cs="Arial"/>
        </w:rPr>
        <w:t xml:space="preserve"> = −.103。完整替代方案下负相关仍然存在，但该比较不能单独识别Pop-up Reflection Question改类的影响。</w:t>
      </w:r>
    </w:p>
    <w:p w14:paraId="29B4B37A">
      <w:pPr>
        <w:spacing w:after="120" w:line="300" w:lineRule="auto"/>
        <w:rPr>
          <w:rFonts w:hint="eastAsia" w:ascii="Arial" w:hAnsi="Arial" w:eastAsia="Arial" w:cs="Arial"/>
        </w:rPr>
      </w:pPr>
      <w:r>
        <w:rPr>
          <w:rFonts w:hint="eastAsia" w:ascii="Arial" w:hAnsi="Arial" w:eastAsia="宋体" w:cs="Arial"/>
          <w:b/>
          <w:bCs/>
          <w:color w:val="2E75B6"/>
          <w:sz w:val="26"/>
          <w:szCs w:val="26"/>
          <w:lang w:val="en-US" w:eastAsia="zh-CN"/>
        </w:rPr>
        <w:t>A.5</w:t>
      </w:r>
      <w:r>
        <w:rPr>
          <w:rFonts w:ascii="Arial" w:hAnsi="Arial" w:eastAsia="Arial" w:cs="Arial"/>
          <w:b/>
          <w:bCs/>
          <w:color w:val="2E75B6"/>
          <w:sz w:val="26"/>
          <w:szCs w:val="26"/>
        </w:rPr>
        <w:t xml:space="preserve"> </w:t>
      </w:r>
      <w:r>
        <w:rPr>
          <w:rFonts w:hint="eastAsia" w:ascii="Arial" w:hAnsi="Arial" w:eastAsia="Arial" w:cs="Arial"/>
          <w:b/>
          <w:bCs/>
          <w:color w:val="2E75B6"/>
          <w:sz w:val="26"/>
          <w:szCs w:val="26"/>
        </w:rPr>
        <w:t>Agreement After Deterministic Author-Level Remapping 确定性作者级重映射后的一致性</w:t>
      </w:r>
    </w:p>
    <w:p w14:paraId="05A32696">
      <w:pPr>
        <w:spacing w:after="120" w:line="300" w:lineRule="auto"/>
        <w:rPr>
          <w:rFonts w:hint="eastAsia" w:ascii="Arial" w:hAnsi="Arial" w:eastAsia="Arial" w:cs="Arial"/>
        </w:rPr>
      </w:pPr>
      <w:r>
        <w:rPr>
          <w:rFonts w:hint="eastAsia" w:ascii="Arial" w:hAnsi="Arial" w:eastAsia="Arial" w:cs="Arial"/>
        </w:rPr>
        <w:t>To document agreement after deterministic remapping, we transformed each coder's raw Other responses using the author-level rules in A.2 and Mapping A8. All non-Other responses were retained as originally coded. Thus, both coders' From MOOCCube ratings remained Task and both Pop-up Reflection Question ratings remained Process, whereas the separate author-final classification assigned these features to Process and Self-Regulation, respectively. For TA Answer Browser, Coder 1's Other response was mapped to Self-Regulation and Coder 2's Task response was retained. System Cannot Answer and Inappropriate Input were labelled Excluded in the remapped and author-final columns; Excluded was treated as a category in the κ calculations, not as a reason to remove either feature. All calculations included the same 16 features.</w:t>
      </w:r>
    </w:p>
    <w:p w14:paraId="6C716C73">
      <w:pPr>
        <w:spacing w:after="120" w:line="300" w:lineRule="auto"/>
        <w:rPr>
          <w:rFonts w:hint="eastAsia" w:ascii="Arial" w:hAnsi="Arial" w:eastAsia="Arial" w:cs="Arial"/>
        </w:rPr>
      </w:pPr>
      <w:r>
        <w:rPr>
          <w:rFonts w:hint="eastAsia" w:ascii="Arial" w:hAnsi="Arial" w:eastAsia="Arial" w:cs="Arial"/>
        </w:rPr>
        <w:t>为记录确定性重映射后的一致性，我们根据A.2及Mapping A8的作者级规则转换每位编码者原始评分中的Other；所有非Other评分均保持原样。因此，两位编码者对From MOOCCube的评分仍为Task，对Pop-up Reflection Question的评分仍为Process；单独的作者最终分类列则将两项分别列为Process和Self-Regulation。对于TA Answer Browser，仅将编码者1的Other转换为Self-Regulation，编码者2的Task保持不变。System Cannot Answer与Inappropriate Input在重映射列和作者最终列中使用Excluded标签；在κ计算中，Excluded作为一个类别保留，并不意味着删除这两项功能。所有计算均纳入同样的16项功能。</w:t>
      </w:r>
    </w:p>
    <w:p w14:paraId="39223C46">
      <w:pPr>
        <w:spacing w:after="120" w:line="300" w:lineRule="auto"/>
        <w:rPr>
          <w:rFonts w:hint="eastAsia" w:ascii="Arial" w:hAnsi="Arial" w:eastAsia="Arial" w:cs="Arial"/>
        </w:rPr>
      </w:pPr>
      <w:r>
        <w:rPr>
          <w:rFonts w:hint="eastAsia" w:ascii="Arial" w:hAnsi="Arial" w:eastAsia="Arial" w:cs="Arial"/>
        </w:rPr>
        <w:t>The agreement statistics after this deterministic remapping are:</w:t>
      </w:r>
    </w:p>
    <w:p w14:paraId="70D56B89">
      <w:pPr>
        <w:spacing w:after="120" w:line="300" w:lineRule="auto"/>
        <w:rPr>
          <w:rFonts w:hint="eastAsia" w:ascii="Arial" w:hAnsi="Arial" w:eastAsia="Arial" w:cs="Arial"/>
        </w:rPr>
      </w:pPr>
      <w:r>
        <w:rPr>
          <w:rFonts w:hint="eastAsia" w:ascii="Arial" w:hAnsi="Arial" w:eastAsia="Arial" w:cs="Arial"/>
        </w:rPr>
        <w:t>上述确定性重映射后的一致性统计量如下：</w:t>
      </w:r>
    </w:p>
    <w:p w14:paraId="2B4E583E">
      <w:pPr>
        <w:keepNext/>
        <w:keepLines/>
        <w:pageBreakBefore w:val="0"/>
        <w:widowControl w:val="0"/>
        <w:kinsoku/>
        <w:wordWrap/>
        <w:overflowPunct/>
        <w:topLinePunct w:val="0"/>
        <w:autoSpaceDE/>
        <w:autoSpaceDN/>
        <w:bidi w:val="0"/>
        <w:adjustRightInd/>
        <w:snapToGrid/>
        <w:spacing w:after="120" w:line="300" w:lineRule="auto"/>
        <w:textAlignment w:val="auto"/>
        <w:rPr>
          <w:rFonts w:hint="default" w:ascii="Arial Bold" w:hAnsi="Arial Bold" w:eastAsia="Arial" w:cs="Arial Bold"/>
          <w:b/>
          <w:bCs/>
        </w:rPr>
      </w:pPr>
      <w:r>
        <w:rPr>
          <w:rFonts w:hint="default" w:ascii="Arial Bold" w:hAnsi="Arial Bold" w:eastAsia="Arial" w:cs="Arial Bold"/>
          <w:b/>
          <w:bCs/>
        </w:rPr>
        <w:t>Table A1. Agreement Statistics After Deterministic Author-Level Remapping</w:t>
      </w:r>
    </w:p>
    <w:tbl>
      <w:tblPr>
        <w:tblStyle w:val="12"/>
        <w:tblW w:w="4887" w:type="pct"/>
        <w:jc w:val="center"/>
        <w:tblBorders>
          <w:top w:val="single" w:color="D7D7D7" w:themeColor="background1" w:themeShade="D8" w:sz="2" w:space="0"/>
          <w:left w:val="single" w:color="D7D7D7" w:themeColor="background1" w:themeShade="D8" w:sz="2" w:space="0"/>
          <w:bottom w:val="single" w:color="D7D7D7" w:themeColor="background1" w:themeShade="D8" w:sz="2" w:space="0"/>
          <w:right w:val="single" w:color="D7D7D7" w:themeColor="background1" w:themeShade="D8" w:sz="2" w:space="0"/>
          <w:insideH w:val="single" w:color="D7D7D7" w:themeColor="background1" w:themeShade="D8" w:sz="2" w:space="0"/>
          <w:insideV w:val="single" w:color="D7D7D7" w:themeColor="background1" w:themeShade="D8" w:sz="2" w:space="0"/>
        </w:tblBorders>
        <w:tblLayout w:type="autofit"/>
        <w:tblCellMar>
          <w:top w:w="0" w:type="dxa"/>
          <w:left w:w="108" w:type="dxa"/>
          <w:bottom w:w="0" w:type="dxa"/>
          <w:right w:w="108" w:type="dxa"/>
        </w:tblCellMar>
      </w:tblPr>
      <w:tblGrid>
        <w:gridCol w:w="4724"/>
        <w:gridCol w:w="1493"/>
        <w:gridCol w:w="3143"/>
      </w:tblGrid>
      <w:tr w14:paraId="14B40A58">
        <w:trPr>
          <w:trHeight w:val="410" w:hRule="atLeast"/>
          <w:jc w:val="center"/>
        </w:trPr>
        <w:tc>
          <w:tcPr>
            <w:tcW w:w="2523" w:type="pct"/>
            <w:tcBorders>
              <w:tl2br w:val="nil"/>
              <w:tr2bl w:val="nil"/>
            </w:tcBorders>
            <w:shd w:val="clear" w:color="auto" w:fill="366091" w:themeFill="accent1" w:themeFillShade="BF"/>
            <w:vAlign w:val="center"/>
          </w:tcPr>
          <w:p w14:paraId="6CE1BC26">
            <w:pPr>
              <w:keepNext/>
              <w:keepLines/>
              <w:pageBreakBefore w:val="0"/>
              <w:widowControl w:val="0"/>
              <w:kinsoku/>
              <w:wordWrap/>
              <w:overflowPunct/>
              <w:topLinePunct w:val="0"/>
              <w:autoSpaceDE/>
              <w:autoSpaceDN/>
              <w:bidi w:val="0"/>
              <w:adjustRightInd/>
              <w:snapToGrid/>
              <w:spacing w:line="0" w:lineRule="atLeast"/>
              <w:jc w:val="both"/>
              <w:textAlignment w:val="auto"/>
              <w:rPr>
                <w:rFonts w:hint="default" w:ascii="Arial Bold" w:hAnsi="Arial Bold" w:eastAsia="Arial" w:cs="Arial Bold"/>
                <w:b w:val="0"/>
                <w:bCs/>
                <w:color w:val="FFFFFF" w:themeColor="background1"/>
                <w:vertAlign w:val="baseline"/>
                <w14:textFill>
                  <w14:solidFill>
                    <w14:schemeClr w14:val="bg1"/>
                  </w14:solidFill>
                </w14:textFill>
              </w:rPr>
            </w:pPr>
            <w:r>
              <w:rPr>
                <w:rFonts w:hint="default" w:ascii="Arial Bold" w:hAnsi="Arial Bold" w:eastAsia="Arial" w:cs="Arial Bold"/>
                <w:b w:val="0"/>
                <w:bCs/>
                <w:color w:val="FFFFFF" w:themeColor="background1"/>
                <w:vertAlign w:val="baseline"/>
                <w14:textFill>
                  <w14:solidFill>
                    <w14:schemeClr w14:val="bg1"/>
                  </w14:solidFill>
                </w14:textFill>
              </w:rPr>
              <w:t>Statistic 统计量</w:t>
            </w:r>
          </w:p>
        </w:tc>
        <w:tc>
          <w:tcPr>
            <w:tcW w:w="797" w:type="pct"/>
            <w:tcBorders>
              <w:tl2br w:val="nil"/>
              <w:tr2bl w:val="nil"/>
            </w:tcBorders>
            <w:shd w:val="clear" w:color="auto" w:fill="366091" w:themeFill="accent1" w:themeFillShade="BF"/>
            <w:vAlign w:val="center"/>
          </w:tcPr>
          <w:p w14:paraId="6E50ECAB">
            <w:pPr>
              <w:keepNext/>
              <w:keepLines/>
              <w:pageBreakBefore w:val="0"/>
              <w:widowControl w:val="0"/>
              <w:kinsoku/>
              <w:wordWrap/>
              <w:overflowPunct/>
              <w:topLinePunct w:val="0"/>
              <w:autoSpaceDE/>
              <w:autoSpaceDN/>
              <w:bidi w:val="0"/>
              <w:adjustRightInd/>
              <w:snapToGrid/>
              <w:spacing w:line="0" w:lineRule="atLeast"/>
              <w:jc w:val="center"/>
              <w:textAlignment w:val="auto"/>
              <w:rPr>
                <w:rFonts w:hint="default" w:ascii="Arial Bold" w:hAnsi="Arial Bold" w:eastAsia="Arial" w:cs="Arial Bold"/>
                <w:b w:val="0"/>
                <w:bCs/>
                <w:color w:val="FFFFFF" w:themeColor="background1"/>
                <w:vertAlign w:val="baseline"/>
                <w14:textFill>
                  <w14:solidFill>
                    <w14:schemeClr w14:val="bg1"/>
                  </w14:solidFill>
                </w14:textFill>
              </w:rPr>
            </w:pPr>
            <w:r>
              <w:rPr>
                <w:rFonts w:hint="default" w:ascii="Arial Bold" w:hAnsi="Arial Bold" w:eastAsia="Arial" w:cs="Arial Bold"/>
                <w:b w:val="0"/>
                <w:bCs/>
                <w:color w:val="FFFFFF" w:themeColor="background1"/>
                <w:vertAlign w:val="baseline"/>
                <w14:textFill>
                  <w14:solidFill>
                    <w14:schemeClr w14:val="bg1"/>
                  </w14:solidFill>
                </w14:textFill>
              </w:rPr>
              <w:t>Value 数值</w:t>
            </w:r>
          </w:p>
        </w:tc>
        <w:tc>
          <w:tcPr>
            <w:tcW w:w="1678" w:type="pct"/>
            <w:tcBorders>
              <w:tl2br w:val="nil"/>
              <w:tr2bl w:val="nil"/>
            </w:tcBorders>
            <w:shd w:val="clear" w:color="auto" w:fill="366091" w:themeFill="accent1" w:themeFillShade="BF"/>
            <w:vAlign w:val="center"/>
          </w:tcPr>
          <w:p w14:paraId="3B7853DF">
            <w:pPr>
              <w:keepNext/>
              <w:keepLines/>
              <w:pageBreakBefore w:val="0"/>
              <w:widowControl w:val="0"/>
              <w:kinsoku/>
              <w:wordWrap/>
              <w:overflowPunct/>
              <w:topLinePunct w:val="0"/>
              <w:autoSpaceDE/>
              <w:autoSpaceDN/>
              <w:bidi w:val="0"/>
              <w:adjustRightInd/>
              <w:snapToGrid/>
              <w:spacing w:line="0" w:lineRule="atLeast"/>
              <w:jc w:val="center"/>
              <w:textAlignment w:val="auto"/>
              <w:rPr>
                <w:rFonts w:hint="default" w:ascii="Arial Bold" w:hAnsi="Arial Bold" w:eastAsia="Arial" w:cs="Arial Bold"/>
                <w:b w:val="0"/>
                <w:bCs/>
                <w:color w:val="FFFFFF" w:themeColor="background1"/>
                <w:vertAlign w:val="baseline"/>
                <w14:textFill>
                  <w14:solidFill>
                    <w14:schemeClr w14:val="bg1"/>
                  </w14:solidFill>
                </w14:textFill>
              </w:rPr>
            </w:pPr>
            <w:r>
              <w:rPr>
                <w:rFonts w:hint="default" w:ascii="Arial Bold" w:hAnsi="Arial Bold" w:eastAsia="Arial" w:cs="Arial Bold"/>
                <w:b w:val="0"/>
                <w:bCs/>
                <w:color w:val="FFFFFF" w:themeColor="background1"/>
                <w:vertAlign w:val="baseline"/>
                <w14:textFill>
                  <w14:solidFill>
                    <w14:schemeClr w14:val="bg1"/>
                  </w14:solidFill>
                </w14:textFill>
              </w:rPr>
              <w:t>Interpretation 解读</w:t>
            </w:r>
          </w:p>
        </w:tc>
      </w:tr>
      <w:tr w14:paraId="36902764">
        <w:trPr>
          <w:trHeight w:val="685" w:hRule="atLeast"/>
          <w:jc w:val="center"/>
        </w:trPr>
        <w:tc>
          <w:tcPr>
            <w:tcW w:w="2523" w:type="pct"/>
            <w:tcBorders>
              <w:tl2br w:val="nil"/>
              <w:tr2bl w:val="nil"/>
            </w:tcBorders>
            <w:shd w:val="clear" w:color="auto" w:fill="FFFFFF"/>
            <w:vAlign w:val="center"/>
          </w:tcPr>
          <w:p w14:paraId="1AAF32A7">
            <w:pPr>
              <w:keepNext/>
              <w:keepLines/>
              <w:pageBreakBefore w:val="0"/>
              <w:widowControl w:val="0"/>
              <w:kinsoku/>
              <w:wordWrap/>
              <w:overflowPunct/>
              <w:topLinePunct w:val="0"/>
              <w:autoSpaceDE/>
              <w:autoSpaceDN/>
              <w:bidi w:val="0"/>
              <w:adjustRightInd/>
              <w:snapToGrid/>
              <w:spacing w:line="0" w:lineRule="atLeast"/>
              <w:jc w:val="both"/>
              <w:textAlignment w:val="auto"/>
              <w:rPr>
                <w:rFonts w:hint="eastAsia" w:ascii="Arial" w:hAnsi="Arial" w:eastAsia="Arial" w:cs="Arial"/>
                <w:b w:val="0"/>
                <w:color w:val="000000"/>
                <w:vertAlign w:val="baseline"/>
              </w:rPr>
            </w:pPr>
            <w:r>
              <w:rPr>
                <w:rFonts w:hint="eastAsia" w:ascii="Arial" w:hAnsi="Arial" w:eastAsia="Arial" w:cs="Arial"/>
                <w:b w:val="0"/>
                <w:color w:val="000000"/>
                <w:vertAlign w:val="baseline"/>
              </w:rPr>
              <w:t>Remapped Coder 1 vs. Remapped Coder 2</w:t>
            </w:r>
          </w:p>
        </w:tc>
        <w:tc>
          <w:tcPr>
            <w:tcW w:w="797" w:type="pct"/>
            <w:tcBorders>
              <w:tl2br w:val="nil"/>
              <w:tr2bl w:val="nil"/>
            </w:tcBorders>
            <w:shd w:val="clear" w:color="auto" w:fill="FFFFFF"/>
            <w:vAlign w:val="center"/>
          </w:tcPr>
          <w:p w14:paraId="3F658AF6">
            <w:pPr>
              <w:keepNext/>
              <w:keepLines/>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Arial" w:cs="Arial"/>
                <w:b w:val="0"/>
                <w:color w:val="000000"/>
                <w:sz w:val="22"/>
                <w:szCs w:val="22"/>
              </w:rPr>
            </w:pPr>
            <w:r>
              <w:rPr>
                <w:rFonts w:hint="eastAsia" w:ascii="Arial" w:hAnsi="Arial" w:eastAsia="Arial" w:cs="Arial"/>
                <w:b w:val="0"/>
                <w:color w:val="000000"/>
                <w:sz w:val="22"/>
                <w:szCs w:val="22"/>
              </w:rPr>
              <w:t>κ = .743</w:t>
            </w:r>
          </w:p>
        </w:tc>
        <w:tc>
          <w:tcPr>
            <w:tcW w:w="1678" w:type="pct"/>
            <w:tcBorders>
              <w:tl2br w:val="nil"/>
              <w:tr2bl w:val="nil"/>
            </w:tcBorders>
            <w:shd w:val="clear" w:color="auto" w:fill="FFFFFF"/>
            <w:vAlign w:val="center"/>
          </w:tcPr>
          <w:p w14:paraId="0A664C53">
            <w:pPr>
              <w:keepNext/>
              <w:keepLines/>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Arial" w:cs="Arial"/>
                <w:b w:val="0"/>
                <w:color w:val="000000"/>
                <w:vertAlign w:val="baseline"/>
              </w:rPr>
            </w:pPr>
            <w:r>
              <w:rPr>
                <w:rFonts w:hint="eastAsia" w:ascii="Arial" w:hAnsi="Arial" w:eastAsia="Arial" w:cs="Arial"/>
                <w:b w:val="0"/>
                <w:color w:val="000000"/>
                <w:vertAlign w:val="baseline"/>
              </w:rPr>
              <w:t>Substantial agreement (Landis &amp; Koch, 1977)</w:t>
            </w:r>
          </w:p>
        </w:tc>
      </w:tr>
      <w:tr w14:paraId="4C4694C8">
        <w:trPr>
          <w:trHeight w:val="626" w:hRule="atLeast"/>
          <w:jc w:val="center"/>
        </w:trPr>
        <w:tc>
          <w:tcPr>
            <w:tcW w:w="2523" w:type="pct"/>
            <w:tcBorders>
              <w:tl2br w:val="nil"/>
              <w:tr2bl w:val="nil"/>
            </w:tcBorders>
            <w:shd w:val="clear" w:color="auto" w:fill="FFFFFF"/>
            <w:vAlign w:val="center"/>
          </w:tcPr>
          <w:p w14:paraId="29DD8D3A">
            <w:pPr>
              <w:keepNext/>
              <w:keepLines/>
              <w:pageBreakBefore w:val="0"/>
              <w:widowControl w:val="0"/>
              <w:kinsoku/>
              <w:wordWrap/>
              <w:overflowPunct/>
              <w:topLinePunct w:val="0"/>
              <w:autoSpaceDE/>
              <w:autoSpaceDN/>
              <w:bidi w:val="0"/>
              <w:adjustRightInd/>
              <w:snapToGrid/>
              <w:spacing w:line="0" w:lineRule="atLeast"/>
              <w:jc w:val="both"/>
              <w:textAlignment w:val="auto"/>
              <w:rPr>
                <w:rFonts w:hint="eastAsia" w:ascii="Arial" w:hAnsi="Arial" w:eastAsia="Arial" w:cs="Arial"/>
                <w:b w:val="0"/>
                <w:color w:val="000000"/>
                <w:vertAlign w:val="baseline"/>
              </w:rPr>
            </w:pPr>
            <w:r>
              <w:rPr>
                <w:rFonts w:hint="eastAsia" w:ascii="Arial" w:hAnsi="Arial" w:eastAsia="Arial" w:cs="Arial"/>
                <w:b w:val="0"/>
                <w:color w:val="000000"/>
                <w:vertAlign w:val="baseline"/>
              </w:rPr>
              <w:t>Remapped Coder 1 vs. author-final classification</w:t>
            </w:r>
          </w:p>
        </w:tc>
        <w:tc>
          <w:tcPr>
            <w:tcW w:w="797" w:type="pct"/>
            <w:tcBorders>
              <w:tl2br w:val="nil"/>
              <w:tr2bl w:val="nil"/>
            </w:tcBorders>
            <w:shd w:val="clear" w:color="auto" w:fill="FFFFFF"/>
            <w:vAlign w:val="center"/>
          </w:tcPr>
          <w:p w14:paraId="3E431140">
            <w:pPr>
              <w:keepNext/>
              <w:keepLines/>
              <w:pageBreakBefore w:val="0"/>
              <w:widowControl w:val="0"/>
              <w:kinsoku/>
              <w:wordWrap/>
              <w:overflowPunct/>
              <w:topLinePunct w:val="0"/>
              <w:autoSpaceDE/>
              <w:autoSpaceDN/>
              <w:bidi w:val="0"/>
              <w:adjustRightInd/>
              <w:snapToGrid/>
              <w:spacing w:line="0" w:lineRule="atLeast"/>
              <w:jc w:val="center"/>
              <w:textAlignment w:val="auto"/>
              <w:rPr>
                <w:rFonts w:hint="default" w:ascii="Arial" w:hAnsi="Arial" w:eastAsia="宋体" w:cs="Arial"/>
                <w:b w:val="0"/>
                <w:color w:val="000000"/>
                <w:vertAlign w:val="baseline"/>
                <w:lang w:val="en-US" w:eastAsia="zh-CN"/>
              </w:rPr>
            </w:pPr>
            <w:r>
              <w:rPr>
                <w:rFonts w:hint="eastAsia" w:ascii="Arial" w:hAnsi="Arial" w:eastAsia="Arial" w:cs="Arial"/>
                <w:b w:val="0"/>
                <w:color w:val="000000"/>
                <w:vertAlign w:val="baseline"/>
              </w:rPr>
              <w:t>κ = .</w:t>
            </w:r>
            <w:r>
              <w:rPr>
                <w:rFonts w:hint="eastAsia" w:eastAsia="宋体" w:cs="Arial"/>
                <w:b w:val="0"/>
                <w:color w:val="000000"/>
                <w:vertAlign w:val="baseline"/>
                <w:lang w:val="en-US" w:eastAsia="zh-CN"/>
              </w:rPr>
              <w:t>668</w:t>
            </w:r>
          </w:p>
        </w:tc>
        <w:tc>
          <w:tcPr>
            <w:tcW w:w="1678" w:type="pct"/>
            <w:tcBorders>
              <w:tl2br w:val="nil"/>
              <w:tr2bl w:val="nil"/>
            </w:tcBorders>
            <w:shd w:val="clear" w:color="auto" w:fill="FFFFFF"/>
            <w:vAlign w:val="center"/>
          </w:tcPr>
          <w:p w14:paraId="338B9FDE">
            <w:pPr>
              <w:keepNext/>
              <w:keepLines/>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Arial" w:cs="Arial"/>
                <w:b w:val="0"/>
                <w:color w:val="000000"/>
                <w:vertAlign w:val="baseline"/>
              </w:rPr>
            </w:pPr>
            <w:r>
              <w:rPr>
                <w:rFonts w:hint="eastAsia" w:ascii="Arial" w:hAnsi="Arial" w:eastAsia="Arial" w:cs="Arial"/>
                <w:b w:val="0"/>
                <w:color w:val="000000"/>
                <w:vertAlign w:val="baseline"/>
              </w:rPr>
              <w:t>Substantial agreement</w:t>
            </w:r>
          </w:p>
        </w:tc>
      </w:tr>
      <w:tr w14:paraId="21E4DBA1">
        <w:trPr>
          <w:trHeight w:val="640" w:hRule="atLeast"/>
          <w:jc w:val="center"/>
        </w:trPr>
        <w:tc>
          <w:tcPr>
            <w:tcW w:w="2523" w:type="pct"/>
            <w:tcBorders>
              <w:tl2br w:val="nil"/>
              <w:tr2bl w:val="nil"/>
            </w:tcBorders>
            <w:shd w:val="clear" w:color="auto" w:fill="FFFFFF"/>
            <w:vAlign w:val="center"/>
          </w:tcPr>
          <w:p w14:paraId="2296DCC2">
            <w:pPr>
              <w:keepNext/>
              <w:keepLines/>
              <w:pageBreakBefore w:val="0"/>
              <w:widowControl w:val="0"/>
              <w:kinsoku/>
              <w:wordWrap/>
              <w:overflowPunct/>
              <w:topLinePunct w:val="0"/>
              <w:autoSpaceDE/>
              <w:autoSpaceDN/>
              <w:bidi w:val="0"/>
              <w:adjustRightInd/>
              <w:snapToGrid/>
              <w:spacing w:line="0" w:lineRule="atLeast"/>
              <w:jc w:val="both"/>
              <w:textAlignment w:val="auto"/>
              <w:rPr>
                <w:rFonts w:hint="eastAsia" w:ascii="Arial" w:hAnsi="Arial" w:eastAsia="Arial" w:cs="Arial"/>
                <w:b w:val="0"/>
                <w:color w:val="000000"/>
                <w:vertAlign w:val="baseline"/>
              </w:rPr>
            </w:pPr>
            <w:r>
              <w:rPr>
                <w:rFonts w:hint="eastAsia" w:ascii="Arial" w:hAnsi="Arial" w:eastAsia="Arial" w:cs="Arial"/>
                <w:b w:val="0"/>
                <w:color w:val="000000"/>
                <w:vertAlign w:val="baseline"/>
              </w:rPr>
              <w:t>Remapped Coder 2 vs. author-final classification</w:t>
            </w:r>
          </w:p>
        </w:tc>
        <w:tc>
          <w:tcPr>
            <w:tcW w:w="797" w:type="pct"/>
            <w:tcBorders>
              <w:tl2br w:val="nil"/>
              <w:tr2bl w:val="nil"/>
            </w:tcBorders>
            <w:shd w:val="clear" w:color="auto" w:fill="FFFFFF"/>
            <w:vAlign w:val="center"/>
          </w:tcPr>
          <w:p w14:paraId="3D0B103C">
            <w:pPr>
              <w:keepNext/>
              <w:keepLines/>
              <w:pageBreakBefore w:val="0"/>
              <w:widowControl w:val="0"/>
              <w:kinsoku/>
              <w:wordWrap/>
              <w:overflowPunct/>
              <w:topLinePunct w:val="0"/>
              <w:autoSpaceDE/>
              <w:autoSpaceDN/>
              <w:bidi w:val="0"/>
              <w:adjustRightInd/>
              <w:snapToGrid/>
              <w:spacing w:line="0" w:lineRule="atLeast"/>
              <w:jc w:val="center"/>
              <w:textAlignment w:val="auto"/>
              <w:rPr>
                <w:rFonts w:hint="default" w:ascii="Arial" w:hAnsi="Arial" w:eastAsia="宋体" w:cs="Arial"/>
                <w:b w:val="0"/>
                <w:color w:val="000000"/>
                <w:vertAlign w:val="baseline"/>
                <w:lang w:val="en-US" w:eastAsia="zh-CN"/>
              </w:rPr>
            </w:pPr>
            <w:r>
              <w:rPr>
                <w:rFonts w:hint="eastAsia" w:ascii="Arial" w:hAnsi="Arial" w:eastAsia="Arial" w:cs="Arial"/>
                <w:b w:val="0"/>
                <w:color w:val="000000"/>
                <w:vertAlign w:val="baseline"/>
              </w:rPr>
              <w:t>κ = .</w:t>
            </w:r>
            <w:r>
              <w:rPr>
                <w:rFonts w:hint="eastAsia" w:eastAsia="宋体" w:cs="Arial"/>
                <w:b w:val="0"/>
                <w:color w:val="000000"/>
                <w:vertAlign w:val="baseline"/>
                <w:lang w:val="en-US" w:eastAsia="zh-CN"/>
              </w:rPr>
              <w:t>755</w:t>
            </w:r>
          </w:p>
        </w:tc>
        <w:tc>
          <w:tcPr>
            <w:tcW w:w="1678" w:type="pct"/>
            <w:tcBorders>
              <w:tl2br w:val="nil"/>
              <w:tr2bl w:val="nil"/>
            </w:tcBorders>
            <w:shd w:val="clear" w:color="auto" w:fill="FFFFFF"/>
            <w:vAlign w:val="center"/>
          </w:tcPr>
          <w:p w14:paraId="0BF0C1D2">
            <w:pPr>
              <w:keepNext/>
              <w:keepLines/>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Arial" w:cs="Arial"/>
                <w:b w:val="0"/>
                <w:color w:val="000000"/>
                <w:vertAlign w:val="baseline"/>
              </w:rPr>
            </w:pPr>
            <w:r>
              <w:rPr>
                <w:rFonts w:hint="eastAsia" w:ascii="Arial" w:hAnsi="Arial" w:eastAsia="Arial" w:cs="Arial"/>
                <w:b w:val="0"/>
                <w:color w:val="000000"/>
                <w:vertAlign w:val="baseline"/>
              </w:rPr>
              <w:t>Substantial agreement</w:t>
            </w:r>
          </w:p>
        </w:tc>
      </w:tr>
      <w:tr w14:paraId="69AEAD24">
        <w:trPr>
          <w:trHeight w:val="636" w:hRule="atLeast"/>
          <w:jc w:val="center"/>
        </w:trPr>
        <w:tc>
          <w:tcPr>
            <w:tcW w:w="2523" w:type="pct"/>
            <w:tcBorders>
              <w:tl2br w:val="nil"/>
              <w:tr2bl w:val="nil"/>
            </w:tcBorders>
            <w:shd w:val="clear" w:color="auto" w:fill="FFFFFF"/>
            <w:vAlign w:val="center"/>
          </w:tcPr>
          <w:p w14:paraId="3D6086BA">
            <w:pPr>
              <w:keepNext/>
              <w:keepLines/>
              <w:pageBreakBefore w:val="0"/>
              <w:widowControl w:val="0"/>
              <w:kinsoku/>
              <w:wordWrap/>
              <w:overflowPunct/>
              <w:topLinePunct w:val="0"/>
              <w:autoSpaceDE/>
              <w:autoSpaceDN/>
              <w:bidi w:val="0"/>
              <w:adjustRightInd/>
              <w:snapToGrid/>
              <w:spacing w:line="0" w:lineRule="atLeast"/>
              <w:jc w:val="both"/>
              <w:textAlignment w:val="auto"/>
              <w:rPr>
                <w:rFonts w:hint="eastAsia" w:ascii="Arial" w:hAnsi="Arial" w:eastAsia="Arial" w:cs="Arial"/>
                <w:b w:val="0"/>
                <w:color w:val="000000"/>
                <w:vertAlign w:val="baseline"/>
              </w:rPr>
            </w:pPr>
            <w:r>
              <w:rPr>
                <w:rFonts w:hint="eastAsia" w:ascii="Arial" w:hAnsi="Arial" w:eastAsia="Arial" w:cs="Arial"/>
                <w:b w:val="0"/>
                <w:color w:val="000000"/>
                <w:vertAlign w:val="baseline"/>
              </w:rPr>
              <w:t>Mean (remapped coders vs. author-final classification)</w:t>
            </w:r>
          </w:p>
        </w:tc>
        <w:tc>
          <w:tcPr>
            <w:tcW w:w="797" w:type="pct"/>
            <w:tcBorders>
              <w:tl2br w:val="nil"/>
              <w:tr2bl w:val="nil"/>
            </w:tcBorders>
            <w:shd w:val="clear" w:color="auto" w:fill="FFFFFF"/>
            <w:vAlign w:val="center"/>
          </w:tcPr>
          <w:p w14:paraId="53C0653B">
            <w:pPr>
              <w:keepNext/>
              <w:keepLines/>
              <w:pageBreakBefore w:val="0"/>
              <w:widowControl w:val="0"/>
              <w:kinsoku/>
              <w:wordWrap/>
              <w:overflowPunct/>
              <w:topLinePunct w:val="0"/>
              <w:autoSpaceDE/>
              <w:autoSpaceDN/>
              <w:bidi w:val="0"/>
              <w:adjustRightInd/>
              <w:snapToGrid/>
              <w:spacing w:line="0" w:lineRule="atLeast"/>
              <w:jc w:val="center"/>
              <w:textAlignment w:val="auto"/>
              <w:rPr>
                <w:rFonts w:hint="default" w:ascii="Arial" w:hAnsi="Arial" w:eastAsia="宋体" w:cs="Arial"/>
                <w:b w:val="0"/>
                <w:color w:val="000000"/>
                <w:vertAlign w:val="baseline"/>
                <w:lang w:val="en-US" w:eastAsia="zh-CN"/>
              </w:rPr>
            </w:pPr>
            <w:r>
              <w:rPr>
                <w:rFonts w:hint="eastAsia" w:ascii="Arial" w:hAnsi="Arial" w:eastAsia="Arial" w:cs="Arial"/>
                <w:b w:val="0"/>
                <w:color w:val="000000"/>
                <w:vertAlign w:val="baseline"/>
              </w:rPr>
              <w:t>κ = .</w:t>
            </w:r>
            <w:r>
              <w:rPr>
                <w:rFonts w:hint="eastAsia" w:eastAsia="宋体" w:cs="Arial"/>
                <w:b w:val="0"/>
                <w:color w:val="000000"/>
                <w:vertAlign w:val="baseline"/>
                <w:lang w:val="en-US" w:eastAsia="zh-CN"/>
              </w:rPr>
              <w:t>712</w:t>
            </w:r>
          </w:p>
        </w:tc>
        <w:tc>
          <w:tcPr>
            <w:tcW w:w="1678" w:type="pct"/>
            <w:tcBorders>
              <w:tl2br w:val="nil"/>
              <w:tr2bl w:val="nil"/>
            </w:tcBorders>
            <w:shd w:val="clear" w:color="auto" w:fill="FFFFFF"/>
            <w:vAlign w:val="center"/>
          </w:tcPr>
          <w:p w14:paraId="09B52E7D">
            <w:pPr>
              <w:keepNext/>
              <w:keepLines/>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Arial" w:cs="Arial"/>
                <w:b w:val="0"/>
                <w:color w:val="000000"/>
                <w:vertAlign w:val="baseline"/>
              </w:rPr>
            </w:pPr>
            <w:r>
              <w:rPr>
                <w:rFonts w:hint="eastAsia" w:ascii="Arial" w:hAnsi="Arial" w:eastAsia="Arial" w:cs="Arial"/>
                <w:b w:val="0"/>
                <w:color w:val="000000"/>
                <w:vertAlign w:val="baseline"/>
              </w:rPr>
              <w:t>Substantial agreement</w:t>
            </w:r>
          </w:p>
        </w:tc>
      </w:tr>
    </w:tbl>
    <w:p w14:paraId="32646E82">
      <w:pPr>
        <w:spacing w:after="120" w:line="300" w:lineRule="auto"/>
        <w:rPr>
          <w:rFonts w:hint="eastAsia" w:ascii="Arial" w:hAnsi="Arial" w:eastAsia="Arial" w:cs="Arial"/>
        </w:rPr>
      </w:pPr>
    </w:p>
    <w:p w14:paraId="4A4062E6">
      <w:pPr>
        <w:spacing w:after="120" w:line="300" w:lineRule="auto"/>
        <w:rPr>
          <w:rFonts w:hint="eastAsia" w:ascii="Arial" w:hAnsi="Arial" w:eastAsia="Arial" w:cs="Arial"/>
        </w:rPr>
      </w:pPr>
      <w:r>
        <w:rPr>
          <w:rFonts w:hint="eastAsia" w:ascii="Arial" w:hAnsi="Arial" w:eastAsia="Arial" w:cs="Arial"/>
        </w:rPr>
        <w:t>Agreement between the remapped coder classifications remained 13/16, with κ = .743. Agreement between each remapped coder classification and the author-final classification was κ = .668 for Coder 1 and κ = .755 for Coder 2 (mean κ = .712). These statistics concern different classification comparisons from the raw five-category inter-coder κ = .716. They document classification provenance after deterministic remapping and do not constitute a new independent coding exercise or evidence of construct validity.</w:t>
      </w:r>
    </w:p>
    <w:p w14:paraId="419A18AA">
      <w:pPr>
        <w:spacing w:after="120" w:line="300" w:lineRule="auto"/>
        <w:rPr>
          <w:rFonts w:hint="eastAsia" w:ascii="Arial" w:hAnsi="Arial" w:eastAsia="Arial" w:cs="Arial"/>
        </w:rPr>
      </w:pPr>
      <w:r>
        <w:rPr>
          <w:rFonts w:hint="eastAsia" w:ascii="Arial" w:hAnsi="Arial" w:eastAsia="Arial" w:cs="Arial"/>
        </w:rPr>
        <w:t>重映射后两位编码者的逐项一致数仍为13/16，κ = .743。重映射后的编码者分类与作者最终分类之间的一致性分别为κ = .668（编码者1）和κ = .755（编码者2），均值为.712。这些统计量的比较对象不同于原始五分类的编码者间κ = .716。它们用于记录确定性重映射后的分类过程，不构成新的独立编码，也不是构念效度的证据。</w:t>
      </w:r>
    </w:p>
    <w:p w14:paraId="2D76D761">
      <w:pPr>
        <w:spacing w:after="120" w:line="300" w:lineRule="auto"/>
        <w:rPr>
          <w:rFonts w:hint="eastAsia" w:ascii="Arial" w:hAnsi="Arial" w:eastAsia="Arial" w:cs="Arial"/>
        </w:rPr>
      </w:pPr>
      <w:r>
        <w:rPr>
          <w:rFonts w:hint="eastAsia" w:ascii="Arial" w:hAnsi="Arial" w:eastAsia="Arial" w:cs="Arial"/>
        </w:rPr>
        <w:t>The script</w:t>
      </w:r>
      <w:r>
        <w:rPr>
          <w:rFonts w:hint="eastAsia" w:eastAsia="宋体" w:cs="Arial"/>
          <w:lang w:val="en-US" w:eastAsia="zh-CN"/>
        </w:rPr>
        <w:t>s</w:t>
      </w:r>
      <w:r>
        <w:rPr>
          <w:rFonts w:hint="eastAsia" w:ascii="Arial" w:hAnsi="Arial" w:eastAsia="Arial" w:cs="Arial"/>
        </w:rPr>
        <w:t xml:space="preserve"> for reproducing the raw five-category and post-remapping agreement statistics are compute_irr.py and compute_irr_author_final.py, respectively. The repository locations are 02_analysis/compute_irr.py and 02_analysis/compute_irr_author_final.py.</w:t>
      </w:r>
    </w:p>
    <w:p w14:paraId="26458942">
      <w:pPr>
        <w:spacing w:after="120" w:line="300" w:lineRule="auto"/>
        <w:rPr>
          <w:rFonts w:hint="eastAsia" w:ascii="Arial" w:hAnsi="Arial" w:eastAsia="Arial" w:cs="Arial"/>
        </w:rPr>
      </w:pPr>
      <w:r>
        <w:rPr>
          <w:rFonts w:hint="eastAsia" w:ascii="Arial" w:hAnsi="Arial" w:eastAsia="Arial" w:cs="Arial"/>
        </w:rPr>
        <w:t>复现原始五分类与重映射后一致性统计量的脚本分别为compute_irr.py与compute_irr_author_final.py。仓库中的对应路径为02_analysis/compute_irr.py与02_analysis/compute_irr_author_final.py。</w:t>
      </w:r>
    </w:p>
    <w:p w14:paraId="1DEA6B01">
      <w:pPr>
        <w:spacing w:after="120" w:line="300" w:lineRule="auto"/>
        <w:rPr>
          <w:rFonts w:hint="eastAsia" w:ascii="Arial" w:hAnsi="Arial" w:eastAsia="Arial" w:cs="Arial"/>
        </w:rPr>
      </w:pPr>
      <w:r>
        <w:rPr>
          <w:rFonts w:hint="eastAsia" w:ascii="Arial" w:hAnsi="Arial" w:eastAsia="宋体" w:cs="Arial"/>
          <w:b/>
          <w:bCs/>
          <w:color w:val="2E75B6"/>
          <w:sz w:val="26"/>
          <w:szCs w:val="26"/>
          <w:lang w:val="en-US" w:eastAsia="zh-CN"/>
        </w:rPr>
        <w:t>A.</w:t>
      </w:r>
      <w:r>
        <w:rPr>
          <w:rFonts w:hint="eastAsia" w:eastAsia="宋体" w:cs="Arial"/>
          <w:b/>
          <w:bCs/>
          <w:color w:val="2E75B6"/>
          <w:sz w:val="26"/>
          <w:szCs w:val="26"/>
          <w:lang w:val="en-US" w:eastAsia="zh-CN"/>
        </w:rPr>
        <w:t>6</w:t>
      </w:r>
      <w:r>
        <w:rPr>
          <w:rFonts w:ascii="Arial" w:hAnsi="Arial" w:eastAsia="Arial" w:cs="Arial"/>
          <w:b/>
          <w:bCs/>
          <w:color w:val="2E75B6"/>
          <w:sz w:val="26"/>
          <w:szCs w:val="26"/>
        </w:rPr>
        <w:t xml:space="preserve"> </w:t>
      </w:r>
      <w:r>
        <w:rPr>
          <w:rFonts w:hint="eastAsia" w:ascii="Arial" w:hAnsi="Arial" w:eastAsia="Arial" w:cs="Arial"/>
          <w:b/>
          <w:bCs/>
          <w:color w:val="2E75B6"/>
          <w:sz w:val="26"/>
          <w:szCs w:val="26"/>
        </w:rPr>
        <w:t>Complete Feature Mappings and the Baike-Variant Exception 完整功能映射与Baike变体例外</w:t>
      </w:r>
    </w:p>
    <w:p w14:paraId="07A67633">
      <w:pPr>
        <w:spacing w:after="120" w:line="300" w:lineRule="auto"/>
        <w:rPr>
          <w:rFonts w:hint="eastAsia" w:ascii="Arial" w:hAnsi="Arial" w:eastAsia="Arial" w:cs="Arial"/>
        </w:rPr>
      </w:pPr>
      <w:r>
        <w:rPr>
          <w:rFonts w:hint="eastAsia" w:ascii="Arial" w:hAnsi="Arial" w:eastAsia="Arial" w:cs="Arial"/>
        </w:rPr>
        <w:t>The table below presents the raw coder ratings, the coder-anchored classification, and the historical author mapping for all 16 base features. The coder-anchored classification retains the raw agreements and the documented adjudications for the three disagreements: From Turing Bot → Self; From Aminer → Process; TA Answer Browser → Other. It does not apply subsequent author remapping. The counts are interactions in the main analytic sample and sum to 85,815. T = Task; P = Process; R = Self-Regulation; S = Self; O = Other.</w:t>
      </w:r>
    </w:p>
    <w:p w14:paraId="48BD6009">
      <w:pPr>
        <w:spacing w:after="120" w:line="300" w:lineRule="auto"/>
        <w:rPr>
          <w:rFonts w:hint="eastAsia" w:ascii="Arial" w:hAnsi="Arial" w:eastAsia="Arial" w:cs="Arial"/>
        </w:rPr>
      </w:pPr>
      <w:r>
        <w:rPr>
          <w:rFonts w:hint="eastAsia" w:ascii="Arial" w:hAnsi="Arial" w:eastAsia="Arial" w:cs="Arial"/>
        </w:rPr>
        <w:t>下表列出全部16项基础功能的原始编码评分、编码者锚定分类与历史作者映射。编码者锚定分类保留原始编码共识，并采用三项分歧的已记录裁决：From Turing Bot → Self；From Aminer → Process；TA Answer Browser → Other，不再应用后续作者重映射。交互数来自主分析样本，合计85,815。T = Task；P = Process；R = Self-Regulation；S = Self；O = Other。</w:t>
      </w:r>
    </w:p>
    <w:p w14:paraId="5A4E1F4E">
      <w:pPr>
        <w:spacing w:after="120" w:line="300" w:lineRule="auto"/>
        <w:rPr>
          <w:rFonts w:hint="default" w:ascii="Arial Bold" w:hAnsi="Arial Bold" w:eastAsia="Arial" w:cs="Arial Bold"/>
          <w:b/>
          <w:bCs/>
        </w:rPr>
      </w:pPr>
      <w:r>
        <w:rPr>
          <w:rFonts w:hint="default" w:ascii="Arial Bold" w:hAnsi="Arial Bold" w:eastAsia="Arial" w:cs="Arial Bold"/>
          <w:b/>
          <w:bCs/>
        </w:rPr>
        <w:t>Table A2. Raw Coder Ratings, Coder-Anchored Classifications, and Historical Author Mappings</w:t>
      </w:r>
    </w:p>
    <w:tbl>
      <w:tblPr>
        <w:tblStyle w:val="12"/>
        <w:tblW w:w="4994" w:type="pct"/>
        <w:jc w:val="center"/>
        <w:tblBorders>
          <w:top w:val="single" w:color="D7D7D7" w:themeColor="background1" w:themeShade="D8" w:sz="2" w:space="0"/>
          <w:left w:val="single" w:color="D7D7D7" w:themeColor="background1" w:themeShade="D8" w:sz="2" w:space="0"/>
          <w:bottom w:val="single" w:color="D7D7D7" w:themeColor="background1" w:themeShade="D8" w:sz="2" w:space="0"/>
          <w:right w:val="single" w:color="D7D7D7" w:themeColor="background1" w:themeShade="D8" w:sz="2" w:space="0"/>
          <w:insideH w:val="single" w:color="D7D7D7" w:themeColor="background1" w:themeShade="D8" w:sz="2" w:space="0"/>
          <w:insideV w:val="single" w:color="D7D7D7" w:themeColor="background1" w:themeShade="D8" w:sz="2" w:space="0"/>
        </w:tblBorders>
        <w:tblLayout w:type="autofit"/>
        <w:tblCellMar>
          <w:top w:w="0" w:type="dxa"/>
          <w:left w:w="108" w:type="dxa"/>
          <w:bottom w:w="0" w:type="dxa"/>
          <w:right w:w="108" w:type="dxa"/>
        </w:tblCellMar>
      </w:tblPr>
      <w:tblGrid>
        <w:gridCol w:w="2148"/>
        <w:gridCol w:w="1372"/>
        <w:gridCol w:w="1600"/>
        <w:gridCol w:w="1361"/>
        <w:gridCol w:w="1472"/>
        <w:gridCol w:w="1612"/>
      </w:tblGrid>
      <w:tr w14:paraId="75B8B775">
        <w:trPr>
          <w:trHeight w:val="1219" w:hRule="atLeast"/>
          <w:jc w:val="center"/>
        </w:trPr>
        <w:tc>
          <w:tcPr>
            <w:tcW w:w="1122" w:type="pct"/>
            <w:tcBorders>
              <w:tl2br w:val="nil"/>
              <w:tr2bl w:val="nil"/>
            </w:tcBorders>
            <w:shd w:val="clear" w:color="auto" w:fill="366091" w:themeFill="accent1" w:themeFillShade="BF"/>
            <w:vAlign w:val="center"/>
          </w:tcPr>
          <w:p w14:paraId="434E4973">
            <w:pPr>
              <w:keepNext w:val="0"/>
              <w:keepLines w:val="0"/>
              <w:pageBreakBefore w:val="0"/>
              <w:widowControl w:val="0"/>
              <w:kinsoku/>
              <w:wordWrap/>
              <w:overflowPunct/>
              <w:topLinePunct w:val="0"/>
              <w:autoSpaceDE/>
              <w:autoSpaceDN/>
              <w:bidi w:val="0"/>
              <w:adjustRightInd/>
              <w:snapToGrid/>
              <w:spacing w:line="0" w:lineRule="atLeast"/>
              <w:jc w:val="left"/>
              <w:textAlignment w:val="auto"/>
              <w:rPr>
                <w:rFonts w:hint="default" w:ascii="Arial Bold" w:hAnsi="Arial Bold" w:eastAsia="Arial" w:cs="Arial Bold"/>
                <w:b w:val="0"/>
                <w:bCs/>
                <w:color w:val="FFFFFF" w:themeColor="background1"/>
                <w:vertAlign w:val="baseline"/>
                <w14:textFill>
                  <w14:solidFill>
                    <w14:schemeClr w14:val="bg1"/>
                  </w14:solidFill>
                </w14:textFill>
              </w:rPr>
            </w:pPr>
            <w:r>
              <w:rPr>
                <w:rFonts w:hint="default" w:ascii="Arial Bold" w:hAnsi="Arial Bold" w:eastAsia="Arial" w:cs="Arial Bold"/>
                <w:b w:val="0"/>
                <w:bCs/>
                <w:color w:val="FFFFFF" w:themeColor="background1"/>
                <w:vertAlign w:val="baseline"/>
                <w14:textFill>
                  <w14:solidFill>
                    <w14:schemeClr w14:val="bg1"/>
                  </w14:solidFill>
                </w14:textFill>
              </w:rPr>
              <w:t>Feature 功能</w:t>
            </w:r>
          </w:p>
        </w:tc>
        <w:tc>
          <w:tcPr>
            <w:tcW w:w="717" w:type="pct"/>
            <w:tcBorders>
              <w:tl2br w:val="nil"/>
              <w:tr2bl w:val="nil"/>
            </w:tcBorders>
            <w:shd w:val="clear" w:color="auto" w:fill="366091" w:themeFill="accent1" w:themeFillShade="BF"/>
            <w:vAlign w:val="center"/>
          </w:tcPr>
          <w:p w14:paraId="498E8D4B">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Arial Bold" w:hAnsi="Arial Bold" w:eastAsia="Arial" w:cs="Arial Bold"/>
                <w:b w:val="0"/>
                <w:bCs/>
                <w:color w:val="FFFFFF" w:themeColor="background1"/>
                <w:vertAlign w:val="baseline"/>
                <w14:textFill>
                  <w14:solidFill>
                    <w14:schemeClr w14:val="bg1"/>
                  </w14:solidFill>
                </w14:textFill>
              </w:rPr>
            </w:pPr>
            <w:r>
              <w:rPr>
                <w:rFonts w:hint="default" w:ascii="Arial Bold" w:hAnsi="Arial Bold" w:eastAsia="Arial" w:cs="Arial Bold"/>
                <w:b w:val="0"/>
                <w:bCs/>
                <w:color w:val="FFFFFF" w:themeColor="background1"/>
                <w:vertAlign w:val="baseline"/>
                <w14:textFill>
                  <w14:solidFill>
                    <w14:schemeClr w14:val="bg1"/>
                  </w14:solidFill>
                </w14:textFill>
              </w:rPr>
              <w:t>Coder 1 (raw) 原始编码1</w:t>
            </w:r>
          </w:p>
        </w:tc>
        <w:tc>
          <w:tcPr>
            <w:tcW w:w="836" w:type="pct"/>
            <w:tcBorders>
              <w:tl2br w:val="nil"/>
              <w:tr2bl w:val="nil"/>
            </w:tcBorders>
            <w:shd w:val="clear" w:color="auto" w:fill="366091" w:themeFill="accent1" w:themeFillShade="BF"/>
            <w:vAlign w:val="center"/>
          </w:tcPr>
          <w:p w14:paraId="539AEBCE">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Arial Bold" w:hAnsi="Arial Bold" w:eastAsia="Arial" w:cs="Arial Bold"/>
                <w:b w:val="0"/>
                <w:bCs/>
                <w:color w:val="FFFFFF" w:themeColor="background1"/>
                <w:vertAlign w:val="baseline"/>
                <w14:textFill>
                  <w14:solidFill>
                    <w14:schemeClr w14:val="bg1"/>
                  </w14:solidFill>
                </w14:textFill>
              </w:rPr>
            </w:pPr>
            <w:r>
              <w:rPr>
                <w:rFonts w:hint="default" w:ascii="Arial Bold" w:hAnsi="Arial Bold" w:eastAsia="Arial" w:cs="Arial Bold"/>
                <w:b w:val="0"/>
                <w:bCs/>
                <w:color w:val="FFFFFF" w:themeColor="background1"/>
                <w:vertAlign w:val="baseline"/>
                <w14:textFill>
                  <w14:solidFill>
                    <w14:schemeClr w14:val="bg1"/>
                  </w14:solidFill>
                </w14:textFill>
              </w:rPr>
              <w:t>Coder 2 (raw) 原始编码2</w:t>
            </w:r>
          </w:p>
        </w:tc>
        <w:tc>
          <w:tcPr>
            <w:tcW w:w="711" w:type="pct"/>
            <w:tcBorders>
              <w:tl2br w:val="nil"/>
              <w:tr2bl w:val="nil"/>
            </w:tcBorders>
            <w:shd w:val="clear" w:color="auto" w:fill="366091" w:themeFill="accent1" w:themeFillShade="BF"/>
            <w:vAlign w:val="center"/>
          </w:tcPr>
          <w:p w14:paraId="6B38EC47">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Arial Bold" w:hAnsi="Arial Bold" w:eastAsia="Arial" w:cs="Arial Bold"/>
                <w:b w:val="0"/>
                <w:bCs/>
                <w:color w:val="FFFFFF" w:themeColor="background1"/>
                <w:vertAlign w:val="baseline"/>
                <w14:textFill>
                  <w14:solidFill>
                    <w14:schemeClr w14:val="bg1"/>
                  </w14:solidFill>
                </w14:textFill>
              </w:rPr>
            </w:pPr>
            <w:r>
              <w:rPr>
                <w:rFonts w:hint="default" w:ascii="Arial Bold" w:hAnsi="Arial Bold" w:eastAsia="Arial" w:cs="Arial Bold"/>
                <w:b w:val="0"/>
                <w:bCs/>
                <w:color w:val="FFFFFF" w:themeColor="background1"/>
                <w:vertAlign w:val="baseline"/>
                <w14:textFill>
                  <w14:solidFill>
                    <w14:schemeClr w14:val="bg1"/>
                  </w14:solidFill>
                </w14:textFill>
              </w:rPr>
              <w:t>Coder-anchored 编码者锚定</w:t>
            </w:r>
          </w:p>
        </w:tc>
        <w:tc>
          <w:tcPr>
            <w:tcW w:w="769" w:type="pct"/>
            <w:tcBorders>
              <w:tl2br w:val="nil"/>
              <w:tr2bl w:val="nil"/>
            </w:tcBorders>
            <w:shd w:val="clear" w:color="auto" w:fill="366091" w:themeFill="accent1" w:themeFillShade="BF"/>
            <w:vAlign w:val="center"/>
          </w:tcPr>
          <w:p w14:paraId="32996C5B">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Arial Bold" w:hAnsi="Arial Bold" w:eastAsia="Arial" w:cs="Arial Bold"/>
                <w:b w:val="0"/>
                <w:bCs/>
                <w:color w:val="FFFFFF" w:themeColor="background1"/>
                <w:vertAlign w:val="baseline"/>
                <w14:textFill>
                  <w14:solidFill>
                    <w14:schemeClr w14:val="bg1"/>
                  </w14:solidFill>
                </w14:textFill>
              </w:rPr>
            </w:pPr>
            <w:r>
              <w:rPr>
                <w:rFonts w:hint="default" w:ascii="Arial Bold" w:hAnsi="Arial Bold" w:eastAsia="Arial" w:cs="Arial Bold"/>
                <w:b w:val="0"/>
                <w:bCs/>
                <w:color w:val="FFFFFF" w:themeColor="background1"/>
                <w:vertAlign w:val="baseline"/>
                <w14:textFill>
                  <w14:solidFill>
                    <w14:schemeClr w14:val="bg1"/>
                  </w14:solidFill>
                </w14:textFill>
              </w:rPr>
              <w:t>Historical author mapping 历史作者映射</w:t>
            </w:r>
          </w:p>
        </w:tc>
        <w:tc>
          <w:tcPr>
            <w:tcW w:w="842" w:type="pct"/>
            <w:tcBorders>
              <w:tl2br w:val="nil"/>
              <w:tr2bl w:val="nil"/>
            </w:tcBorders>
            <w:shd w:val="clear" w:color="auto" w:fill="366091" w:themeFill="accent1" w:themeFillShade="BF"/>
            <w:vAlign w:val="center"/>
          </w:tcPr>
          <w:p w14:paraId="00FCC5D5">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Arial Bold" w:hAnsi="Arial Bold" w:eastAsia="Arial" w:cs="Arial Bold"/>
                <w:b w:val="0"/>
                <w:bCs/>
                <w:color w:val="FFFFFF" w:themeColor="background1"/>
                <w:vertAlign w:val="baseline"/>
                <w14:textFill>
                  <w14:solidFill>
                    <w14:schemeClr w14:val="bg1"/>
                  </w14:solidFill>
                </w14:textFill>
              </w:rPr>
            </w:pPr>
            <w:r>
              <w:rPr>
                <w:rFonts w:hint="default" w:ascii="Arial Bold" w:hAnsi="Arial Bold" w:eastAsia="Arial" w:cs="Arial Bold"/>
                <w:b w:val="0"/>
                <w:bCs/>
                <w:color w:val="FFFFFF" w:themeColor="background1"/>
                <w:vertAlign w:val="baseline"/>
                <w14:textFill>
                  <w14:solidFill>
                    <w14:schemeClr w14:val="bg1"/>
                  </w14:solidFill>
                </w14:textFill>
              </w:rPr>
              <w:t>Main-sample interactions 主分析交互数</w:t>
            </w:r>
          </w:p>
        </w:tc>
      </w:tr>
      <w:tr w14:paraId="4F659D87">
        <w:trPr>
          <w:trHeight w:val="634" w:hRule="atLeast"/>
          <w:jc w:val="center"/>
        </w:trPr>
        <w:tc>
          <w:tcPr>
            <w:tcW w:w="1122" w:type="pct"/>
            <w:tcBorders>
              <w:tl2br w:val="nil"/>
              <w:tr2bl w:val="nil"/>
            </w:tcBorders>
            <w:shd w:val="clear" w:color="auto" w:fill="FFFFFF"/>
            <w:vAlign w:val="center"/>
          </w:tcPr>
          <w:p w14:paraId="1EDA4670">
            <w:pPr>
              <w:keepNext w:val="0"/>
              <w:keepLines w:val="0"/>
              <w:pageBreakBefore w:val="0"/>
              <w:widowControl w:val="0"/>
              <w:kinsoku/>
              <w:wordWrap/>
              <w:overflowPunct/>
              <w:topLinePunct w:val="0"/>
              <w:autoSpaceDE/>
              <w:autoSpaceDN/>
              <w:bidi w:val="0"/>
              <w:adjustRightInd/>
              <w:snapToGrid/>
              <w:spacing w:line="0" w:lineRule="atLeast"/>
              <w:jc w:val="left"/>
              <w:textAlignment w:val="auto"/>
              <w:rPr>
                <w:rFonts w:hint="eastAsia" w:ascii="Arial" w:hAnsi="Arial" w:eastAsia="Arial" w:cs="Arial"/>
                <w:b w:val="0"/>
                <w:color w:val="000000"/>
                <w:vertAlign w:val="baseline"/>
              </w:rPr>
            </w:pPr>
            <w:r>
              <w:rPr>
                <w:rFonts w:hint="eastAsia" w:ascii="Arial" w:hAnsi="Arial" w:eastAsia="Arial" w:cs="Arial"/>
                <w:b w:val="0"/>
                <w:color w:val="000000"/>
                <w:vertAlign w:val="baseline"/>
              </w:rPr>
              <w:t>Knowledge Graph Click</w:t>
            </w:r>
          </w:p>
        </w:tc>
        <w:tc>
          <w:tcPr>
            <w:tcW w:w="717" w:type="pct"/>
            <w:tcBorders>
              <w:tl2br w:val="nil"/>
              <w:tr2bl w:val="nil"/>
            </w:tcBorders>
            <w:shd w:val="clear" w:color="auto" w:fill="FFFFFF"/>
            <w:vAlign w:val="center"/>
          </w:tcPr>
          <w:p w14:paraId="57C43B06">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sz w:val="22"/>
                <w:szCs w:val="22"/>
                <w:lang w:val="en-US" w:eastAsia="zh-CN"/>
              </w:rPr>
            </w:pPr>
            <w:r>
              <w:rPr>
                <w:rFonts w:hint="eastAsia" w:eastAsia="宋体" w:cs="Arial"/>
                <w:b w:val="0"/>
                <w:color w:val="000000"/>
                <w:sz w:val="22"/>
                <w:szCs w:val="22"/>
                <w:lang w:val="en-US" w:eastAsia="zh-CN"/>
              </w:rPr>
              <w:t>P</w:t>
            </w:r>
          </w:p>
        </w:tc>
        <w:tc>
          <w:tcPr>
            <w:tcW w:w="836" w:type="pct"/>
            <w:tcBorders>
              <w:tl2br w:val="nil"/>
              <w:tr2bl w:val="nil"/>
            </w:tcBorders>
            <w:shd w:val="clear" w:color="auto" w:fill="FFFFFF"/>
            <w:vAlign w:val="center"/>
          </w:tcPr>
          <w:p w14:paraId="28F69047">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P</w:t>
            </w:r>
          </w:p>
        </w:tc>
        <w:tc>
          <w:tcPr>
            <w:tcW w:w="711" w:type="pct"/>
            <w:tcBorders>
              <w:tl2br w:val="nil"/>
              <w:tr2bl w:val="nil"/>
            </w:tcBorders>
            <w:shd w:val="clear" w:color="auto" w:fill="FFFFFF"/>
            <w:vAlign w:val="center"/>
          </w:tcPr>
          <w:p w14:paraId="17A5E26E">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P</w:t>
            </w:r>
          </w:p>
        </w:tc>
        <w:tc>
          <w:tcPr>
            <w:tcW w:w="769" w:type="pct"/>
            <w:tcBorders>
              <w:tl2br w:val="nil"/>
              <w:tr2bl w:val="nil"/>
            </w:tcBorders>
            <w:shd w:val="clear" w:color="auto" w:fill="FFFFFF"/>
            <w:vAlign w:val="center"/>
          </w:tcPr>
          <w:p w14:paraId="734F43AC">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P</w:t>
            </w:r>
          </w:p>
        </w:tc>
        <w:tc>
          <w:tcPr>
            <w:tcW w:w="842" w:type="pct"/>
            <w:tcBorders>
              <w:tl2br w:val="nil"/>
              <w:tr2bl w:val="nil"/>
            </w:tcBorders>
            <w:shd w:val="clear" w:color="auto" w:fill="FFFFFF"/>
            <w:vAlign w:val="center"/>
          </w:tcPr>
          <w:p w14:paraId="268EC4BE">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41,848</w:t>
            </w:r>
          </w:p>
        </w:tc>
      </w:tr>
      <w:tr w14:paraId="5AA908BB">
        <w:trPr>
          <w:trHeight w:val="634" w:hRule="atLeast"/>
          <w:jc w:val="center"/>
        </w:trPr>
        <w:tc>
          <w:tcPr>
            <w:tcW w:w="1122" w:type="pct"/>
            <w:tcBorders>
              <w:tl2br w:val="nil"/>
              <w:tr2bl w:val="nil"/>
            </w:tcBorders>
            <w:shd w:val="clear" w:color="auto" w:fill="FFFFFF"/>
            <w:vAlign w:val="center"/>
          </w:tcPr>
          <w:p w14:paraId="59A5FF2F">
            <w:pPr>
              <w:keepNext w:val="0"/>
              <w:keepLines w:val="0"/>
              <w:pageBreakBefore w:val="0"/>
              <w:widowControl w:val="0"/>
              <w:kinsoku/>
              <w:wordWrap/>
              <w:overflowPunct/>
              <w:topLinePunct w:val="0"/>
              <w:autoSpaceDE/>
              <w:autoSpaceDN/>
              <w:bidi w:val="0"/>
              <w:adjustRightInd/>
              <w:snapToGrid/>
              <w:spacing w:line="0" w:lineRule="atLeast"/>
              <w:jc w:val="left"/>
              <w:textAlignment w:val="auto"/>
              <w:rPr>
                <w:rFonts w:hint="eastAsia" w:ascii="Arial" w:hAnsi="Arial" w:eastAsia="Arial" w:cs="Arial"/>
                <w:b w:val="0"/>
                <w:color w:val="000000"/>
                <w:vertAlign w:val="baseline"/>
              </w:rPr>
            </w:pPr>
            <w:r>
              <w:rPr>
                <w:rFonts w:hint="eastAsia" w:ascii="Arial" w:hAnsi="Arial" w:eastAsia="Arial" w:cs="Arial"/>
                <w:b w:val="0"/>
                <w:color w:val="000000"/>
                <w:vertAlign w:val="baseline"/>
              </w:rPr>
              <w:t>Preset Q&amp;A</w:t>
            </w:r>
          </w:p>
        </w:tc>
        <w:tc>
          <w:tcPr>
            <w:tcW w:w="717" w:type="pct"/>
            <w:tcBorders>
              <w:tl2br w:val="nil"/>
              <w:tr2bl w:val="nil"/>
            </w:tcBorders>
            <w:shd w:val="clear" w:color="auto" w:fill="FFFFFF"/>
            <w:vAlign w:val="center"/>
          </w:tcPr>
          <w:p w14:paraId="77BA49D7">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T</w:t>
            </w:r>
          </w:p>
        </w:tc>
        <w:tc>
          <w:tcPr>
            <w:tcW w:w="836" w:type="pct"/>
            <w:tcBorders>
              <w:tl2br w:val="nil"/>
              <w:tr2bl w:val="nil"/>
            </w:tcBorders>
            <w:shd w:val="clear" w:color="auto" w:fill="FFFFFF"/>
            <w:vAlign w:val="center"/>
          </w:tcPr>
          <w:p w14:paraId="225DD2B4">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T</w:t>
            </w:r>
          </w:p>
        </w:tc>
        <w:tc>
          <w:tcPr>
            <w:tcW w:w="711" w:type="pct"/>
            <w:tcBorders>
              <w:tl2br w:val="nil"/>
              <w:tr2bl w:val="nil"/>
            </w:tcBorders>
            <w:shd w:val="clear" w:color="auto" w:fill="FFFFFF"/>
            <w:vAlign w:val="center"/>
          </w:tcPr>
          <w:p w14:paraId="0BB49261">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T</w:t>
            </w:r>
          </w:p>
        </w:tc>
        <w:tc>
          <w:tcPr>
            <w:tcW w:w="769" w:type="pct"/>
            <w:tcBorders>
              <w:tl2br w:val="nil"/>
              <w:tr2bl w:val="nil"/>
            </w:tcBorders>
            <w:shd w:val="clear" w:color="auto" w:fill="FFFFFF"/>
            <w:vAlign w:val="center"/>
          </w:tcPr>
          <w:p w14:paraId="174B00A5">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T</w:t>
            </w:r>
          </w:p>
        </w:tc>
        <w:tc>
          <w:tcPr>
            <w:tcW w:w="842" w:type="pct"/>
            <w:tcBorders>
              <w:tl2br w:val="nil"/>
              <w:tr2bl w:val="nil"/>
            </w:tcBorders>
            <w:shd w:val="clear" w:color="auto" w:fill="FFFFFF"/>
            <w:vAlign w:val="center"/>
          </w:tcPr>
          <w:p w14:paraId="46DBA818">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14,206</w:t>
            </w:r>
          </w:p>
        </w:tc>
      </w:tr>
      <w:tr w14:paraId="2A4DD5DD">
        <w:trPr>
          <w:trHeight w:val="634" w:hRule="atLeast"/>
          <w:jc w:val="center"/>
        </w:trPr>
        <w:tc>
          <w:tcPr>
            <w:tcW w:w="1122" w:type="pct"/>
            <w:tcBorders>
              <w:tl2br w:val="nil"/>
              <w:tr2bl w:val="nil"/>
            </w:tcBorders>
            <w:shd w:val="clear" w:color="auto" w:fill="FFFFFF"/>
            <w:vAlign w:val="center"/>
          </w:tcPr>
          <w:p w14:paraId="0CDC018F">
            <w:pPr>
              <w:keepNext w:val="0"/>
              <w:keepLines w:val="0"/>
              <w:pageBreakBefore w:val="0"/>
              <w:widowControl w:val="0"/>
              <w:kinsoku/>
              <w:wordWrap/>
              <w:overflowPunct/>
              <w:topLinePunct w:val="0"/>
              <w:autoSpaceDE/>
              <w:autoSpaceDN/>
              <w:bidi w:val="0"/>
              <w:adjustRightInd/>
              <w:snapToGrid/>
              <w:spacing w:line="0" w:lineRule="atLeast"/>
              <w:jc w:val="left"/>
              <w:textAlignment w:val="auto"/>
              <w:rPr>
                <w:rFonts w:hint="eastAsia" w:ascii="Arial" w:hAnsi="Arial" w:eastAsia="Arial" w:cs="Arial"/>
                <w:b w:val="0"/>
                <w:color w:val="000000"/>
                <w:vertAlign w:val="baseline"/>
              </w:rPr>
            </w:pPr>
            <w:r>
              <w:rPr>
                <w:rFonts w:hint="eastAsia" w:ascii="Arial" w:hAnsi="Arial" w:eastAsia="Arial" w:cs="Arial"/>
                <w:b w:val="0"/>
                <w:color w:val="000000"/>
                <w:vertAlign w:val="baseline"/>
              </w:rPr>
              <w:t>From MOOCCube (Knowledge Base)</w:t>
            </w:r>
          </w:p>
        </w:tc>
        <w:tc>
          <w:tcPr>
            <w:tcW w:w="717" w:type="pct"/>
            <w:tcBorders>
              <w:tl2br w:val="nil"/>
              <w:tr2bl w:val="nil"/>
            </w:tcBorders>
            <w:shd w:val="clear" w:color="auto" w:fill="FFFFFF"/>
            <w:vAlign w:val="center"/>
          </w:tcPr>
          <w:p w14:paraId="24D56D73">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T</w:t>
            </w:r>
          </w:p>
        </w:tc>
        <w:tc>
          <w:tcPr>
            <w:tcW w:w="836" w:type="pct"/>
            <w:tcBorders>
              <w:tl2br w:val="nil"/>
              <w:tr2bl w:val="nil"/>
            </w:tcBorders>
            <w:shd w:val="clear" w:color="auto" w:fill="FFFFFF"/>
            <w:vAlign w:val="center"/>
          </w:tcPr>
          <w:p w14:paraId="29B8623D">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T</w:t>
            </w:r>
          </w:p>
        </w:tc>
        <w:tc>
          <w:tcPr>
            <w:tcW w:w="711" w:type="pct"/>
            <w:tcBorders>
              <w:tl2br w:val="nil"/>
              <w:tr2bl w:val="nil"/>
            </w:tcBorders>
            <w:shd w:val="clear" w:color="auto" w:fill="FFFFFF"/>
            <w:vAlign w:val="center"/>
          </w:tcPr>
          <w:p w14:paraId="6788F183">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T</w:t>
            </w:r>
          </w:p>
        </w:tc>
        <w:tc>
          <w:tcPr>
            <w:tcW w:w="769" w:type="pct"/>
            <w:tcBorders>
              <w:tl2br w:val="nil"/>
              <w:tr2bl w:val="nil"/>
            </w:tcBorders>
            <w:shd w:val="clear" w:color="auto" w:fill="FFFFFF"/>
            <w:vAlign w:val="center"/>
          </w:tcPr>
          <w:p w14:paraId="461A3110">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P</w:t>
            </w:r>
          </w:p>
        </w:tc>
        <w:tc>
          <w:tcPr>
            <w:tcW w:w="842" w:type="pct"/>
            <w:tcBorders>
              <w:tl2br w:val="nil"/>
              <w:tr2bl w:val="nil"/>
            </w:tcBorders>
            <w:shd w:val="clear" w:color="auto" w:fill="FFFFFF"/>
            <w:vAlign w:val="center"/>
          </w:tcPr>
          <w:p w14:paraId="231B448A">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7,800</w:t>
            </w:r>
          </w:p>
        </w:tc>
      </w:tr>
      <w:tr w14:paraId="297A7D9D">
        <w:trPr>
          <w:trHeight w:val="634" w:hRule="atLeast"/>
          <w:jc w:val="center"/>
        </w:trPr>
        <w:tc>
          <w:tcPr>
            <w:tcW w:w="1122" w:type="pct"/>
            <w:tcBorders>
              <w:tl2br w:val="nil"/>
              <w:tr2bl w:val="nil"/>
            </w:tcBorders>
            <w:shd w:val="clear" w:color="auto" w:fill="FFFFFF"/>
            <w:vAlign w:val="center"/>
          </w:tcPr>
          <w:p w14:paraId="42311114">
            <w:pPr>
              <w:keepNext w:val="0"/>
              <w:keepLines w:val="0"/>
              <w:pageBreakBefore w:val="0"/>
              <w:widowControl w:val="0"/>
              <w:kinsoku/>
              <w:wordWrap/>
              <w:overflowPunct/>
              <w:topLinePunct w:val="0"/>
              <w:autoSpaceDE/>
              <w:autoSpaceDN/>
              <w:bidi w:val="0"/>
              <w:adjustRightInd/>
              <w:snapToGrid/>
              <w:spacing w:line="0" w:lineRule="atLeast"/>
              <w:jc w:val="left"/>
              <w:textAlignment w:val="auto"/>
              <w:rPr>
                <w:rFonts w:hint="eastAsia" w:ascii="Arial" w:hAnsi="Arial" w:eastAsia="Arial" w:cs="Arial"/>
                <w:b w:val="0"/>
                <w:color w:val="000000"/>
                <w:vertAlign w:val="baseline"/>
              </w:rPr>
            </w:pPr>
            <w:r>
              <w:rPr>
                <w:rFonts w:hint="eastAsia" w:ascii="Arial" w:hAnsi="Arial" w:eastAsia="Arial" w:cs="Arial"/>
                <w:b w:val="0"/>
                <w:color w:val="000000"/>
                <w:vertAlign w:val="baseline"/>
              </w:rPr>
              <w:t>From Turing Bot (General Chatbot)</w:t>
            </w:r>
          </w:p>
        </w:tc>
        <w:tc>
          <w:tcPr>
            <w:tcW w:w="717" w:type="pct"/>
            <w:tcBorders>
              <w:tl2br w:val="nil"/>
              <w:tr2bl w:val="nil"/>
            </w:tcBorders>
            <w:shd w:val="clear" w:color="auto" w:fill="FFFFFF"/>
            <w:vAlign w:val="center"/>
          </w:tcPr>
          <w:p w14:paraId="2A4D26E9">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R</w:t>
            </w:r>
          </w:p>
        </w:tc>
        <w:tc>
          <w:tcPr>
            <w:tcW w:w="836" w:type="pct"/>
            <w:tcBorders>
              <w:tl2br w:val="nil"/>
              <w:tr2bl w:val="nil"/>
            </w:tcBorders>
            <w:shd w:val="clear" w:color="auto" w:fill="FFFFFF"/>
            <w:vAlign w:val="center"/>
          </w:tcPr>
          <w:p w14:paraId="0F4FF4C5">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S</w:t>
            </w:r>
          </w:p>
        </w:tc>
        <w:tc>
          <w:tcPr>
            <w:tcW w:w="711" w:type="pct"/>
            <w:tcBorders>
              <w:tl2br w:val="nil"/>
              <w:tr2bl w:val="nil"/>
            </w:tcBorders>
            <w:shd w:val="clear" w:color="auto" w:fill="FFFFFF"/>
            <w:vAlign w:val="center"/>
          </w:tcPr>
          <w:p w14:paraId="16C3E1B2">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S</w:t>
            </w:r>
          </w:p>
        </w:tc>
        <w:tc>
          <w:tcPr>
            <w:tcW w:w="769" w:type="pct"/>
            <w:tcBorders>
              <w:tl2br w:val="nil"/>
              <w:tr2bl w:val="nil"/>
            </w:tcBorders>
            <w:shd w:val="clear" w:color="auto" w:fill="FFFFFF"/>
            <w:vAlign w:val="center"/>
          </w:tcPr>
          <w:p w14:paraId="7166F681">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S</w:t>
            </w:r>
          </w:p>
        </w:tc>
        <w:tc>
          <w:tcPr>
            <w:tcW w:w="842" w:type="pct"/>
            <w:tcBorders>
              <w:tl2br w:val="nil"/>
              <w:tr2bl w:val="nil"/>
            </w:tcBorders>
            <w:shd w:val="clear" w:color="auto" w:fill="FFFFFF"/>
            <w:vAlign w:val="center"/>
          </w:tcPr>
          <w:p w14:paraId="7C8C3ADF">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4,577</w:t>
            </w:r>
          </w:p>
        </w:tc>
      </w:tr>
      <w:tr w14:paraId="1E968A1B">
        <w:trPr>
          <w:trHeight w:val="634" w:hRule="atLeast"/>
          <w:jc w:val="center"/>
        </w:trPr>
        <w:tc>
          <w:tcPr>
            <w:tcW w:w="1122" w:type="pct"/>
            <w:tcBorders>
              <w:tl2br w:val="nil"/>
              <w:tr2bl w:val="nil"/>
            </w:tcBorders>
            <w:shd w:val="clear" w:color="auto" w:fill="FFFFFF"/>
            <w:vAlign w:val="center"/>
          </w:tcPr>
          <w:p w14:paraId="707C00FB">
            <w:pPr>
              <w:keepNext w:val="0"/>
              <w:keepLines w:val="0"/>
              <w:pageBreakBefore w:val="0"/>
              <w:widowControl w:val="0"/>
              <w:kinsoku/>
              <w:wordWrap/>
              <w:overflowPunct/>
              <w:topLinePunct w:val="0"/>
              <w:autoSpaceDE/>
              <w:autoSpaceDN/>
              <w:bidi w:val="0"/>
              <w:adjustRightInd/>
              <w:snapToGrid/>
              <w:spacing w:line="0" w:lineRule="atLeast"/>
              <w:jc w:val="left"/>
              <w:textAlignment w:val="auto"/>
              <w:rPr>
                <w:rFonts w:hint="eastAsia" w:ascii="Arial" w:hAnsi="Arial" w:eastAsia="Arial" w:cs="Arial"/>
                <w:b w:val="0"/>
                <w:color w:val="000000"/>
                <w:vertAlign w:val="baseline"/>
              </w:rPr>
            </w:pPr>
            <w:r>
              <w:rPr>
                <w:rFonts w:hint="eastAsia" w:ascii="Arial" w:hAnsi="Arial" w:eastAsia="Arial" w:cs="Arial"/>
                <w:b w:val="0"/>
                <w:color w:val="000000"/>
                <w:vertAlign w:val="baseline"/>
              </w:rPr>
              <w:t>From Baidu (Search Engine)</w:t>
            </w:r>
          </w:p>
        </w:tc>
        <w:tc>
          <w:tcPr>
            <w:tcW w:w="717" w:type="pct"/>
            <w:tcBorders>
              <w:tl2br w:val="nil"/>
              <w:tr2bl w:val="nil"/>
            </w:tcBorders>
            <w:shd w:val="clear" w:color="auto" w:fill="FFFFFF"/>
            <w:vAlign w:val="center"/>
          </w:tcPr>
          <w:p w14:paraId="0D73881F">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T</w:t>
            </w:r>
          </w:p>
        </w:tc>
        <w:tc>
          <w:tcPr>
            <w:tcW w:w="836" w:type="pct"/>
            <w:tcBorders>
              <w:tl2br w:val="nil"/>
              <w:tr2bl w:val="nil"/>
            </w:tcBorders>
            <w:shd w:val="clear" w:color="auto" w:fill="FFFFFF"/>
            <w:vAlign w:val="center"/>
          </w:tcPr>
          <w:p w14:paraId="6FB37F5F">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T</w:t>
            </w:r>
          </w:p>
        </w:tc>
        <w:tc>
          <w:tcPr>
            <w:tcW w:w="711" w:type="pct"/>
            <w:tcBorders>
              <w:tl2br w:val="nil"/>
              <w:tr2bl w:val="nil"/>
            </w:tcBorders>
            <w:shd w:val="clear" w:color="auto" w:fill="FFFFFF"/>
            <w:vAlign w:val="center"/>
          </w:tcPr>
          <w:p w14:paraId="0FD7A50C">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T</w:t>
            </w:r>
          </w:p>
        </w:tc>
        <w:tc>
          <w:tcPr>
            <w:tcW w:w="769" w:type="pct"/>
            <w:tcBorders>
              <w:tl2br w:val="nil"/>
              <w:tr2bl w:val="nil"/>
            </w:tcBorders>
            <w:shd w:val="clear" w:color="auto" w:fill="FFFFFF"/>
            <w:vAlign w:val="center"/>
          </w:tcPr>
          <w:p w14:paraId="54C9CD4A">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T</w:t>
            </w:r>
          </w:p>
        </w:tc>
        <w:tc>
          <w:tcPr>
            <w:tcW w:w="842" w:type="pct"/>
            <w:tcBorders>
              <w:tl2br w:val="nil"/>
              <w:tr2bl w:val="nil"/>
            </w:tcBorders>
            <w:shd w:val="clear" w:color="auto" w:fill="FFFFFF"/>
            <w:vAlign w:val="center"/>
          </w:tcPr>
          <w:p w14:paraId="037DDD0A">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3,785</w:t>
            </w:r>
          </w:p>
        </w:tc>
      </w:tr>
      <w:tr w14:paraId="30ACEC14">
        <w:trPr>
          <w:trHeight w:val="634" w:hRule="atLeast"/>
          <w:jc w:val="center"/>
        </w:trPr>
        <w:tc>
          <w:tcPr>
            <w:tcW w:w="1122" w:type="pct"/>
            <w:tcBorders>
              <w:tl2br w:val="nil"/>
              <w:tr2bl w:val="nil"/>
            </w:tcBorders>
            <w:shd w:val="clear" w:color="auto" w:fill="FFFFFF"/>
            <w:vAlign w:val="center"/>
          </w:tcPr>
          <w:p w14:paraId="71E1A1B6">
            <w:pPr>
              <w:keepNext w:val="0"/>
              <w:keepLines w:val="0"/>
              <w:pageBreakBefore w:val="0"/>
              <w:widowControl w:val="0"/>
              <w:kinsoku/>
              <w:wordWrap/>
              <w:overflowPunct/>
              <w:topLinePunct w:val="0"/>
              <w:autoSpaceDE/>
              <w:autoSpaceDN/>
              <w:bidi w:val="0"/>
              <w:adjustRightInd/>
              <w:snapToGrid/>
              <w:spacing w:line="0" w:lineRule="atLeast"/>
              <w:jc w:val="left"/>
              <w:textAlignment w:val="auto"/>
              <w:rPr>
                <w:rFonts w:hint="eastAsia" w:ascii="Arial" w:hAnsi="Arial" w:eastAsia="Arial" w:cs="Arial"/>
                <w:b w:val="0"/>
                <w:color w:val="000000"/>
                <w:vertAlign w:val="baseline"/>
              </w:rPr>
            </w:pPr>
            <w:r>
              <w:rPr>
                <w:rFonts w:hint="eastAsia" w:ascii="Arial" w:hAnsi="Arial" w:eastAsia="Arial" w:cs="Arial"/>
                <w:b w:val="0"/>
                <w:color w:val="000000"/>
                <w:vertAlign w:val="baseline"/>
              </w:rPr>
              <w:t>From Baike (Encyclopedia)</w:t>
            </w:r>
          </w:p>
        </w:tc>
        <w:tc>
          <w:tcPr>
            <w:tcW w:w="717" w:type="pct"/>
            <w:tcBorders>
              <w:tl2br w:val="nil"/>
              <w:tr2bl w:val="nil"/>
            </w:tcBorders>
            <w:shd w:val="clear" w:color="auto" w:fill="FFFFFF"/>
            <w:vAlign w:val="center"/>
          </w:tcPr>
          <w:p w14:paraId="30385C5A">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T</w:t>
            </w:r>
          </w:p>
        </w:tc>
        <w:tc>
          <w:tcPr>
            <w:tcW w:w="836" w:type="pct"/>
            <w:tcBorders>
              <w:tl2br w:val="nil"/>
              <w:tr2bl w:val="nil"/>
            </w:tcBorders>
            <w:shd w:val="clear" w:color="auto" w:fill="FFFFFF"/>
            <w:vAlign w:val="center"/>
          </w:tcPr>
          <w:p w14:paraId="3A55D8DA">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T</w:t>
            </w:r>
          </w:p>
        </w:tc>
        <w:tc>
          <w:tcPr>
            <w:tcW w:w="711" w:type="pct"/>
            <w:tcBorders>
              <w:tl2br w:val="nil"/>
              <w:tr2bl w:val="nil"/>
            </w:tcBorders>
            <w:shd w:val="clear" w:color="auto" w:fill="FFFFFF"/>
            <w:vAlign w:val="center"/>
          </w:tcPr>
          <w:p w14:paraId="5CC858DC">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T</w:t>
            </w:r>
          </w:p>
        </w:tc>
        <w:tc>
          <w:tcPr>
            <w:tcW w:w="769" w:type="pct"/>
            <w:tcBorders>
              <w:tl2br w:val="nil"/>
              <w:tr2bl w:val="nil"/>
            </w:tcBorders>
            <w:shd w:val="clear" w:color="auto" w:fill="FFFFFF"/>
            <w:vAlign w:val="center"/>
          </w:tcPr>
          <w:p w14:paraId="50B1076D">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Arial" w:cs="Arial"/>
                <w:b w:val="0"/>
                <w:color w:val="000000"/>
                <w:vertAlign w:val="baseline"/>
              </w:rPr>
            </w:pPr>
            <w:r>
              <w:rPr>
                <w:rFonts w:hint="eastAsia" w:ascii="Arial" w:hAnsi="Arial" w:eastAsia="Arial" w:cs="Arial"/>
                <w:b w:val="0"/>
                <w:color w:val="000000"/>
                <w:vertAlign w:val="baseline"/>
              </w:rPr>
              <w:t>T</w:t>
            </w:r>
            <w:r>
              <w:rPr>
                <w:rFonts w:hint="eastAsia" w:ascii="Arial" w:hAnsi="Arial" w:eastAsia="Arial" w:cs="Arial"/>
                <w:b w:val="0"/>
                <w:color w:val="000000"/>
                <w:vertAlign w:val="superscript"/>
              </w:rPr>
              <w:t>†</w:t>
            </w:r>
          </w:p>
        </w:tc>
        <w:tc>
          <w:tcPr>
            <w:tcW w:w="842" w:type="pct"/>
            <w:tcBorders>
              <w:tl2br w:val="nil"/>
              <w:tr2bl w:val="nil"/>
            </w:tcBorders>
            <w:shd w:val="clear" w:color="auto" w:fill="FFFFFF"/>
            <w:vAlign w:val="center"/>
          </w:tcPr>
          <w:p w14:paraId="71499DA7">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3,166</w:t>
            </w:r>
          </w:p>
        </w:tc>
      </w:tr>
      <w:tr w14:paraId="205D395D">
        <w:trPr>
          <w:trHeight w:val="634" w:hRule="atLeast"/>
          <w:jc w:val="center"/>
        </w:trPr>
        <w:tc>
          <w:tcPr>
            <w:tcW w:w="1122" w:type="pct"/>
            <w:tcBorders>
              <w:tl2br w:val="nil"/>
              <w:tr2bl w:val="nil"/>
            </w:tcBorders>
            <w:shd w:val="clear" w:color="auto" w:fill="FFFFFF"/>
            <w:vAlign w:val="center"/>
          </w:tcPr>
          <w:p w14:paraId="107F698A">
            <w:pPr>
              <w:keepNext w:val="0"/>
              <w:keepLines w:val="0"/>
              <w:pageBreakBefore w:val="0"/>
              <w:widowControl w:val="0"/>
              <w:kinsoku/>
              <w:wordWrap/>
              <w:overflowPunct/>
              <w:topLinePunct w:val="0"/>
              <w:autoSpaceDE/>
              <w:autoSpaceDN/>
              <w:bidi w:val="0"/>
              <w:adjustRightInd/>
              <w:snapToGrid/>
              <w:spacing w:line="0" w:lineRule="atLeast"/>
              <w:jc w:val="left"/>
              <w:textAlignment w:val="auto"/>
              <w:rPr>
                <w:rFonts w:hint="eastAsia" w:ascii="Arial" w:hAnsi="Arial" w:eastAsia="Arial" w:cs="Arial"/>
                <w:b w:val="0"/>
                <w:color w:val="000000"/>
                <w:vertAlign w:val="baseline"/>
              </w:rPr>
            </w:pPr>
            <w:r>
              <w:rPr>
                <w:rFonts w:hint="eastAsia" w:ascii="Arial" w:hAnsi="Arial" w:eastAsia="Arial" w:cs="Arial"/>
                <w:b w:val="0"/>
                <w:color w:val="000000"/>
                <w:vertAlign w:val="baseline"/>
              </w:rPr>
              <w:t>Poetry Composition</w:t>
            </w:r>
          </w:p>
        </w:tc>
        <w:tc>
          <w:tcPr>
            <w:tcW w:w="717" w:type="pct"/>
            <w:tcBorders>
              <w:tl2br w:val="nil"/>
              <w:tr2bl w:val="nil"/>
            </w:tcBorders>
            <w:shd w:val="clear" w:color="auto" w:fill="FFFFFF"/>
            <w:vAlign w:val="center"/>
          </w:tcPr>
          <w:p w14:paraId="10D5F039">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O</w:t>
            </w:r>
          </w:p>
        </w:tc>
        <w:tc>
          <w:tcPr>
            <w:tcW w:w="836" w:type="pct"/>
            <w:tcBorders>
              <w:tl2br w:val="nil"/>
              <w:tr2bl w:val="nil"/>
            </w:tcBorders>
            <w:shd w:val="clear" w:color="auto" w:fill="FFFFFF"/>
            <w:vAlign w:val="center"/>
          </w:tcPr>
          <w:p w14:paraId="57C8D13B">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O</w:t>
            </w:r>
          </w:p>
        </w:tc>
        <w:tc>
          <w:tcPr>
            <w:tcW w:w="711" w:type="pct"/>
            <w:tcBorders>
              <w:tl2br w:val="nil"/>
              <w:tr2bl w:val="nil"/>
            </w:tcBorders>
            <w:shd w:val="clear" w:color="auto" w:fill="FFFFFF"/>
            <w:vAlign w:val="center"/>
          </w:tcPr>
          <w:p w14:paraId="575A20E0">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O</w:t>
            </w:r>
          </w:p>
        </w:tc>
        <w:tc>
          <w:tcPr>
            <w:tcW w:w="769" w:type="pct"/>
            <w:tcBorders>
              <w:tl2br w:val="nil"/>
              <w:tr2bl w:val="nil"/>
            </w:tcBorders>
            <w:shd w:val="clear" w:color="auto" w:fill="FFFFFF"/>
            <w:vAlign w:val="center"/>
          </w:tcPr>
          <w:p w14:paraId="1424E851">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S</w:t>
            </w:r>
          </w:p>
        </w:tc>
        <w:tc>
          <w:tcPr>
            <w:tcW w:w="842" w:type="pct"/>
            <w:tcBorders>
              <w:tl2br w:val="nil"/>
              <w:tr2bl w:val="nil"/>
            </w:tcBorders>
            <w:shd w:val="clear" w:color="auto" w:fill="FFFFFF"/>
            <w:vAlign w:val="center"/>
          </w:tcPr>
          <w:p w14:paraId="0E7650F4">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2,887</w:t>
            </w:r>
          </w:p>
        </w:tc>
      </w:tr>
      <w:tr w14:paraId="26D3B0A7">
        <w:trPr>
          <w:trHeight w:val="634" w:hRule="atLeast"/>
          <w:jc w:val="center"/>
        </w:trPr>
        <w:tc>
          <w:tcPr>
            <w:tcW w:w="1122" w:type="pct"/>
            <w:tcBorders>
              <w:tl2br w:val="nil"/>
              <w:tr2bl w:val="nil"/>
            </w:tcBorders>
            <w:shd w:val="clear" w:color="auto" w:fill="FFFFFF"/>
            <w:vAlign w:val="center"/>
          </w:tcPr>
          <w:p w14:paraId="16F9F412">
            <w:pPr>
              <w:keepNext w:val="0"/>
              <w:keepLines w:val="0"/>
              <w:pageBreakBefore w:val="0"/>
              <w:widowControl w:val="0"/>
              <w:kinsoku/>
              <w:wordWrap/>
              <w:overflowPunct/>
              <w:topLinePunct w:val="0"/>
              <w:autoSpaceDE/>
              <w:autoSpaceDN/>
              <w:bidi w:val="0"/>
              <w:adjustRightInd/>
              <w:snapToGrid/>
              <w:spacing w:line="0" w:lineRule="atLeast"/>
              <w:jc w:val="left"/>
              <w:textAlignment w:val="auto"/>
              <w:rPr>
                <w:rFonts w:hint="eastAsia" w:ascii="Arial" w:hAnsi="Arial" w:eastAsia="Arial" w:cs="Arial"/>
                <w:b w:val="0"/>
                <w:color w:val="000000"/>
                <w:vertAlign w:val="baseline"/>
              </w:rPr>
            </w:pPr>
            <w:r>
              <w:rPr>
                <w:rFonts w:hint="eastAsia" w:ascii="Arial" w:hAnsi="Arial" w:eastAsia="Arial" w:cs="Arial"/>
                <w:b w:val="0"/>
                <w:color w:val="000000"/>
                <w:vertAlign w:val="baseline"/>
              </w:rPr>
              <w:t>From FAQ (Platform Help)</w:t>
            </w:r>
          </w:p>
        </w:tc>
        <w:tc>
          <w:tcPr>
            <w:tcW w:w="717" w:type="pct"/>
            <w:tcBorders>
              <w:tl2br w:val="nil"/>
              <w:tr2bl w:val="nil"/>
            </w:tcBorders>
            <w:shd w:val="clear" w:color="auto" w:fill="FFFFFF"/>
            <w:vAlign w:val="center"/>
          </w:tcPr>
          <w:p w14:paraId="70A55990">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O</w:t>
            </w:r>
          </w:p>
        </w:tc>
        <w:tc>
          <w:tcPr>
            <w:tcW w:w="836" w:type="pct"/>
            <w:tcBorders>
              <w:tl2br w:val="nil"/>
              <w:tr2bl w:val="nil"/>
            </w:tcBorders>
            <w:shd w:val="clear" w:color="auto" w:fill="FFFFFF"/>
            <w:vAlign w:val="center"/>
          </w:tcPr>
          <w:p w14:paraId="5FE59367">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O</w:t>
            </w:r>
          </w:p>
        </w:tc>
        <w:tc>
          <w:tcPr>
            <w:tcW w:w="711" w:type="pct"/>
            <w:tcBorders>
              <w:tl2br w:val="nil"/>
              <w:tr2bl w:val="nil"/>
            </w:tcBorders>
            <w:shd w:val="clear" w:color="auto" w:fill="FFFFFF"/>
            <w:vAlign w:val="center"/>
          </w:tcPr>
          <w:p w14:paraId="16B44918">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O</w:t>
            </w:r>
          </w:p>
        </w:tc>
        <w:tc>
          <w:tcPr>
            <w:tcW w:w="769" w:type="pct"/>
            <w:tcBorders>
              <w:tl2br w:val="nil"/>
              <w:tr2bl w:val="nil"/>
            </w:tcBorders>
            <w:shd w:val="clear" w:color="auto" w:fill="FFFFFF"/>
            <w:vAlign w:val="center"/>
          </w:tcPr>
          <w:p w14:paraId="239FB12D">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R</w:t>
            </w:r>
          </w:p>
        </w:tc>
        <w:tc>
          <w:tcPr>
            <w:tcW w:w="842" w:type="pct"/>
            <w:tcBorders>
              <w:tl2br w:val="nil"/>
              <w:tr2bl w:val="nil"/>
            </w:tcBorders>
            <w:shd w:val="clear" w:color="auto" w:fill="FFFFFF"/>
            <w:vAlign w:val="center"/>
          </w:tcPr>
          <w:p w14:paraId="32F620E3">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2,364</w:t>
            </w:r>
          </w:p>
        </w:tc>
      </w:tr>
      <w:tr w14:paraId="703E6D31">
        <w:trPr>
          <w:trHeight w:val="634" w:hRule="atLeast"/>
          <w:jc w:val="center"/>
        </w:trPr>
        <w:tc>
          <w:tcPr>
            <w:tcW w:w="1122" w:type="pct"/>
            <w:tcBorders>
              <w:tl2br w:val="nil"/>
              <w:tr2bl w:val="nil"/>
            </w:tcBorders>
            <w:shd w:val="clear" w:color="auto" w:fill="FFFFFF"/>
            <w:vAlign w:val="center"/>
          </w:tcPr>
          <w:p w14:paraId="688E47FD">
            <w:pPr>
              <w:keepNext w:val="0"/>
              <w:keepLines w:val="0"/>
              <w:pageBreakBefore w:val="0"/>
              <w:widowControl w:val="0"/>
              <w:kinsoku/>
              <w:wordWrap/>
              <w:overflowPunct/>
              <w:topLinePunct w:val="0"/>
              <w:autoSpaceDE/>
              <w:autoSpaceDN/>
              <w:bidi w:val="0"/>
              <w:adjustRightInd/>
              <w:snapToGrid/>
              <w:spacing w:line="0" w:lineRule="atLeast"/>
              <w:jc w:val="left"/>
              <w:textAlignment w:val="auto"/>
              <w:rPr>
                <w:rFonts w:hint="eastAsia" w:ascii="Arial" w:hAnsi="Arial" w:eastAsia="Arial" w:cs="Arial"/>
                <w:b w:val="0"/>
                <w:color w:val="000000"/>
                <w:vertAlign w:val="baseline"/>
              </w:rPr>
            </w:pPr>
            <w:r>
              <w:rPr>
                <w:rFonts w:hint="eastAsia" w:ascii="Arial" w:hAnsi="Arial" w:eastAsia="Arial" w:cs="Arial"/>
                <w:b w:val="0"/>
                <w:color w:val="000000"/>
                <w:vertAlign w:val="baseline"/>
              </w:rPr>
              <w:t>From Aminer (Academic Search)</w:t>
            </w:r>
          </w:p>
        </w:tc>
        <w:tc>
          <w:tcPr>
            <w:tcW w:w="717" w:type="pct"/>
            <w:tcBorders>
              <w:tl2br w:val="nil"/>
              <w:tr2bl w:val="nil"/>
            </w:tcBorders>
            <w:shd w:val="clear" w:color="auto" w:fill="FFFFFF"/>
            <w:vAlign w:val="center"/>
          </w:tcPr>
          <w:p w14:paraId="3D7A7110">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T</w:t>
            </w:r>
          </w:p>
        </w:tc>
        <w:tc>
          <w:tcPr>
            <w:tcW w:w="836" w:type="pct"/>
            <w:tcBorders>
              <w:tl2br w:val="nil"/>
              <w:tr2bl w:val="nil"/>
            </w:tcBorders>
            <w:shd w:val="clear" w:color="auto" w:fill="FFFFFF"/>
            <w:vAlign w:val="center"/>
          </w:tcPr>
          <w:p w14:paraId="4BF80D8B">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P</w:t>
            </w:r>
          </w:p>
        </w:tc>
        <w:tc>
          <w:tcPr>
            <w:tcW w:w="711" w:type="pct"/>
            <w:tcBorders>
              <w:tl2br w:val="nil"/>
              <w:tr2bl w:val="nil"/>
            </w:tcBorders>
            <w:shd w:val="clear" w:color="auto" w:fill="FFFFFF"/>
            <w:vAlign w:val="center"/>
          </w:tcPr>
          <w:p w14:paraId="473A8A0D">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P</w:t>
            </w:r>
          </w:p>
        </w:tc>
        <w:tc>
          <w:tcPr>
            <w:tcW w:w="769" w:type="pct"/>
            <w:tcBorders>
              <w:tl2br w:val="nil"/>
              <w:tr2bl w:val="nil"/>
            </w:tcBorders>
            <w:shd w:val="clear" w:color="auto" w:fill="FFFFFF"/>
            <w:vAlign w:val="center"/>
          </w:tcPr>
          <w:p w14:paraId="1D4887BE">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P</w:t>
            </w:r>
          </w:p>
        </w:tc>
        <w:tc>
          <w:tcPr>
            <w:tcW w:w="842" w:type="pct"/>
            <w:tcBorders>
              <w:tl2br w:val="nil"/>
              <w:tr2bl w:val="nil"/>
            </w:tcBorders>
            <w:shd w:val="clear" w:color="auto" w:fill="FFFFFF"/>
            <w:vAlign w:val="center"/>
          </w:tcPr>
          <w:p w14:paraId="46467DE6">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2,054</w:t>
            </w:r>
          </w:p>
        </w:tc>
      </w:tr>
      <w:tr w14:paraId="5945E028">
        <w:trPr>
          <w:trHeight w:val="634" w:hRule="atLeast"/>
          <w:jc w:val="center"/>
        </w:trPr>
        <w:tc>
          <w:tcPr>
            <w:tcW w:w="1122" w:type="pct"/>
            <w:tcBorders>
              <w:tl2br w:val="nil"/>
              <w:tr2bl w:val="nil"/>
            </w:tcBorders>
            <w:shd w:val="clear" w:color="auto" w:fill="FFFFFF"/>
            <w:vAlign w:val="center"/>
          </w:tcPr>
          <w:p w14:paraId="03550643">
            <w:pPr>
              <w:keepNext w:val="0"/>
              <w:keepLines w:val="0"/>
              <w:pageBreakBefore w:val="0"/>
              <w:widowControl w:val="0"/>
              <w:kinsoku/>
              <w:wordWrap/>
              <w:overflowPunct/>
              <w:topLinePunct w:val="0"/>
              <w:autoSpaceDE/>
              <w:autoSpaceDN/>
              <w:bidi w:val="0"/>
              <w:adjustRightInd/>
              <w:snapToGrid/>
              <w:spacing w:line="0" w:lineRule="atLeast"/>
              <w:jc w:val="left"/>
              <w:textAlignment w:val="auto"/>
              <w:rPr>
                <w:rFonts w:hint="eastAsia" w:ascii="Arial" w:hAnsi="Arial" w:eastAsia="Arial" w:cs="Arial"/>
                <w:b w:val="0"/>
                <w:color w:val="000000"/>
                <w:vertAlign w:val="baseline"/>
              </w:rPr>
            </w:pPr>
            <w:r>
              <w:rPr>
                <w:rFonts w:hint="eastAsia" w:ascii="Arial" w:hAnsi="Arial" w:eastAsia="Arial" w:cs="Arial"/>
                <w:b w:val="0"/>
                <w:color w:val="000000"/>
                <w:vertAlign w:val="baseline"/>
              </w:rPr>
              <w:t>TA Answer Browser</w:t>
            </w:r>
          </w:p>
        </w:tc>
        <w:tc>
          <w:tcPr>
            <w:tcW w:w="717" w:type="pct"/>
            <w:tcBorders>
              <w:tl2br w:val="nil"/>
              <w:tr2bl w:val="nil"/>
            </w:tcBorders>
            <w:shd w:val="clear" w:color="auto" w:fill="FFFFFF"/>
            <w:vAlign w:val="center"/>
          </w:tcPr>
          <w:p w14:paraId="51EFDCE0">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O</w:t>
            </w:r>
          </w:p>
        </w:tc>
        <w:tc>
          <w:tcPr>
            <w:tcW w:w="836" w:type="pct"/>
            <w:tcBorders>
              <w:tl2br w:val="nil"/>
              <w:tr2bl w:val="nil"/>
            </w:tcBorders>
            <w:shd w:val="clear" w:color="auto" w:fill="FFFFFF"/>
            <w:vAlign w:val="center"/>
          </w:tcPr>
          <w:p w14:paraId="2A51EF2C">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T</w:t>
            </w:r>
          </w:p>
        </w:tc>
        <w:tc>
          <w:tcPr>
            <w:tcW w:w="711" w:type="pct"/>
            <w:tcBorders>
              <w:tl2br w:val="nil"/>
              <w:tr2bl w:val="nil"/>
            </w:tcBorders>
            <w:shd w:val="clear" w:color="auto" w:fill="FFFFFF"/>
            <w:vAlign w:val="center"/>
          </w:tcPr>
          <w:p w14:paraId="6BA393B7">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O</w:t>
            </w:r>
          </w:p>
        </w:tc>
        <w:tc>
          <w:tcPr>
            <w:tcW w:w="769" w:type="pct"/>
            <w:tcBorders>
              <w:tl2br w:val="nil"/>
              <w:tr2bl w:val="nil"/>
            </w:tcBorders>
            <w:shd w:val="clear" w:color="auto" w:fill="FFFFFF"/>
            <w:vAlign w:val="center"/>
          </w:tcPr>
          <w:p w14:paraId="599588C7">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R</w:t>
            </w:r>
          </w:p>
        </w:tc>
        <w:tc>
          <w:tcPr>
            <w:tcW w:w="842" w:type="pct"/>
            <w:tcBorders>
              <w:tl2br w:val="nil"/>
              <w:tr2bl w:val="nil"/>
            </w:tcBorders>
            <w:shd w:val="clear" w:color="auto" w:fill="FFFFFF"/>
            <w:vAlign w:val="center"/>
          </w:tcPr>
          <w:p w14:paraId="5D062669">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758</w:t>
            </w:r>
          </w:p>
        </w:tc>
      </w:tr>
      <w:tr w14:paraId="33CB4116">
        <w:trPr>
          <w:trHeight w:val="634" w:hRule="atLeast"/>
          <w:jc w:val="center"/>
        </w:trPr>
        <w:tc>
          <w:tcPr>
            <w:tcW w:w="1122" w:type="pct"/>
            <w:tcBorders>
              <w:tl2br w:val="nil"/>
              <w:tr2bl w:val="nil"/>
            </w:tcBorders>
            <w:shd w:val="clear" w:color="auto" w:fill="FFFFFF"/>
            <w:vAlign w:val="center"/>
          </w:tcPr>
          <w:p w14:paraId="445A4D7C">
            <w:pPr>
              <w:keepNext w:val="0"/>
              <w:keepLines w:val="0"/>
              <w:pageBreakBefore w:val="0"/>
              <w:widowControl w:val="0"/>
              <w:kinsoku/>
              <w:wordWrap/>
              <w:overflowPunct/>
              <w:topLinePunct w:val="0"/>
              <w:autoSpaceDE/>
              <w:autoSpaceDN/>
              <w:bidi w:val="0"/>
              <w:adjustRightInd/>
              <w:snapToGrid/>
              <w:spacing w:line="0" w:lineRule="atLeast"/>
              <w:jc w:val="left"/>
              <w:textAlignment w:val="auto"/>
              <w:rPr>
                <w:rFonts w:hint="eastAsia" w:ascii="Arial" w:hAnsi="Arial" w:eastAsia="Arial" w:cs="Arial"/>
                <w:b w:val="0"/>
                <w:color w:val="000000"/>
                <w:vertAlign w:val="baseline"/>
              </w:rPr>
            </w:pPr>
            <w:r>
              <w:rPr>
                <w:rFonts w:hint="eastAsia" w:ascii="Arial" w:hAnsi="Arial" w:eastAsia="Arial" w:cs="Arial"/>
                <w:b w:val="0"/>
                <w:color w:val="000000"/>
                <w:vertAlign w:val="baseline"/>
              </w:rPr>
              <w:t>Pop-up Reflection Question</w:t>
            </w:r>
          </w:p>
        </w:tc>
        <w:tc>
          <w:tcPr>
            <w:tcW w:w="717" w:type="pct"/>
            <w:tcBorders>
              <w:tl2br w:val="nil"/>
              <w:tr2bl w:val="nil"/>
            </w:tcBorders>
            <w:shd w:val="clear" w:color="auto" w:fill="FFFFFF"/>
            <w:vAlign w:val="center"/>
          </w:tcPr>
          <w:p w14:paraId="47E30DE6">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P</w:t>
            </w:r>
          </w:p>
        </w:tc>
        <w:tc>
          <w:tcPr>
            <w:tcW w:w="836" w:type="pct"/>
            <w:tcBorders>
              <w:tl2br w:val="nil"/>
              <w:tr2bl w:val="nil"/>
            </w:tcBorders>
            <w:shd w:val="clear" w:color="auto" w:fill="FFFFFF"/>
            <w:vAlign w:val="center"/>
          </w:tcPr>
          <w:p w14:paraId="0BB849CC">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P</w:t>
            </w:r>
          </w:p>
        </w:tc>
        <w:tc>
          <w:tcPr>
            <w:tcW w:w="711" w:type="pct"/>
            <w:tcBorders>
              <w:tl2br w:val="nil"/>
              <w:tr2bl w:val="nil"/>
            </w:tcBorders>
            <w:shd w:val="clear" w:color="auto" w:fill="FFFFFF"/>
            <w:vAlign w:val="center"/>
          </w:tcPr>
          <w:p w14:paraId="130694A2">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P</w:t>
            </w:r>
          </w:p>
        </w:tc>
        <w:tc>
          <w:tcPr>
            <w:tcW w:w="769" w:type="pct"/>
            <w:tcBorders>
              <w:tl2br w:val="nil"/>
              <w:tr2bl w:val="nil"/>
            </w:tcBorders>
            <w:shd w:val="clear" w:color="auto" w:fill="FFFFFF"/>
            <w:vAlign w:val="center"/>
          </w:tcPr>
          <w:p w14:paraId="6675CED4">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R</w:t>
            </w:r>
          </w:p>
        </w:tc>
        <w:tc>
          <w:tcPr>
            <w:tcW w:w="842" w:type="pct"/>
            <w:tcBorders>
              <w:tl2br w:val="nil"/>
              <w:tr2bl w:val="nil"/>
            </w:tcBorders>
            <w:shd w:val="clear" w:color="auto" w:fill="FFFFFF"/>
            <w:vAlign w:val="center"/>
          </w:tcPr>
          <w:p w14:paraId="6A0CCA4D">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753</w:t>
            </w:r>
          </w:p>
        </w:tc>
      </w:tr>
      <w:tr w14:paraId="1B416D81">
        <w:trPr>
          <w:trHeight w:val="634" w:hRule="atLeast"/>
          <w:jc w:val="center"/>
        </w:trPr>
        <w:tc>
          <w:tcPr>
            <w:tcW w:w="1122" w:type="pct"/>
            <w:tcBorders>
              <w:tl2br w:val="nil"/>
              <w:tr2bl w:val="nil"/>
            </w:tcBorders>
            <w:shd w:val="clear" w:color="auto" w:fill="FFFFFF"/>
            <w:vAlign w:val="center"/>
          </w:tcPr>
          <w:p w14:paraId="5C55B5D8">
            <w:pPr>
              <w:keepNext w:val="0"/>
              <w:keepLines w:val="0"/>
              <w:pageBreakBefore w:val="0"/>
              <w:widowControl w:val="0"/>
              <w:kinsoku/>
              <w:wordWrap/>
              <w:overflowPunct/>
              <w:topLinePunct w:val="0"/>
              <w:autoSpaceDE/>
              <w:autoSpaceDN/>
              <w:bidi w:val="0"/>
              <w:adjustRightInd/>
              <w:snapToGrid/>
              <w:spacing w:line="0" w:lineRule="atLeast"/>
              <w:jc w:val="left"/>
              <w:textAlignment w:val="auto"/>
              <w:rPr>
                <w:rFonts w:hint="eastAsia" w:ascii="Arial" w:hAnsi="Arial" w:eastAsia="Arial" w:cs="Arial"/>
                <w:b w:val="0"/>
                <w:color w:val="000000"/>
                <w:vertAlign w:val="baseline"/>
              </w:rPr>
            </w:pPr>
            <w:r>
              <w:rPr>
                <w:rFonts w:hint="eastAsia" w:ascii="Arial" w:hAnsi="Arial" w:eastAsia="Arial" w:cs="Arial"/>
                <w:b w:val="0"/>
                <w:color w:val="000000"/>
                <w:vertAlign w:val="baseline"/>
              </w:rPr>
              <w:t>System Cannot Answer</w:t>
            </w:r>
          </w:p>
        </w:tc>
        <w:tc>
          <w:tcPr>
            <w:tcW w:w="717" w:type="pct"/>
            <w:tcBorders>
              <w:tl2br w:val="nil"/>
              <w:tr2bl w:val="nil"/>
            </w:tcBorders>
            <w:shd w:val="clear" w:color="auto" w:fill="FFFFFF"/>
            <w:vAlign w:val="center"/>
          </w:tcPr>
          <w:p w14:paraId="4CD54A21">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O</w:t>
            </w:r>
          </w:p>
        </w:tc>
        <w:tc>
          <w:tcPr>
            <w:tcW w:w="836" w:type="pct"/>
            <w:tcBorders>
              <w:tl2br w:val="nil"/>
              <w:tr2bl w:val="nil"/>
            </w:tcBorders>
            <w:shd w:val="clear" w:color="auto" w:fill="FFFFFF"/>
            <w:vAlign w:val="center"/>
          </w:tcPr>
          <w:p w14:paraId="3656EEBE">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O</w:t>
            </w:r>
          </w:p>
        </w:tc>
        <w:tc>
          <w:tcPr>
            <w:tcW w:w="711" w:type="pct"/>
            <w:tcBorders>
              <w:tl2br w:val="nil"/>
              <w:tr2bl w:val="nil"/>
            </w:tcBorders>
            <w:shd w:val="clear" w:color="auto" w:fill="FFFFFF"/>
            <w:vAlign w:val="center"/>
          </w:tcPr>
          <w:p w14:paraId="5CCDBC0D">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O</w:t>
            </w:r>
          </w:p>
        </w:tc>
        <w:tc>
          <w:tcPr>
            <w:tcW w:w="769" w:type="pct"/>
            <w:tcBorders>
              <w:tl2br w:val="nil"/>
              <w:tr2bl w:val="nil"/>
            </w:tcBorders>
            <w:shd w:val="clear" w:color="auto" w:fill="FFFFFF"/>
            <w:vAlign w:val="center"/>
          </w:tcPr>
          <w:p w14:paraId="792B1CA3">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O</w:t>
            </w:r>
          </w:p>
        </w:tc>
        <w:tc>
          <w:tcPr>
            <w:tcW w:w="842" w:type="pct"/>
            <w:tcBorders>
              <w:tl2br w:val="nil"/>
              <w:tr2bl w:val="nil"/>
            </w:tcBorders>
            <w:shd w:val="clear" w:color="auto" w:fill="FFFFFF"/>
            <w:vAlign w:val="center"/>
          </w:tcPr>
          <w:p w14:paraId="33C58DD7">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599</w:t>
            </w:r>
          </w:p>
        </w:tc>
      </w:tr>
      <w:tr w14:paraId="7F95D8D7">
        <w:trPr>
          <w:trHeight w:val="634" w:hRule="atLeast"/>
          <w:jc w:val="center"/>
        </w:trPr>
        <w:tc>
          <w:tcPr>
            <w:tcW w:w="1122" w:type="pct"/>
            <w:tcBorders>
              <w:tl2br w:val="nil"/>
              <w:tr2bl w:val="nil"/>
            </w:tcBorders>
            <w:shd w:val="clear" w:color="auto" w:fill="FFFFFF"/>
            <w:vAlign w:val="center"/>
          </w:tcPr>
          <w:p w14:paraId="729ECCFF">
            <w:pPr>
              <w:keepNext w:val="0"/>
              <w:keepLines w:val="0"/>
              <w:pageBreakBefore w:val="0"/>
              <w:widowControl w:val="0"/>
              <w:kinsoku/>
              <w:wordWrap/>
              <w:overflowPunct/>
              <w:topLinePunct w:val="0"/>
              <w:autoSpaceDE/>
              <w:autoSpaceDN/>
              <w:bidi w:val="0"/>
              <w:adjustRightInd/>
              <w:snapToGrid/>
              <w:spacing w:line="0" w:lineRule="atLeast"/>
              <w:jc w:val="left"/>
              <w:textAlignment w:val="auto"/>
              <w:rPr>
                <w:rFonts w:hint="eastAsia" w:ascii="Arial" w:hAnsi="Arial" w:eastAsia="Arial" w:cs="Arial"/>
                <w:b w:val="0"/>
                <w:color w:val="000000"/>
                <w:vertAlign w:val="baseline"/>
              </w:rPr>
            </w:pPr>
            <w:r>
              <w:rPr>
                <w:rFonts w:hint="eastAsia" w:ascii="Arial" w:hAnsi="Arial" w:eastAsia="Arial" w:cs="Arial"/>
                <w:b w:val="0"/>
                <w:color w:val="000000"/>
                <w:vertAlign w:val="baseline"/>
              </w:rPr>
              <w:t>Ask TA (Human)</w:t>
            </w:r>
          </w:p>
        </w:tc>
        <w:tc>
          <w:tcPr>
            <w:tcW w:w="717" w:type="pct"/>
            <w:tcBorders>
              <w:tl2br w:val="nil"/>
              <w:tr2bl w:val="nil"/>
            </w:tcBorders>
            <w:shd w:val="clear" w:color="auto" w:fill="FFFFFF"/>
            <w:vAlign w:val="center"/>
          </w:tcPr>
          <w:p w14:paraId="26B77290">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O</w:t>
            </w:r>
          </w:p>
        </w:tc>
        <w:tc>
          <w:tcPr>
            <w:tcW w:w="836" w:type="pct"/>
            <w:tcBorders>
              <w:tl2br w:val="nil"/>
              <w:tr2bl w:val="nil"/>
            </w:tcBorders>
            <w:shd w:val="clear" w:color="auto" w:fill="FFFFFF"/>
            <w:vAlign w:val="center"/>
          </w:tcPr>
          <w:p w14:paraId="08C09D7F">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O</w:t>
            </w:r>
          </w:p>
        </w:tc>
        <w:tc>
          <w:tcPr>
            <w:tcW w:w="711" w:type="pct"/>
            <w:tcBorders>
              <w:tl2br w:val="nil"/>
              <w:tr2bl w:val="nil"/>
            </w:tcBorders>
            <w:shd w:val="clear" w:color="auto" w:fill="FFFFFF"/>
            <w:vAlign w:val="center"/>
          </w:tcPr>
          <w:p w14:paraId="63FC50B4">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O</w:t>
            </w:r>
          </w:p>
        </w:tc>
        <w:tc>
          <w:tcPr>
            <w:tcW w:w="769" w:type="pct"/>
            <w:tcBorders>
              <w:tl2br w:val="nil"/>
              <w:tr2bl w:val="nil"/>
            </w:tcBorders>
            <w:shd w:val="clear" w:color="auto" w:fill="FFFFFF"/>
            <w:vAlign w:val="center"/>
          </w:tcPr>
          <w:p w14:paraId="7E1F9C75">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R</w:t>
            </w:r>
          </w:p>
        </w:tc>
        <w:tc>
          <w:tcPr>
            <w:tcW w:w="842" w:type="pct"/>
            <w:tcBorders>
              <w:tl2br w:val="nil"/>
              <w:tr2bl w:val="nil"/>
            </w:tcBorders>
            <w:shd w:val="clear" w:color="auto" w:fill="FFFFFF"/>
            <w:vAlign w:val="center"/>
          </w:tcPr>
          <w:p w14:paraId="3CBD3826">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393</w:t>
            </w:r>
          </w:p>
        </w:tc>
      </w:tr>
      <w:tr w14:paraId="45119ADB">
        <w:trPr>
          <w:trHeight w:val="634" w:hRule="atLeast"/>
          <w:jc w:val="center"/>
        </w:trPr>
        <w:tc>
          <w:tcPr>
            <w:tcW w:w="1122" w:type="pct"/>
            <w:tcBorders>
              <w:tl2br w:val="nil"/>
              <w:tr2bl w:val="nil"/>
            </w:tcBorders>
            <w:shd w:val="clear" w:color="auto" w:fill="FFFFFF"/>
            <w:vAlign w:val="center"/>
          </w:tcPr>
          <w:p w14:paraId="7CF13596">
            <w:pPr>
              <w:keepNext w:val="0"/>
              <w:keepLines w:val="0"/>
              <w:pageBreakBefore w:val="0"/>
              <w:widowControl w:val="0"/>
              <w:kinsoku/>
              <w:wordWrap/>
              <w:overflowPunct/>
              <w:topLinePunct w:val="0"/>
              <w:autoSpaceDE/>
              <w:autoSpaceDN/>
              <w:bidi w:val="0"/>
              <w:adjustRightInd/>
              <w:snapToGrid/>
              <w:spacing w:line="0" w:lineRule="atLeast"/>
              <w:jc w:val="left"/>
              <w:textAlignment w:val="auto"/>
              <w:rPr>
                <w:rFonts w:hint="eastAsia" w:ascii="Arial" w:hAnsi="Arial" w:eastAsia="Arial" w:cs="Arial"/>
                <w:b w:val="0"/>
                <w:color w:val="000000"/>
                <w:vertAlign w:val="baseline"/>
              </w:rPr>
            </w:pPr>
            <w:r>
              <w:rPr>
                <w:rFonts w:hint="eastAsia" w:ascii="Arial" w:hAnsi="Arial" w:eastAsia="Arial" w:cs="Arial"/>
                <w:b w:val="0"/>
                <w:color w:val="000000"/>
                <w:vertAlign w:val="baseline"/>
              </w:rPr>
              <w:t>Arithmetic Calculator</w:t>
            </w:r>
          </w:p>
        </w:tc>
        <w:tc>
          <w:tcPr>
            <w:tcW w:w="717" w:type="pct"/>
            <w:tcBorders>
              <w:tl2br w:val="nil"/>
              <w:tr2bl w:val="nil"/>
            </w:tcBorders>
            <w:shd w:val="clear" w:color="auto" w:fill="FFFFFF"/>
            <w:vAlign w:val="center"/>
          </w:tcPr>
          <w:p w14:paraId="1538D79A">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O</w:t>
            </w:r>
          </w:p>
        </w:tc>
        <w:tc>
          <w:tcPr>
            <w:tcW w:w="836" w:type="pct"/>
            <w:tcBorders>
              <w:tl2br w:val="nil"/>
              <w:tr2bl w:val="nil"/>
            </w:tcBorders>
            <w:shd w:val="clear" w:color="auto" w:fill="FFFFFF"/>
            <w:vAlign w:val="center"/>
          </w:tcPr>
          <w:p w14:paraId="5C9A0A62">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O</w:t>
            </w:r>
          </w:p>
        </w:tc>
        <w:tc>
          <w:tcPr>
            <w:tcW w:w="711" w:type="pct"/>
            <w:tcBorders>
              <w:tl2br w:val="nil"/>
              <w:tr2bl w:val="nil"/>
            </w:tcBorders>
            <w:shd w:val="clear" w:color="auto" w:fill="FFFFFF"/>
            <w:vAlign w:val="center"/>
          </w:tcPr>
          <w:p w14:paraId="354048E4">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O</w:t>
            </w:r>
          </w:p>
        </w:tc>
        <w:tc>
          <w:tcPr>
            <w:tcW w:w="769" w:type="pct"/>
            <w:tcBorders>
              <w:tl2br w:val="nil"/>
              <w:tr2bl w:val="nil"/>
            </w:tcBorders>
            <w:shd w:val="clear" w:color="auto" w:fill="FFFFFF"/>
            <w:vAlign w:val="center"/>
          </w:tcPr>
          <w:p w14:paraId="675F4434">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T</w:t>
            </w:r>
          </w:p>
        </w:tc>
        <w:tc>
          <w:tcPr>
            <w:tcW w:w="842" w:type="pct"/>
            <w:tcBorders>
              <w:tl2br w:val="nil"/>
              <w:tr2bl w:val="nil"/>
            </w:tcBorders>
            <w:shd w:val="clear" w:color="auto" w:fill="FFFFFF"/>
            <w:vAlign w:val="center"/>
          </w:tcPr>
          <w:p w14:paraId="2EB3A866">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288</w:t>
            </w:r>
          </w:p>
        </w:tc>
      </w:tr>
      <w:tr w14:paraId="70600BE9">
        <w:trPr>
          <w:trHeight w:val="634" w:hRule="atLeast"/>
          <w:jc w:val="center"/>
        </w:trPr>
        <w:tc>
          <w:tcPr>
            <w:tcW w:w="1122" w:type="pct"/>
            <w:tcBorders>
              <w:tl2br w:val="nil"/>
              <w:tr2bl w:val="nil"/>
            </w:tcBorders>
            <w:shd w:val="clear" w:color="auto" w:fill="FFFFFF"/>
            <w:vAlign w:val="center"/>
          </w:tcPr>
          <w:p w14:paraId="311E778A">
            <w:pPr>
              <w:keepNext w:val="0"/>
              <w:keepLines w:val="0"/>
              <w:pageBreakBefore w:val="0"/>
              <w:widowControl w:val="0"/>
              <w:kinsoku/>
              <w:wordWrap/>
              <w:overflowPunct/>
              <w:topLinePunct w:val="0"/>
              <w:autoSpaceDE/>
              <w:autoSpaceDN/>
              <w:bidi w:val="0"/>
              <w:adjustRightInd/>
              <w:snapToGrid/>
              <w:spacing w:line="0" w:lineRule="atLeast"/>
              <w:jc w:val="left"/>
              <w:textAlignment w:val="auto"/>
              <w:rPr>
                <w:rFonts w:hint="eastAsia" w:ascii="Arial" w:hAnsi="Arial" w:eastAsia="Arial" w:cs="Arial"/>
                <w:b w:val="0"/>
                <w:color w:val="000000"/>
                <w:vertAlign w:val="baseline"/>
              </w:rPr>
            </w:pPr>
            <w:r>
              <w:rPr>
                <w:rFonts w:hint="eastAsia" w:ascii="Arial" w:hAnsi="Arial" w:eastAsia="Arial" w:cs="Arial"/>
                <w:b w:val="0"/>
                <w:color w:val="000000"/>
                <w:vertAlign w:val="baseline"/>
              </w:rPr>
              <w:t>Inappropriate Input (Filtered)</w:t>
            </w:r>
          </w:p>
        </w:tc>
        <w:tc>
          <w:tcPr>
            <w:tcW w:w="717" w:type="pct"/>
            <w:tcBorders>
              <w:tl2br w:val="nil"/>
              <w:tr2bl w:val="nil"/>
            </w:tcBorders>
            <w:shd w:val="clear" w:color="auto" w:fill="FFFFFF"/>
            <w:vAlign w:val="center"/>
          </w:tcPr>
          <w:p w14:paraId="447B1E4F">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O</w:t>
            </w:r>
          </w:p>
        </w:tc>
        <w:tc>
          <w:tcPr>
            <w:tcW w:w="836" w:type="pct"/>
            <w:tcBorders>
              <w:tl2br w:val="nil"/>
              <w:tr2bl w:val="nil"/>
            </w:tcBorders>
            <w:shd w:val="clear" w:color="auto" w:fill="FFFFFF"/>
            <w:vAlign w:val="center"/>
          </w:tcPr>
          <w:p w14:paraId="4006D49A">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O</w:t>
            </w:r>
          </w:p>
        </w:tc>
        <w:tc>
          <w:tcPr>
            <w:tcW w:w="711" w:type="pct"/>
            <w:tcBorders>
              <w:tl2br w:val="nil"/>
              <w:tr2bl w:val="nil"/>
            </w:tcBorders>
            <w:shd w:val="clear" w:color="auto" w:fill="FFFFFF"/>
            <w:vAlign w:val="center"/>
          </w:tcPr>
          <w:p w14:paraId="669907C5">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O</w:t>
            </w:r>
          </w:p>
        </w:tc>
        <w:tc>
          <w:tcPr>
            <w:tcW w:w="769" w:type="pct"/>
            <w:tcBorders>
              <w:tl2br w:val="nil"/>
              <w:tr2bl w:val="nil"/>
            </w:tcBorders>
            <w:shd w:val="clear" w:color="auto" w:fill="FFFFFF"/>
            <w:vAlign w:val="center"/>
          </w:tcPr>
          <w:p w14:paraId="33F6955C">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O</w:t>
            </w:r>
          </w:p>
        </w:tc>
        <w:tc>
          <w:tcPr>
            <w:tcW w:w="842" w:type="pct"/>
            <w:tcBorders>
              <w:tl2br w:val="nil"/>
              <w:tr2bl w:val="nil"/>
            </w:tcBorders>
            <w:shd w:val="clear" w:color="auto" w:fill="FFFFFF"/>
            <w:vAlign w:val="center"/>
          </w:tcPr>
          <w:p w14:paraId="50C05C05">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218</w:t>
            </w:r>
          </w:p>
        </w:tc>
      </w:tr>
      <w:tr w14:paraId="730219D7">
        <w:trPr>
          <w:trHeight w:val="634" w:hRule="atLeast"/>
          <w:jc w:val="center"/>
        </w:trPr>
        <w:tc>
          <w:tcPr>
            <w:tcW w:w="1122" w:type="pct"/>
            <w:tcBorders>
              <w:tl2br w:val="nil"/>
              <w:tr2bl w:val="nil"/>
            </w:tcBorders>
            <w:shd w:val="clear" w:color="auto" w:fill="FFFFFF"/>
            <w:vAlign w:val="center"/>
          </w:tcPr>
          <w:p w14:paraId="47420872">
            <w:pPr>
              <w:keepNext w:val="0"/>
              <w:keepLines w:val="0"/>
              <w:pageBreakBefore w:val="0"/>
              <w:widowControl w:val="0"/>
              <w:kinsoku/>
              <w:wordWrap/>
              <w:overflowPunct/>
              <w:topLinePunct w:val="0"/>
              <w:autoSpaceDE/>
              <w:autoSpaceDN/>
              <w:bidi w:val="0"/>
              <w:adjustRightInd/>
              <w:snapToGrid/>
              <w:spacing w:line="0" w:lineRule="atLeast"/>
              <w:jc w:val="left"/>
              <w:textAlignment w:val="auto"/>
              <w:rPr>
                <w:rFonts w:hint="eastAsia" w:ascii="Arial" w:hAnsi="Arial" w:eastAsia="Arial" w:cs="Arial"/>
                <w:b w:val="0"/>
                <w:color w:val="000000"/>
                <w:vertAlign w:val="baseline"/>
              </w:rPr>
            </w:pPr>
            <w:r>
              <w:rPr>
                <w:rFonts w:hint="eastAsia" w:ascii="Arial" w:hAnsi="Arial" w:eastAsia="Arial" w:cs="Arial"/>
                <w:b w:val="0"/>
                <w:color w:val="000000"/>
                <w:vertAlign w:val="baseline"/>
              </w:rPr>
              <w:t>From Course Information</w:t>
            </w:r>
          </w:p>
        </w:tc>
        <w:tc>
          <w:tcPr>
            <w:tcW w:w="717" w:type="pct"/>
            <w:tcBorders>
              <w:tl2br w:val="nil"/>
              <w:tr2bl w:val="nil"/>
            </w:tcBorders>
            <w:shd w:val="clear" w:color="auto" w:fill="FFFFFF"/>
            <w:vAlign w:val="center"/>
          </w:tcPr>
          <w:p w14:paraId="50CBEF27">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O</w:t>
            </w:r>
          </w:p>
        </w:tc>
        <w:tc>
          <w:tcPr>
            <w:tcW w:w="836" w:type="pct"/>
            <w:tcBorders>
              <w:tl2br w:val="nil"/>
              <w:tr2bl w:val="nil"/>
            </w:tcBorders>
            <w:shd w:val="clear" w:color="auto" w:fill="FFFFFF"/>
            <w:vAlign w:val="center"/>
          </w:tcPr>
          <w:p w14:paraId="0321CA14">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O</w:t>
            </w:r>
          </w:p>
        </w:tc>
        <w:tc>
          <w:tcPr>
            <w:tcW w:w="711" w:type="pct"/>
            <w:tcBorders>
              <w:tl2br w:val="nil"/>
              <w:tr2bl w:val="nil"/>
            </w:tcBorders>
            <w:shd w:val="clear" w:color="auto" w:fill="FFFFFF"/>
            <w:vAlign w:val="center"/>
          </w:tcPr>
          <w:p w14:paraId="21F52EF1">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O</w:t>
            </w:r>
          </w:p>
        </w:tc>
        <w:tc>
          <w:tcPr>
            <w:tcW w:w="769" w:type="pct"/>
            <w:tcBorders>
              <w:tl2br w:val="nil"/>
              <w:tr2bl w:val="nil"/>
            </w:tcBorders>
            <w:shd w:val="clear" w:color="auto" w:fill="FFFFFF"/>
            <w:vAlign w:val="center"/>
          </w:tcPr>
          <w:p w14:paraId="68CB8420">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eastAsia"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T</w:t>
            </w:r>
          </w:p>
        </w:tc>
        <w:tc>
          <w:tcPr>
            <w:tcW w:w="842" w:type="pct"/>
            <w:tcBorders>
              <w:tl2br w:val="nil"/>
              <w:tr2bl w:val="nil"/>
            </w:tcBorders>
            <w:shd w:val="clear" w:color="auto" w:fill="FFFFFF"/>
            <w:vAlign w:val="center"/>
          </w:tcPr>
          <w:p w14:paraId="41B60C34">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hint="default" w:ascii="Arial" w:hAnsi="Arial" w:eastAsia="宋体" w:cs="Arial"/>
                <w:b w:val="0"/>
                <w:color w:val="000000"/>
                <w:vertAlign w:val="baseline"/>
                <w:lang w:val="en-US" w:eastAsia="zh-CN"/>
              </w:rPr>
            </w:pPr>
            <w:r>
              <w:rPr>
                <w:rFonts w:hint="eastAsia" w:eastAsia="宋体" w:cs="Arial"/>
                <w:b w:val="0"/>
                <w:color w:val="000000"/>
                <w:vertAlign w:val="baseline"/>
                <w:lang w:val="en-US" w:eastAsia="zh-CN"/>
              </w:rPr>
              <w:t>119</w:t>
            </w:r>
          </w:p>
        </w:tc>
      </w:tr>
    </w:tbl>
    <w:p w14:paraId="42D268E5">
      <w:pPr>
        <w:widowControl/>
        <w:suppressAutoHyphens/>
        <w:bidi w:val="0"/>
        <w:spacing w:before="0" w:after="300"/>
        <w:jc w:val="left"/>
        <w:rPr>
          <w:rFonts w:hint="eastAsia"/>
          <w:i/>
          <w:iCs/>
          <w:color w:val="666666"/>
          <w:kern w:val="0"/>
          <w:sz w:val="20"/>
          <w:szCs w:val="20"/>
          <w:lang w:val="en-US" w:eastAsia="zh-CN" w:bidi="hi-IN"/>
        </w:rPr>
      </w:pPr>
      <w:r>
        <w:rPr>
          <w:rFonts w:hint="eastAsia"/>
          <w:i/>
          <w:iCs/>
          <w:color w:val="666666"/>
          <w:kern w:val="0"/>
          <w:sz w:val="20"/>
          <w:szCs w:val="20"/>
          <w:lang w:val="en-US" w:eastAsia="zh-CN" w:bidi="hi-IN"/>
        </w:rPr>
        <w:t>Note. The coder-anchored classification is used in the sensitivity analysis and is distinct from the remapped coder columns used to compute the post-remapping κ statistics in A.5. For System Cannot Answer and Inappropriate Input, O in this table corresponds to the Excluded category label in the post-remapping κ calculations. Neither feature is omitted from those calculations, and their interaction records remain in the denominator of per-user AI-usage shares.</w:t>
      </w:r>
    </w:p>
    <w:p w14:paraId="78E1A225">
      <w:pPr>
        <w:widowControl/>
        <w:suppressAutoHyphens/>
        <w:bidi w:val="0"/>
        <w:spacing w:before="0" w:after="300"/>
        <w:jc w:val="left"/>
        <w:rPr>
          <w:rFonts w:hint="eastAsia"/>
          <w:i/>
          <w:iCs/>
          <w:color w:val="666666"/>
          <w:kern w:val="0"/>
          <w:sz w:val="20"/>
          <w:szCs w:val="20"/>
          <w:lang w:val="en-US" w:eastAsia="zh-CN" w:bidi="hi-IN"/>
        </w:rPr>
      </w:pPr>
      <w:r>
        <w:rPr>
          <w:rFonts w:hint="eastAsia"/>
          <w:i/>
          <w:iCs/>
          <w:color w:val="666666"/>
          <w:kern w:val="0"/>
          <w:sz w:val="20"/>
          <w:szCs w:val="20"/>
          <w:lang w:val="en-US" w:eastAsia="zh-CN" w:bidi="hi-IN"/>
        </w:rPr>
        <w:t>注：编码者锚定分类用于敏感性分析，不等同于A.5计算重映射后κ所使用的编码者重映射列。对于System Cannot Answer与Inappropriate Input，本表中的O对应重映射后κ计算中的Excluded类别标签。这两项功能均未从κ计算中删除，其交互记录也保留在各用户AI使用占比的分母中。</w:t>
      </w:r>
    </w:p>
    <w:p w14:paraId="37644520">
      <w:pPr>
        <w:spacing w:after="120" w:line="300" w:lineRule="auto"/>
        <w:rPr>
          <w:rFonts w:hint="eastAsia" w:ascii="Arial" w:hAnsi="Arial" w:eastAsia="Arial" w:cs="Arial"/>
        </w:rPr>
      </w:pPr>
      <w:r>
        <w:rPr>
          <w:rFonts w:hint="eastAsia" w:ascii="Arial" w:hAnsi="Arial" w:eastAsia="Arial" w:cs="Arial"/>
          <w:vertAlign w:val="superscript"/>
        </w:rPr>
        <w:t>†</w:t>
      </w:r>
      <w:r>
        <w:rPr>
          <w:rFonts w:hint="eastAsia" w:ascii="Arial" w:hAnsi="Arial" w:eastAsia="Arial" w:cs="Arial"/>
        </w:rPr>
        <w:t xml:space="preserve"> Baike-variant exception. The Baike base feature contains 3,166 interactions in the main analytic sample. Four have variant labels: two labelled </w:t>
      </w:r>
      <w:r>
        <w:rPr>
          <w:rFonts w:hint="default" w:ascii="Arial" w:hAnsi="Arial" w:eastAsia="Arial" w:cs="Arial"/>
        </w:rPr>
        <w:t>"</w:t>
      </w:r>
      <w:r>
        <w:rPr>
          <w:rFonts w:hint="eastAsia" w:ascii="Arial" w:hAnsi="Arial" w:eastAsia="Arial" w:cs="Arial"/>
        </w:rPr>
        <w:t>来自baike|视频答案</w:t>
      </w:r>
      <w:r>
        <w:rPr>
          <w:rFonts w:hint="default" w:ascii="Arial" w:hAnsi="Arial" w:eastAsia="Arial" w:cs="Arial"/>
        </w:rPr>
        <w:t>"</w:t>
      </w:r>
      <w:r>
        <w:rPr>
          <w:rFonts w:hint="eastAsia" w:ascii="Arial" w:hAnsi="Arial" w:eastAsia="Arial" w:cs="Arial"/>
        </w:rPr>
        <w:t xml:space="preserve"> and two labelled </w:t>
      </w:r>
      <w:r>
        <w:rPr>
          <w:rFonts w:hint="default" w:ascii="Arial" w:hAnsi="Arial" w:eastAsia="Arial" w:cs="Arial"/>
        </w:rPr>
        <w:t>"</w:t>
      </w:r>
      <w:r>
        <w:rPr>
          <w:rFonts w:hint="eastAsia" w:ascii="Arial" w:hAnsi="Arial" w:eastAsia="Arial" w:cs="Arial"/>
        </w:rPr>
        <w:t>来自baike|讨论区</w:t>
      </w:r>
      <w:r>
        <w:rPr>
          <w:rFonts w:hint="default" w:ascii="Arial" w:hAnsi="Arial" w:eastAsia="Arial" w:cs="Arial"/>
        </w:rPr>
        <w:t>"</w:t>
      </w:r>
      <w:r>
        <w:rPr>
          <w:rFonts w:hint="eastAsia" w:ascii="Arial" w:hAnsi="Arial" w:eastAsia="Arial" w:cs="Arial"/>
        </w:rPr>
        <w:t>. The historical pipeline assigned these four interactions to Process and the remaining 3,162 Baike interactions to Task. The neutral mapping normalises the four variants to the Baike base feature and assigns all 3,166 interactions to Task, as does the coder-anchored classification. The four-record difference accounts for the Process totals of 51,706 under the historical mapping and 51,702 under the neutral mapping. The neutral total of 51,702 precedes the further category changes introduced by the complete coder-anchored sensitivity analysis and is not the coder-anchored Process total.</w:t>
      </w:r>
    </w:p>
    <w:p w14:paraId="137538BF">
      <w:pPr>
        <w:spacing w:after="120" w:line="300" w:lineRule="auto"/>
        <w:rPr>
          <w:rFonts w:hint="eastAsia" w:ascii="Arial" w:hAnsi="Arial" w:eastAsia="Arial" w:cs="Arial"/>
        </w:rPr>
      </w:pPr>
      <w:r>
        <w:rPr>
          <w:rFonts w:hint="eastAsia" w:ascii="Arial" w:hAnsi="Arial" w:eastAsia="Arial" w:cs="Arial"/>
          <w:vertAlign w:val="superscript"/>
        </w:rPr>
        <w:t>†</w:t>
      </w:r>
      <w:r>
        <w:rPr>
          <w:rFonts w:hint="eastAsia" w:ascii="Arial" w:hAnsi="Arial" w:eastAsia="Arial" w:cs="Arial"/>
        </w:rPr>
        <w:t xml:space="preserve"> Baike变体例外。主分析样本中的Baike基础功能包含3,166次交互。其中4次使用变体标签：</w:t>
      </w:r>
      <w:r>
        <w:rPr>
          <w:rFonts w:hint="default" w:ascii="Arial" w:hAnsi="Arial" w:eastAsia="Arial" w:cs="Arial"/>
        </w:rPr>
        <w:t>"</w:t>
      </w:r>
      <w:r>
        <w:rPr>
          <w:rFonts w:hint="eastAsia" w:ascii="Arial" w:hAnsi="Arial" w:eastAsia="Arial" w:cs="Arial"/>
        </w:rPr>
        <w:t>来自baike|视频答案</w:t>
      </w:r>
      <w:r>
        <w:rPr>
          <w:rFonts w:hint="default" w:ascii="Arial" w:hAnsi="Arial" w:eastAsia="Arial" w:cs="Arial"/>
        </w:rPr>
        <w:t>"</w:t>
      </w:r>
      <w:r>
        <w:rPr>
          <w:rFonts w:hint="eastAsia" w:ascii="Arial" w:hAnsi="Arial" w:eastAsia="Arial" w:cs="Arial"/>
        </w:rPr>
        <w:t>2次，</w:t>
      </w:r>
      <w:r>
        <w:rPr>
          <w:rFonts w:hint="default" w:ascii="Arial" w:hAnsi="Arial" w:eastAsia="Arial" w:cs="Arial"/>
        </w:rPr>
        <w:t>"</w:t>
      </w:r>
      <w:r>
        <w:rPr>
          <w:rFonts w:hint="eastAsia" w:ascii="Arial" w:hAnsi="Arial" w:eastAsia="Arial" w:cs="Arial"/>
        </w:rPr>
        <w:t>来自baike|讨论区</w:t>
      </w:r>
      <w:r>
        <w:rPr>
          <w:rFonts w:hint="default" w:ascii="Arial" w:hAnsi="Arial" w:eastAsia="Arial" w:cs="Arial"/>
        </w:rPr>
        <w:t>"</w:t>
      </w:r>
      <w:r>
        <w:rPr>
          <w:rFonts w:hint="eastAsia" w:ascii="Arial" w:hAnsi="Arial" w:eastAsia="Arial" w:cs="Arial"/>
        </w:rPr>
        <w:t>2次。历史分析管线将这4次归为Process，其余3,162次归为Task。中性映射将这4次变体归一到Baike基础功能，并将全部3,166次归为Task；编码者锚定分类也将其全部归为Task。这4次交互的差异使历史映射与中性映射的Process总量分别为51,706与51,702。中性映射总量51,702是在进一步应用完整编码者锚定分类调整之前的统计量，并非编码者锚定分类的Process总量。</w:t>
      </w:r>
    </w:p>
    <w:sectPr>
      <w:pgSz w:w="12240" w:h="15840"/>
      <w:pgMar w:top="1440" w:right="1440" w:bottom="1440" w:left="1440" w:header="708" w:footer="708"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Arial Bold">
    <w:panose1 w:val="020B0604020202090204"/>
    <w:charset w:val="00"/>
    <w:family w:val="auto"/>
    <w:pitch w:val="default"/>
    <w:sig w:usb0="E0000AFF" w:usb1="00007843" w:usb2="00000001" w:usb3="00000000" w:csb0="400001BF" w:csb1="DFF70000"/>
  </w:font>
  <w:font w:name="Arial Italic">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Menlo">
    <w:panose1 w:val="020B0609030804020204"/>
    <w:charset w:val="00"/>
    <w:family w:val="auto"/>
    <w:pitch w:val="default"/>
    <w:sig w:usb0="E60022FF" w:usb1="D200F9FB" w:usb2="02000028" w:usb3="00000000" w:csb0="600001DF" w:csb1="FFD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FBBB14"/>
    <w:multiLevelType w:val="singleLevel"/>
    <w:tmpl w:val="F3FBBB14"/>
    <w:lvl w:ilvl="0" w:tentative="0">
      <w:start w:val="1"/>
      <w:numFmt w:val="bullet"/>
      <w:lvlText w:val="•"/>
      <w:lvlJc w:val="left"/>
      <w:pPr>
        <w:ind w:left="720" w:hanging="360"/>
      </w:pPr>
    </w:lvl>
  </w:abstractNum>
  <w:abstractNum w:abstractNumId="1">
    <w:nsid w:val="FEDBD541"/>
    <w:multiLevelType w:val="singleLevel"/>
    <w:tmpl w:val="FEDBD541"/>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5EFE685"/>
    <w:rsid w:val="63EF8AEE"/>
    <w:rsid w:val="75FF55A6"/>
    <w:rsid w:val="7B8B28C8"/>
    <w:rsid w:val="7BFF5FBC"/>
    <w:rsid w:val="7FD7552D"/>
    <w:rsid w:val="B775E8CC"/>
    <w:rsid w:val="DFFF3319"/>
    <w:rsid w:val="E9EDDC0C"/>
    <w:rsid w:val="EE0F3373"/>
    <w:rsid w:val="F1FE27CB"/>
    <w:rsid w:val="F7AE4CE3"/>
    <w:rsid w:val="FB55DDA9"/>
    <w:rsid w:val="FE474D29"/>
    <w:rsid w:val="FF774F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1F4E79"/>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pPr>
      <w:spacing w:before="180" w:after="100"/>
      <w:outlineLvl w:val="2"/>
    </w:pPr>
    <w:rPr>
      <w:rFonts w:ascii="Arial" w:hAnsi="Arial" w:eastAsia="Arial" w:cs="Arial"/>
      <w:b/>
      <w:bCs/>
      <w:color w:val="404040"/>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3">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9"/>
    <w:semiHidden/>
    <w:unhideWhenUsed/>
    <w:uiPriority w:val="99"/>
    <w:pPr>
      <w:spacing w:after="0" w:line="240" w:lineRule="auto"/>
    </w:pPr>
    <w:rPr>
      <w:rFonts w:ascii="Arial" w:hAnsi="Arial" w:eastAsia="Arial" w:cs="Arial"/>
      <w:sz w:val="20"/>
      <w:szCs w:val="20"/>
    </w:rPr>
  </w:style>
  <w:style w:type="paragraph" w:styleId="9">
    <w:name w:val="footnote text"/>
    <w:link w:val="18"/>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table" w:styleId="12">
    <w:name w:val="Table Grid"/>
    <w:basedOn w:val="11"/>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TotalTime>9</TotalTime>
  <ScaleCrop>false</ScaleCrop>
  <LinksUpToDate>false</LinksUpToDate>
  <Application>WPS Office_12.1.26046.26046_F1E327BC-269C-435d-A152-05C5408002CA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2026-10-03T10:39:00Z</dcterms:created>
  <dc:creator>Un-named</dc:creator>
  <cp:lastModifiedBy>nnfi12635</cp:lastModifiedBy>
  <dcterms:modified xsi:type="dcterms:W3CDTF">2026-10-08T10:00:10Z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0A0102F9FB99E8BECD161C6A1972AE72_42</vt:lpwstr>
  </property>
</Properties>
</file>