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CEF" w:rsidRDefault="001355C8" w:rsidP="0018367C">
      <w:pPr>
        <w:jc w:val="both"/>
      </w:pPr>
      <w:r>
        <w:t xml:space="preserve">Grupa I Analityk Sylwia </w:t>
      </w:r>
      <w:proofErr w:type="spellStart"/>
      <w:r>
        <w:t>Gargula</w:t>
      </w:r>
      <w:proofErr w:type="spellEnd"/>
    </w:p>
    <w:p w:rsidR="001355C8" w:rsidRDefault="001355C8" w:rsidP="0018367C">
      <w:pPr>
        <w:jc w:val="both"/>
      </w:pPr>
      <w:r>
        <w:t>Diagram przypadków użycia</w:t>
      </w:r>
    </w:p>
    <w:p w:rsidR="001355C8" w:rsidRDefault="001355C8" w:rsidP="0018367C">
      <w:pPr>
        <w:autoSpaceDE w:val="0"/>
        <w:autoSpaceDN w:val="0"/>
        <w:adjustRightInd w:val="0"/>
        <w:spacing w:after="0" w:line="240" w:lineRule="auto"/>
        <w:jc w:val="both"/>
        <w:rPr>
          <w:rFonts w:ascii="Transit511EU-Normal" w:hAnsi="Transit511EU-Normal" w:cs="Transit511EU-Normal"/>
          <w:sz w:val="20"/>
          <w:szCs w:val="20"/>
        </w:rPr>
      </w:pPr>
      <w:r>
        <w:rPr>
          <w:rFonts w:ascii="Transit511EU-Normal" w:hAnsi="Transit511EU-Normal" w:cs="Transit511EU-Normal"/>
          <w:sz w:val="20"/>
          <w:szCs w:val="20"/>
        </w:rPr>
        <w:t>„Diagramy przypadków użycia przedstawiają biznesowe przypadki użycia, aktorów i powiązania</w:t>
      </w:r>
      <w:r w:rsidR="00417678">
        <w:rPr>
          <w:rFonts w:ascii="Transit511EU-Normal" w:hAnsi="Transit511EU-Normal" w:cs="Transit511EU-Normal"/>
          <w:sz w:val="20"/>
          <w:szCs w:val="20"/>
        </w:rPr>
        <w:t xml:space="preserve"> </w:t>
      </w:r>
      <w:r>
        <w:rPr>
          <w:rFonts w:ascii="Transit511EU-Normal" w:hAnsi="Transit511EU-Normal" w:cs="Transit511EU-Normal"/>
          <w:sz w:val="20"/>
          <w:szCs w:val="20"/>
        </w:rPr>
        <w:t>między nimi. Powiązanie pomiędzy aktorem a biznesowym przypadkiem użycia wystę</w:t>
      </w:r>
      <w:r w:rsidR="00417678">
        <w:rPr>
          <w:rFonts w:ascii="Transit511EU-Normal" w:hAnsi="Transit511EU-Normal" w:cs="Transit511EU-Normal"/>
          <w:sz w:val="20"/>
          <w:szCs w:val="20"/>
        </w:rPr>
        <w:t xml:space="preserve">puje wówczas, gdy </w:t>
      </w:r>
      <w:r>
        <w:rPr>
          <w:rFonts w:ascii="Transit511EU-Normal" w:hAnsi="Transit511EU-Normal" w:cs="Transit511EU-Normal"/>
          <w:sz w:val="20"/>
          <w:szCs w:val="20"/>
        </w:rPr>
        <w:t>aktor ma możliwość wykorzystania określonej funkc</w:t>
      </w:r>
      <w:r w:rsidR="00417678">
        <w:rPr>
          <w:rFonts w:ascii="Transit511EU-Normal" w:hAnsi="Transit511EU-Normal" w:cs="Transit511EU-Normal"/>
          <w:sz w:val="20"/>
          <w:szCs w:val="20"/>
        </w:rPr>
        <w:t xml:space="preserve">ji systemu. Diagramy przypadków </w:t>
      </w:r>
      <w:r>
        <w:rPr>
          <w:rFonts w:ascii="Transit511EU-Normal" w:hAnsi="Transit511EU-Normal" w:cs="Transit511EU-Normal"/>
          <w:sz w:val="20"/>
          <w:szCs w:val="20"/>
        </w:rPr>
        <w:t>uż</w:t>
      </w:r>
      <w:r w:rsidR="00417678">
        <w:rPr>
          <w:rFonts w:ascii="Transit511EU-Normal" w:hAnsi="Transit511EU-Normal" w:cs="Transit511EU-Normal"/>
          <w:sz w:val="20"/>
          <w:szCs w:val="20"/>
        </w:rPr>
        <w:t xml:space="preserve">ycia nie </w:t>
      </w:r>
      <w:r>
        <w:rPr>
          <w:rFonts w:ascii="Transit511EU-Normal" w:hAnsi="Transit511EU-Normal" w:cs="Transit511EU-Normal"/>
          <w:sz w:val="20"/>
          <w:szCs w:val="20"/>
        </w:rPr>
        <w:t>zawierają żadnej informacji o tym, jaka</w:t>
      </w:r>
      <w:r w:rsidR="00417678">
        <w:rPr>
          <w:rFonts w:ascii="Transit511EU-Normal" w:hAnsi="Transit511EU-Normal" w:cs="Transit511EU-Normal"/>
          <w:sz w:val="20"/>
          <w:szCs w:val="20"/>
        </w:rPr>
        <w:t xml:space="preserve"> jest chronologia podejmowanych </w:t>
      </w:r>
      <w:r w:rsidRPr="00417678">
        <w:rPr>
          <w:rFonts w:ascii="Transit511EU-Normal" w:hAnsi="Transit511EU-Normal" w:cs="Transit511EU-Normal"/>
          <w:sz w:val="20"/>
          <w:szCs w:val="20"/>
        </w:rPr>
        <w:t>działań”</w:t>
      </w:r>
      <w:r w:rsidR="003C5C74" w:rsidRPr="003C5C74">
        <w:rPr>
          <w:rFonts w:ascii="Transit511EU-Normal" w:hAnsi="Transit511EU-Normal" w:cs="Transit511EU-Normal"/>
          <w:sz w:val="20"/>
          <w:szCs w:val="20"/>
          <w:vertAlign w:val="superscript"/>
          <w:lang w:val="en-US"/>
        </w:rPr>
        <w:fldChar w:fldCharType="begin"/>
      </w:r>
      <w:r w:rsidR="003C5C74" w:rsidRPr="00417678">
        <w:rPr>
          <w:rFonts w:ascii="Transit511EU-Normal" w:hAnsi="Transit511EU-Normal" w:cs="Transit511EU-Normal"/>
          <w:sz w:val="20"/>
          <w:szCs w:val="20"/>
          <w:vertAlign w:val="superscript"/>
        </w:rPr>
        <w:instrText xml:space="preserve"> NOTEREF _Ref472771930 \h  \* MERGEFORMAT </w:instrText>
      </w:r>
      <w:r w:rsidR="003C5C74" w:rsidRPr="003C5C74">
        <w:rPr>
          <w:rFonts w:ascii="Transit511EU-Normal" w:hAnsi="Transit511EU-Normal" w:cs="Transit511EU-Normal"/>
          <w:sz w:val="20"/>
          <w:szCs w:val="20"/>
          <w:vertAlign w:val="superscript"/>
          <w:lang w:val="en-US"/>
        </w:rPr>
      </w:r>
      <w:r w:rsidR="003C5C74" w:rsidRPr="003C5C74">
        <w:rPr>
          <w:rFonts w:ascii="Transit511EU-Normal" w:hAnsi="Transit511EU-Normal" w:cs="Transit511EU-Normal"/>
          <w:sz w:val="20"/>
          <w:szCs w:val="20"/>
          <w:vertAlign w:val="superscript"/>
          <w:lang w:val="en-US"/>
        </w:rPr>
        <w:fldChar w:fldCharType="separate"/>
      </w:r>
      <w:r w:rsidR="001527C3">
        <w:rPr>
          <w:rFonts w:ascii="Transit511EU-Normal" w:hAnsi="Transit511EU-Normal" w:cs="Transit511EU-Normal"/>
          <w:sz w:val="20"/>
          <w:szCs w:val="20"/>
          <w:vertAlign w:val="superscript"/>
        </w:rPr>
        <w:t>1</w:t>
      </w:r>
      <w:r w:rsidR="003C5C74" w:rsidRPr="003C5C74">
        <w:rPr>
          <w:rFonts w:ascii="Transit511EU-Normal" w:hAnsi="Transit511EU-Normal" w:cs="Transit511EU-Normal"/>
          <w:sz w:val="20"/>
          <w:szCs w:val="20"/>
          <w:vertAlign w:val="superscript"/>
          <w:lang w:val="en-US"/>
        </w:rPr>
        <w:fldChar w:fldCharType="end"/>
      </w:r>
      <w:r w:rsidRPr="00417678">
        <w:rPr>
          <w:rFonts w:ascii="Transit511EU-Normal" w:hAnsi="Transit511EU-Normal" w:cs="Transit511EU-Normal"/>
          <w:sz w:val="20"/>
          <w:szCs w:val="20"/>
        </w:rPr>
        <w:t xml:space="preserve"> (</w:t>
      </w:r>
      <w:r>
        <w:rPr>
          <w:rFonts w:ascii="Transit511EU-Normal" w:hAnsi="Transit511EU-Normal" w:cs="Transit511EU-Normal"/>
          <w:sz w:val="20"/>
          <w:szCs w:val="20"/>
        </w:rPr>
        <w:t>strona 53).</w:t>
      </w:r>
    </w:p>
    <w:p w:rsidR="001355C8" w:rsidRDefault="001355C8" w:rsidP="0018367C">
      <w:pPr>
        <w:jc w:val="both"/>
        <w:rPr>
          <w:rFonts w:ascii="Transit511EU-Normal" w:hAnsi="Transit511EU-Normal" w:cs="Transit511EU-Normal"/>
          <w:sz w:val="20"/>
          <w:szCs w:val="20"/>
        </w:rPr>
      </w:pPr>
      <w:r>
        <w:rPr>
          <w:rFonts w:ascii="Transit511EU-Normal" w:hAnsi="Transit511EU-Normal" w:cs="Transit511EU-Normal"/>
          <w:sz w:val="20"/>
          <w:szCs w:val="20"/>
        </w:rPr>
        <w:t>N</w:t>
      </w:r>
      <w:r w:rsidR="003C5C74">
        <w:rPr>
          <w:rFonts w:ascii="Transit511EU-Normal" w:hAnsi="Transit511EU-Normal" w:cs="Transit511EU-Normal"/>
          <w:sz w:val="20"/>
          <w:szCs w:val="20"/>
        </w:rPr>
        <w:t>a podstawie rozdziału 3.3.3 i</w:t>
      </w:r>
      <w:r>
        <w:rPr>
          <w:rFonts w:ascii="Transit511EU-Normal" w:hAnsi="Transit511EU-Normal" w:cs="Transit511EU-Normal"/>
          <w:sz w:val="20"/>
          <w:szCs w:val="20"/>
        </w:rPr>
        <w:t xml:space="preserve"> 3.3.4 książki „</w:t>
      </w:r>
      <w:r w:rsidRPr="001355C8">
        <w:rPr>
          <w:rFonts w:ascii="Transit511EU-Normal" w:hAnsi="Transit511EU-Normal" w:cs="Transit511EU-Normal"/>
          <w:sz w:val="20"/>
          <w:szCs w:val="20"/>
        </w:rPr>
        <w:t>UML 2.0 w akcji. Przewodnik oparty na projektach</w:t>
      </w:r>
      <w:r>
        <w:rPr>
          <w:rFonts w:ascii="Transit511EU-Normal" w:hAnsi="Transit511EU-Normal" w:cs="Transit511EU-Normal"/>
          <w:sz w:val="20"/>
          <w:szCs w:val="20"/>
        </w:rPr>
        <w:t>”</w:t>
      </w:r>
      <w:bookmarkStart w:id="0" w:name="_Ref472771930"/>
      <w:r w:rsidR="003C72ED">
        <w:rPr>
          <w:rStyle w:val="Odwoanieprzypisudolnego"/>
          <w:rFonts w:ascii="Transit511EU-Normal" w:hAnsi="Transit511EU-Normal" w:cs="Transit511EU-Normal"/>
          <w:sz w:val="20"/>
          <w:szCs w:val="20"/>
        </w:rPr>
        <w:footnoteReference w:id="1"/>
      </w:r>
      <w:bookmarkEnd w:id="0"/>
      <w:r w:rsidR="003C5C74">
        <w:rPr>
          <w:rFonts w:ascii="Transit511EU-Normal" w:hAnsi="Transit511EU-Normal" w:cs="Transit511EU-Normal"/>
          <w:sz w:val="20"/>
          <w:szCs w:val="20"/>
        </w:rPr>
        <w:t xml:space="preserve"> zbudowano diagram przypadków użycia. Dla głębszego zrozumienia tematu przeanalizowano przykład na rysunku 7.3</w:t>
      </w:r>
      <w:bookmarkStart w:id="1" w:name="_Ref472774157"/>
      <w:r w:rsidR="003C5C74">
        <w:rPr>
          <w:rStyle w:val="Odwoanieprzypisudolnego"/>
          <w:rFonts w:ascii="Transit511EU-Normal" w:hAnsi="Transit511EU-Normal" w:cs="Transit511EU-Normal"/>
          <w:sz w:val="20"/>
          <w:szCs w:val="20"/>
        </w:rPr>
        <w:footnoteReference w:id="2"/>
      </w:r>
      <w:bookmarkEnd w:id="1"/>
      <w:r w:rsidR="00F96A5C">
        <w:rPr>
          <w:rFonts w:ascii="Transit511EU-Normal" w:hAnsi="Transit511EU-Normal" w:cs="Transit511EU-Normal"/>
          <w:sz w:val="20"/>
          <w:szCs w:val="20"/>
        </w:rPr>
        <w:t>(strona 87)</w:t>
      </w:r>
      <w:r w:rsidR="00BE3DB9">
        <w:rPr>
          <w:rFonts w:ascii="Transit511EU-Normal" w:hAnsi="Transit511EU-Normal" w:cs="Transit511EU-Normal"/>
          <w:sz w:val="20"/>
          <w:szCs w:val="20"/>
        </w:rPr>
        <w:t>.</w:t>
      </w:r>
    </w:p>
    <w:p w:rsidR="00F96A5C" w:rsidRDefault="00F96A5C" w:rsidP="0018367C">
      <w:pPr>
        <w:jc w:val="both"/>
        <w:rPr>
          <w:rFonts w:ascii="Transit511EU-Normal" w:hAnsi="Transit511EU-Normal" w:cs="Transit511EU-Normal"/>
          <w:sz w:val="20"/>
          <w:szCs w:val="20"/>
        </w:rPr>
      </w:pPr>
      <w:r>
        <w:rPr>
          <w:rFonts w:ascii="Transit511EU-Normal" w:hAnsi="Transit511EU-Normal" w:cs="Transit511EU-Normal"/>
          <w:sz w:val="20"/>
          <w:szCs w:val="20"/>
        </w:rPr>
        <w:t>Diagram wymagań</w:t>
      </w:r>
    </w:p>
    <w:p w:rsidR="00BA0003" w:rsidRDefault="00F96A5C" w:rsidP="0018367C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0"/>
          <w:szCs w:val="20"/>
        </w:rPr>
      </w:pPr>
      <w:r>
        <w:rPr>
          <w:rFonts w:ascii="Transit511EU-Normal" w:hAnsi="Transit511EU-Normal" w:cs="Transit511EU-Normal"/>
          <w:sz w:val="20"/>
          <w:szCs w:val="20"/>
        </w:rPr>
        <w:t>„</w:t>
      </w:r>
      <w:r>
        <w:rPr>
          <w:rFonts w:ascii="TimesNewRoman" w:hAnsi="TimesNewRoman" w:cs="TimesNewRoman"/>
          <w:sz w:val="20"/>
          <w:szCs w:val="20"/>
        </w:rPr>
        <w:t>Diagram wymagań systemowych umożliwia graficzne przedstawienie wymagań systemowych i ich związków z innymi kategoriami modelowania systemu.”</w:t>
      </w:r>
      <w:bookmarkStart w:id="2" w:name="_Ref472773092"/>
      <w:r>
        <w:rPr>
          <w:rStyle w:val="Odwoanieprzypisudolnego"/>
          <w:rFonts w:ascii="TimesNewRoman" w:hAnsi="TimesNewRoman" w:cs="TimesNewRoman"/>
          <w:sz w:val="20"/>
          <w:szCs w:val="20"/>
        </w:rPr>
        <w:footnoteReference w:id="3"/>
      </w:r>
      <w:bookmarkEnd w:id="2"/>
      <w:r>
        <w:rPr>
          <w:rFonts w:ascii="TimesNewRoman" w:hAnsi="TimesNewRoman" w:cs="TimesNewRoman"/>
          <w:sz w:val="20"/>
          <w:szCs w:val="20"/>
        </w:rPr>
        <w:t>(strona 22)</w:t>
      </w:r>
      <w:r w:rsidR="00BA0003">
        <w:rPr>
          <w:rFonts w:ascii="TimesNewRoman" w:hAnsi="TimesNewRoman" w:cs="TimesNewRoman"/>
          <w:sz w:val="20"/>
          <w:szCs w:val="20"/>
        </w:rPr>
        <w:t>. Z informacji zawartych w rozdziale 2.2.1, 2.2.2 i 2.2.3</w:t>
      </w:r>
      <w:r w:rsidR="00BA0003" w:rsidRPr="00BA0003">
        <w:rPr>
          <w:rFonts w:ascii="TimesNewRoman" w:hAnsi="TimesNewRoman" w:cs="TimesNewRoman"/>
          <w:sz w:val="20"/>
          <w:szCs w:val="20"/>
          <w:vertAlign w:val="superscript"/>
        </w:rPr>
        <w:fldChar w:fldCharType="begin"/>
      </w:r>
      <w:r w:rsidR="00BA0003" w:rsidRPr="00BA0003">
        <w:rPr>
          <w:rFonts w:ascii="TimesNewRoman" w:hAnsi="TimesNewRoman" w:cs="TimesNewRoman"/>
          <w:sz w:val="20"/>
          <w:szCs w:val="20"/>
          <w:vertAlign w:val="superscript"/>
        </w:rPr>
        <w:instrText xml:space="preserve"> NOTEREF _Ref472773092 \h </w:instrText>
      </w:r>
      <w:r w:rsidR="00BA0003">
        <w:rPr>
          <w:rFonts w:ascii="TimesNewRoman" w:hAnsi="TimesNewRoman" w:cs="TimesNewRoman"/>
          <w:sz w:val="20"/>
          <w:szCs w:val="20"/>
          <w:vertAlign w:val="superscript"/>
        </w:rPr>
        <w:instrText xml:space="preserve"> \* MERGEFORMAT </w:instrText>
      </w:r>
      <w:r w:rsidR="00BA0003" w:rsidRPr="00BA0003">
        <w:rPr>
          <w:rFonts w:ascii="TimesNewRoman" w:hAnsi="TimesNewRoman" w:cs="TimesNewRoman"/>
          <w:sz w:val="20"/>
          <w:szCs w:val="20"/>
          <w:vertAlign w:val="superscript"/>
        </w:rPr>
      </w:r>
      <w:r w:rsidR="00BA0003" w:rsidRPr="00BA0003">
        <w:rPr>
          <w:rFonts w:ascii="TimesNewRoman" w:hAnsi="TimesNewRoman" w:cs="TimesNewRoman"/>
          <w:sz w:val="20"/>
          <w:szCs w:val="20"/>
          <w:vertAlign w:val="superscript"/>
        </w:rPr>
        <w:fldChar w:fldCharType="separate"/>
      </w:r>
      <w:r w:rsidR="001527C3">
        <w:rPr>
          <w:rFonts w:ascii="TimesNewRoman" w:hAnsi="TimesNewRoman" w:cs="TimesNewRoman"/>
          <w:sz w:val="20"/>
          <w:szCs w:val="20"/>
          <w:vertAlign w:val="superscript"/>
        </w:rPr>
        <w:t>3</w:t>
      </w:r>
      <w:r w:rsidR="00BA0003" w:rsidRPr="00BA0003">
        <w:rPr>
          <w:rFonts w:ascii="TimesNewRoman" w:hAnsi="TimesNewRoman" w:cs="TimesNewRoman"/>
          <w:sz w:val="20"/>
          <w:szCs w:val="20"/>
          <w:vertAlign w:val="superscript"/>
        </w:rPr>
        <w:fldChar w:fldCharType="end"/>
      </w:r>
      <w:r w:rsidR="00BA0003">
        <w:rPr>
          <w:rFonts w:ascii="TimesNewRoman" w:hAnsi="TimesNewRoman" w:cs="TimesNewRoman"/>
          <w:sz w:val="20"/>
          <w:szCs w:val="20"/>
        </w:rPr>
        <w:t xml:space="preserve"> (strony od 22 do</w:t>
      </w:r>
      <w:r w:rsidR="00351D57">
        <w:rPr>
          <w:rFonts w:ascii="TimesNewRoman" w:hAnsi="TimesNewRoman" w:cs="TimesNewRoman"/>
          <w:sz w:val="20"/>
          <w:szCs w:val="20"/>
        </w:rPr>
        <w:t xml:space="preserve"> </w:t>
      </w:r>
      <w:r w:rsidR="00BA0003">
        <w:rPr>
          <w:rFonts w:ascii="TimesNewRoman" w:hAnsi="TimesNewRoman" w:cs="TimesNewRoman"/>
          <w:sz w:val="20"/>
          <w:szCs w:val="20"/>
        </w:rPr>
        <w:t>25) wywnioskowano jak budować diagram wymagań, a dokładniej zależności. Wiedzę rozszerzono o lekturę rozdziałów 2.2.4 do 2.2.10</w:t>
      </w:r>
      <w:r w:rsidR="00BA0003" w:rsidRPr="00BA0003">
        <w:rPr>
          <w:rFonts w:ascii="TimesNewRoman" w:hAnsi="TimesNewRoman" w:cs="TimesNewRoman"/>
          <w:sz w:val="20"/>
          <w:szCs w:val="20"/>
          <w:vertAlign w:val="superscript"/>
        </w:rPr>
        <w:fldChar w:fldCharType="begin"/>
      </w:r>
      <w:r w:rsidR="00BA0003" w:rsidRPr="00BA0003">
        <w:rPr>
          <w:rFonts w:ascii="TimesNewRoman" w:hAnsi="TimesNewRoman" w:cs="TimesNewRoman"/>
          <w:sz w:val="20"/>
          <w:szCs w:val="20"/>
          <w:vertAlign w:val="superscript"/>
        </w:rPr>
        <w:instrText xml:space="preserve"> NOTEREF _Ref472773092 \h </w:instrText>
      </w:r>
      <w:r w:rsidR="00BA0003">
        <w:rPr>
          <w:rFonts w:ascii="TimesNewRoman" w:hAnsi="TimesNewRoman" w:cs="TimesNewRoman"/>
          <w:sz w:val="20"/>
          <w:szCs w:val="20"/>
          <w:vertAlign w:val="superscript"/>
        </w:rPr>
        <w:instrText xml:space="preserve"> \* MERGEFORMAT </w:instrText>
      </w:r>
      <w:r w:rsidR="00BA0003" w:rsidRPr="00BA0003">
        <w:rPr>
          <w:rFonts w:ascii="TimesNewRoman" w:hAnsi="TimesNewRoman" w:cs="TimesNewRoman"/>
          <w:sz w:val="20"/>
          <w:szCs w:val="20"/>
          <w:vertAlign w:val="superscript"/>
        </w:rPr>
      </w:r>
      <w:r w:rsidR="00BA0003" w:rsidRPr="00BA0003">
        <w:rPr>
          <w:rFonts w:ascii="TimesNewRoman" w:hAnsi="TimesNewRoman" w:cs="TimesNewRoman"/>
          <w:sz w:val="20"/>
          <w:szCs w:val="20"/>
          <w:vertAlign w:val="superscript"/>
        </w:rPr>
        <w:fldChar w:fldCharType="separate"/>
      </w:r>
      <w:r w:rsidR="001527C3">
        <w:rPr>
          <w:rFonts w:ascii="TimesNewRoman" w:hAnsi="TimesNewRoman" w:cs="TimesNewRoman"/>
          <w:sz w:val="20"/>
          <w:szCs w:val="20"/>
          <w:vertAlign w:val="superscript"/>
        </w:rPr>
        <w:t>3</w:t>
      </w:r>
      <w:r w:rsidR="00BA0003" w:rsidRPr="00BA0003">
        <w:rPr>
          <w:rFonts w:ascii="TimesNewRoman" w:hAnsi="TimesNewRoman" w:cs="TimesNewRoman"/>
          <w:sz w:val="20"/>
          <w:szCs w:val="20"/>
          <w:vertAlign w:val="superscript"/>
        </w:rPr>
        <w:fldChar w:fldCharType="end"/>
      </w:r>
      <w:r w:rsidR="00BA0003">
        <w:rPr>
          <w:rFonts w:ascii="TimesNewRoman" w:hAnsi="TimesNewRoman" w:cs="TimesNewRoman"/>
          <w:sz w:val="20"/>
          <w:szCs w:val="20"/>
        </w:rPr>
        <w:t>(strony od 2.2.4 do 36), które opisywały szczegółowo typy zależności. Dzięki temu wybrano odpowiednie do przedstawienia wymagań projektu.</w:t>
      </w:r>
    </w:p>
    <w:p w:rsidR="00EA1E0E" w:rsidRDefault="00EA1E0E" w:rsidP="0018367C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0"/>
          <w:szCs w:val="20"/>
        </w:rPr>
      </w:pPr>
    </w:p>
    <w:p w:rsidR="00E81C7E" w:rsidRDefault="00E81C7E" w:rsidP="0018367C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Diagram stanu</w:t>
      </w:r>
      <w:r w:rsidR="0018367C">
        <w:rPr>
          <w:rFonts w:ascii="TimesNewRoman" w:hAnsi="TimesNewRoman" w:cs="TimesNewRoman"/>
          <w:sz w:val="20"/>
          <w:szCs w:val="20"/>
        </w:rPr>
        <w:t xml:space="preserve"> </w:t>
      </w:r>
      <w:r>
        <w:rPr>
          <w:rFonts w:ascii="TimesNewRoman" w:hAnsi="TimesNewRoman" w:cs="TimesNewRoman"/>
          <w:sz w:val="20"/>
          <w:szCs w:val="20"/>
        </w:rPr>
        <w:t>(maszyny stanowej)</w:t>
      </w:r>
    </w:p>
    <w:p w:rsidR="00E81C7E" w:rsidRDefault="00E81C7E" w:rsidP="0018367C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0"/>
          <w:szCs w:val="20"/>
        </w:rPr>
      </w:pPr>
    </w:p>
    <w:p w:rsidR="00E81C7E" w:rsidRDefault="0042600A" w:rsidP="0018367C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 xml:space="preserve">„Jednym ze sposobów scharakteryzowania zmiany systemu jest stwierdzenie, że jego obiekty zmieniają </w:t>
      </w:r>
      <w:r w:rsidRPr="0042600A">
        <w:rPr>
          <w:rFonts w:ascii="TimesNewRoman" w:hAnsi="TimesNewRoman" w:cs="TimesNewRoman"/>
          <w:i/>
          <w:sz w:val="20"/>
          <w:szCs w:val="20"/>
        </w:rPr>
        <w:t>stan</w:t>
      </w:r>
      <w:r>
        <w:rPr>
          <w:rFonts w:ascii="TimesNewRoman" w:hAnsi="TimesNewRoman" w:cs="TimesNewRoman"/>
          <w:i/>
          <w:sz w:val="20"/>
          <w:szCs w:val="20"/>
        </w:rPr>
        <w:t xml:space="preserve"> </w:t>
      </w:r>
      <w:r>
        <w:rPr>
          <w:rFonts w:ascii="TimesNewRoman" w:hAnsi="TimesNewRoman" w:cs="TimesNewRoman"/>
          <w:sz w:val="20"/>
          <w:szCs w:val="20"/>
        </w:rPr>
        <w:t>w odpowiedzi na zdarzenia i interakcje.”</w:t>
      </w:r>
      <w:r w:rsidRPr="0042600A">
        <w:rPr>
          <w:rFonts w:ascii="TimesNewRoman" w:hAnsi="TimesNewRoman" w:cs="TimesNewRoman"/>
          <w:sz w:val="20"/>
          <w:szCs w:val="20"/>
          <w:vertAlign w:val="superscript"/>
        </w:rPr>
        <w:fldChar w:fldCharType="begin"/>
      </w:r>
      <w:r w:rsidRPr="0042600A">
        <w:rPr>
          <w:rFonts w:ascii="TimesNewRoman" w:hAnsi="TimesNewRoman" w:cs="TimesNewRoman"/>
          <w:sz w:val="20"/>
          <w:szCs w:val="20"/>
          <w:vertAlign w:val="superscript"/>
        </w:rPr>
        <w:instrText xml:space="preserve"> NOTEREF _Ref472774157 \h </w:instrText>
      </w:r>
      <w:r>
        <w:rPr>
          <w:rFonts w:ascii="TimesNewRoman" w:hAnsi="TimesNewRoman" w:cs="TimesNewRoman"/>
          <w:sz w:val="20"/>
          <w:szCs w:val="20"/>
          <w:vertAlign w:val="superscript"/>
        </w:rPr>
        <w:instrText xml:space="preserve"> \* MERGEFORMAT </w:instrText>
      </w:r>
      <w:r w:rsidRPr="0042600A">
        <w:rPr>
          <w:rFonts w:ascii="TimesNewRoman" w:hAnsi="TimesNewRoman" w:cs="TimesNewRoman"/>
          <w:sz w:val="20"/>
          <w:szCs w:val="20"/>
          <w:vertAlign w:val="superscript"/>
        </w:rPr>
      </w:r>
      <w:r w:rsidRPr="0042600A">
        <w:rPr>
          <w:rFonts w:ascii="TimesNewRoman" w:hAnsi="TimesNewRoman" w:cs="TimesNewRoman"/>
          <w:sz w:val="20"/>
          <w:szCs w:val="20"/>
          <w:vertAlign w:val="superscript"/>
        </w:rPr>
        <w:fldChar w:fldCharType="separate"/>
      </w:r>
      <w:r w:rsidR="001527C3">
        <w:rPr>
          <w:rFonts w:ascii="TimesNewRoman" w:hAnsi="TimesNewRoman" w:cs="TimesNewRoman"/>
          <w:sz w:val="20"/>
          <w:szCs w:val="20"/>
          <w:vertAlign w:val="superscript"/>
        </w:rPr>
        <w:t>2</w:t>
      </w:r>
      <w:r w:rsidRPr="0042600A">
        <w:rPr>
          <w:rFonts w:ascii="TimesNewRoman" w:hAnsi="TimesNewRoman" w:cs="TimesNewRoman"/>
          <w:sz w:val="20"/>
          <w:szCs w:val="20"/>
          <w:vertAlign w:val="superscript"/>
        </w:rPr>
        <w:fldChar w:fldCharType="end"/>
      </w:r>
      <w:r>
        <w:rPr>
          <w:rFonts w:ascii="TimesNewRoman" w:hAnsi="TimesNewRoman" w:cs="TimesNewRoman"/>
          <w:sz w:val="20"/>
          <w:szCs w:val="20"/>
        </w:rPr>
        <w:t>(strona 100). Na podstawie rozdziału 4.3.3 od strony 149 do 151</w:t>
      </w:r>
      <w:r w:rsidRPr="0042600A">
        <w:rPr>
          <w:rFonts w:ascii="TimesNewRoman" w:hAnsi="TimesNewRoman" w:cs="TimesNewRoman"/>
          <w:sz w:val="20"/>
          <w:szCs w:val="20"/>
          <w:vertAlign w:val="superscript"/>
        </w:rPr>
        <w:fldChar w:fldCharType="begin"/>
      </w:r>
      <w:r w:rsidRPr="0042600A">
        <w:rPr>
          <w:rFonts w:ascii="TimesNewRoman" w:hAnsi="TimesNewRoman" w:cs="TimesNewRoman"/>
          <w:sz w:val="20"/>
          <w:szCs w:val="20"/>
          <w:vertAlign w:val="superscript"/>
        </w:rPr>
        <w:instrText xml:space="preserve"> NOTEREF _Ref472771930 \h </w:instrText>
      </w:r>
      <w:r>
        <w:rPr>
          <w:rFonts w:ascii="TimesNewRoman" w:hAnsi="TimesNewRoman" w:cs="TimesNewRoman"/>
          <w:sz w:val="20"/>
          <w:szCs w:val="20"/>
          <w:vertAlign w:val="superscript"/>
        </w:rPr>
        <w:instrText xml:space="preserve"> \* MERGEFORMAT </w:instrText>
      </w:r>
      <w:r w:rsidRPr="0042600A">
        <w:rPr>
          <w:rFonts w:ascii="TimesNewRoman" w:hAnsi="TimesNewRoman" w:cs="TimesNewRoman"/>
          <w:sz w:val="20"/>
          <w:szCs w:val="20"/>
          <w:vertAlign w:val="superscript"/>
        </w:rPr>
      </w:r>
      <w:r w:rsidRPr="0042600A">
        <w:rPr>
          <w:rFonts w:ascii="TimesNewRoman" w:hAnsi="TimesNewRoman" w:cs="TimesNewRoman"/>
          <w:sz w:val="20"/>
          <w:szCs w:val="20"/>
          <w:vertAlign w:val="superscript"/>
        </w:rPr>
        <w:fldChar w:fldCharType="separate"/>
      </w:r>
      <w:r w:rsidR="001527C3">
        <w:rPr>
          <w:rFonts w:ascii="TimesNewRoman" w:hAnsi="TimesNewRoman" w:cs="TimesNewRoman"/>
          <w:sz w:val="20"/>
          <w:szCs w:val="20"/>
          <w:vertAlign w:val="superscript"/>
        </w:rPr>
        <w:t>1</w:t>
      </w:r>
      <w:r w:rsidRPr="0042600A">
        <w:rPr>
          <w:rFonts w:ascii="TimesNewRoman" w:hAnsi="TimesNewRoman" w:cs="TimesNewRoman"/>
          <w:sz w:val="20"/>
          <w:szCs w:val="20"/>
          <w:vertAlign w:val="superscript"/>
        </w:rPr>
        <w:fldChar w:fldCharType="end"/>
      </w:r>
      <w:r>
        <w:rPr>
          <w:rFonts w:ascii="TimesNewRoman" w:hAnsi="TimesNewRoman" w:cs="TimesNewRoman"/>
          <w:sz w:val="20"/>
          <w:szCs w:val="20"/>
        </w:rPr>
        <w:t xml:space="preserve"> zapoznano się z budową diagramu stanu.</w:t>
      </w:r>
    </w:p>
    <w:p w:rsidR="0042600A" w:rsidRDefault="0042600A" w:rsidP="0018367C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0"/>
          <w:szCs w:val="20"/>
        </w:rPr>
      </w:pPr>
    </w:p>
    <w:p w:rsidR="0042600A" w:rsidRDefault="0042600A" w:rsidP="0018367C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0"/>
          <w:szCs w:val="20"/>
        </w:rPr>
      </w:pPr>
      <w:r w:rsidRPr="00351D57">
        <w:rPr>
          <w:rFonts w:ascii="TimesNewRoman" w:hAnsi="TimesNewRoman" w:cs="TimesNewRoman"/>
          <w:sz w:val="20"/>
          <w:szCs w:val="20"/>
        </w:rPr>
        <w:t>Diagram interakcji</w:t>
      </w:r>
      <w:r w:rsidR="0018367C" w:rsidRPr="00351D57">
        <w:rPr>
          <w:rFonts w:ascii="TimesNewRoman" w:hAnsi="TimesNewRoman" w:cs="TimesNewRoman"/>
          <w:sz w:val="20"/>
          <w:szCs w:val="20"/>
        </w:rPr>
        <w:t xml:space="preserve"> </w:t>
      </w:r>
      <w:r w:rsidR="004F0242" w:rsidRPr="00351D57">
        <w:rPr>
          <w:rFonts w:ascii="TimesNewRoman" w:hAnsi="TimesNewRoman" w:cs="TimesNewRoman"/>
          <w:sz w:val="20"/>
          <w:szCs w:val="20"/>
        </w:rPr>
        <w:t>(aktywności</w:t>
      </w:r>
      <w:r w:rsidRPr="00351D57">
        <w:rPr>
          <w:rFonts w:ascii="TimesNewRoman" w:hAnsi="TimesNewRoman" w:cs="TimesNewRoman"/>
          <w:sz w:val="20"/>
          <w:szCs w:val="20"/>
        </w:rPr>
        <w:t>)</w:t>
      </w:r>
    </w:p>
    <w:p w:rsidR="00351D57" w:rsidRPr="00351D57" w:rsidRDefault="00351D57" w:rsidP="0018367C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0"/>
          <w:szCs w:val="20"/>
        </w:rPr>
      </w:pPr>
    </w:p>
    <w:p w:rsidR="004F0242" w:rsidRPr="001527C3" w:rsidRDefault="004F0242" w:rsidP="001527C3">
      <w:pPr>
        <w:autoSpaceDE w:val="0"/>
        <w:autoSpaceDN w:val="0"/>
        <w:adjustRightInd w:val="0"/>
        <w:spacing w:after="0" w:line="240" w:lineRule="auto"/>
        <w:rPr>
          <w:rFonts w:ascii="Transit511EU-Normal" w:hAnsi="Transit511EU-Normal" w:cs="Transit511EU-Normal"/>
          <w:sz w:val="20"/>
          <w:szCs w:val="20"/>
        </w:rPr>
      </w:pPr>
      <w:r>
        <w:rPr>
          <w:rFonts w:ascii="Transit511EU-Bold" w:hAnsi="Transit511EU-Bold" w:cs="Transit511EU-Bold"/>
          <w:bCs/>
          <w:sz w:val="20"/>
          <w:szCs w:val="20"/>
        </w:rPr>
        <w:t>„</w:t>
      </w:r>
      <w:r w:rsidRPr="004F0242">
        <w:rPr>
          <w:rFonts w:ascii="Transit511EU-Bold" w:hAnsi="Transit511EU-Bold" w:cs="Transit511EU-Bold"/>
          <w:bCs/>
          <w:sz w:val="20"/>
          <w:szCs w:val="20"/>
        </w:rPr>
        <w:t>Diagramy aktywności</w:t>
      </w:r>
      <w:r>
        <w:rPr>
          <w:rFonts w:ascii="Transit511EU-Bold" w:hAnsi="Transit511EU-Bold" w:cs="Transit511EU-Bold"/>
          <w:b/>
          <w:bCs/>
          <w:sz w:val="20"/>
          <w:szCs w:val="20"/>
        </w:rPr>
        <w:t xml:space="preserve"> </w:t>
      </w:r>
      <w:r>
        <w:rPr>
          <w:rFonts w:ascii="Transit511EU-Normal" w:hAnsi="Transit511EU-Normal" w:cs="Transit511EU-Normal"/>
          <w:sz w:val="20"/>
          <w:szCs w:val="20"/>
        </w:rPr>
        <w:t>mają związek z diagramami przepływów i służą do ilustrowania działań zachodzących w systemie. W perspektywie zewnętrznej diagramy aktywności są wykorzystywane do opisu procesów biznesowych realizujących funkcje systemu biznesowego.”</w:t>
      </w:r>
      <w:r w:rsidR="001527C3" w:rsidRPr="001527C3">
        <w:rPr>
          <w:rFonts w:ascii="Transit511EU-Normal" w:hAnsi="Transit511EU-Normal" w:cs="Transit511EU-Normal"/>
          <w:sz w:val="20"/>
          <w:szCs w:val="20"/>
          <w:vertAlign w:val="superscript"/>
        </w:rPr>
        <w:fldChar w:fldCharType="begin"/>
      </w:r>
      <w:r w:rsidR="001527C3" w:rsidRPr="001527C3">
        <w:rPr>
          <w:rFonts w:ascii="Transit511EU-Normal" w:hAnsi="Transit511EU-Normal" w:cs="Transit511EU-Normal"/>
          <w:sz w:val="20"/>
          <w:szCs w:val="20"/>
          <w:vertAlign w:val="superscript"/>
        </w:rPr>
        <w:instrText xml:space="preserve"> NOTEREF _Ref472771930 \h </w:instrText>
      </w:r>
      <w:r w:rsidR="001527C3">
        <w:rPr>
          <w:rFonts w:ascii="Transit511EU-Normal" w:hAnsi="Transit511EU-Normal" w:cs="Transit511EU-Normal"/>
          <w:sz w:val="20"/>
          <w:szCs w:val="20"/>
          <w:vertAlign w:val="superscript"/>
        </w:rPr>
        <w:instrText xml:space="preserve"> \* MERGEFORMAT </w:instrText>
      </w:r>
      <w:r w:rsidR="001527C3" w:rsidRPr="001527C3">
        <w:rPr>
          <w:rFonts w:ascii="Transit511EU-Normal" w:hAnsi="Transit511EU-Normal" w:cs="Transit511EU-Normal"/>
          <w:sz w:val="20"/>
          <w:szCs w:val="20"/>
          <w:vertAlign w:val="superscript"/>
        </w:rPr>
      </w:r>
      <w:r w:rsidR="001527C3" w:rsidRPr="001527C3">
        <w:rPr>
          <w:rFonts w:ascii="Transit511EU-Normal" w:hAnsi="Transit511EU-Normal" w:cs="Transit511EU-Normal"/>
          <w:sz w:val="20"/>
          <w:szCs w:val="20"/>
          <w:vertAlign w:val="superscript"/>
        </w:rPr>
        <w:fldChar w:fldCharType="separate"/>
      </w:r>
      <w:r w:rsidR="001527C3">
        <w:rPr>
          <w:rFonts w:ascii="Transit511EU-Normal" w:hAnsi="Transit511EU-Normal" w:cs="Transit511EU-Normal"/>
          <w:sz w:val="20"/>
          <w:szCs w:val="20"/>
          <w:vertAlign w:val="superscript"/>
        </w:rPr>
        <w:t>1</w:t>
      </w:r>
      <w:r w:rsidR="001527C3" w:rsidRPr="001527C3">
        <w:rPr>
          <w:rFonts w:ascii="Transit511EU-Normal" w:hAnsi="Transit511EU-Normal" w:cs="Transit511EU-Normal"/>
          <w:sz w:val="20"/>
          <w:szCs w:val="20"/>
          <w:vertAlign w:val="superscript"/>
        </w:rPr>
        <w:fldChar w:fldCharType="end"/>
      </w:r>
      <w:r w:rsidR="001527C3">
        <w:rPr>
          <w:rFonts w:ascii="Transit511EU-Normal" w:hAnsi="Transit511EU-Normal" w:cs="Transit511EU-Normal"/>
          <w:sz w:val="20"/>
          <w:szCs w:val="20"/>
        </w:rPr>
        <w:t>(strona 66).”</w:t>
      </w:r>
      <w:r w:rsidR="001527C3" w:rsidRPr="001527C3">
        <w:rPr>
          <w:rFonts w:ascii="Transit511EU-Bold" w:hAnsi="Transit511EU-Bold" w:cs="Transit511EU-Bold"/>
          <w:b/>
          <w:bCs/>
          <w:sz w:val="20"/>
          <w:szCs w:val="20"/>
        </w:rPr>
        <w:t xml:space="preserve"> </w:t>
      </w:r>
      <w:r w:rsidR="001527C3">
        <w:rPr>
          <w:rFonts w:ascii="Transit511EU-Bold" w:hAnsi="Transit511EU-Bold" w:cs="Transit511EU-Bold"/>
          <w:b/>
          <w:bCs/>
          <w:sz w:val="20"/>
          <w:szCs w:val="20"/>
        </w:rPr>
        <w:t>„</w:t>
      </w:r>
      <w:r w:rsidR="001527C3" w:rsidRPr="001527C3">
        <w:rPr>
          <w:rFonts w:ascii="Transit511EU-Bold" w:hAnsi="Transit511EU-Bold" w:cs="Transit511EU-Bold"/>
          <w:bCs/>
          <w:sz w:val="20"/>
          <w:szCs w:val="20"/>
        </w:rPr>
        <w:t>Aktywność</w:t>
      </w:r>
      <w:r w:rsidR="001527C3">
        <w:rPr>
          <w:rFonts w:ascii="Transit511EU-Bold" w:hAnsi="Transit511EU-Bold" w:cs="Transit511EU-Bold"/>
          <w:b/>
          <w:bCs/>
          <w:sz w:val="20"/>
          <w:szCs w:val="20"/>
        </w:rPr>
        <w:t xml:space="preserve"> </w:t>
      </w:r>
      <w:r w:rsidR="001527C3">
        <w:rPr>
          <w:rFonts w:ascii="Transit511EU-Normal" w:hAnsi="Transit511EU-Normal" w:cs="Transit511EU-Normal"/>
          <w:sz w:val="20"/>
          <w:szCs w:val="20"/>
        </w:rPr>
        <w:t>- diagram aktywności ilustruje jedną indywidualną aktywność. W naszym kontekście aktywność identyfikuje proces biznesowy (rysunek 3.16). Podstawowymi elementami aktywności są akcje i elementy kontrolne (decyzja, podział, złączenie, zainicjowanie, zakończenie itp.)”</w:t>
      </w:r>
      <w:r w:rsidR="001527C3" w:rsidRPr="001527C3">
        <w:rPr>
          <w:rFonts w:ascii="Transit511EU-Normal" w:hAnsi="Transit511EU-Normal" w:cs="Transit511EU-Normal"/>
          <w:sz w:val="20"/>
          <w:szCs w:val="20"/>
          <w:vertAlign w:val="superscript"/>
        </w:rPr>
        <w:fldChar w:fldCharType="begin"/>
      </w:r>
      <w:r w:rsidR="001527C3" w:rsidRPr="001527C3">
        <w:rPr>
          <w:rFonts w:ascii="Transit511EU-Normal" w:hAnsi="Transit511EU-Normal" w:cs="Transit511EU-Normal"/>
          <w:sz w:val="20"/>
          <w:szCs w:val="20"/>
          <w:vertAlign w:val="superscript"/>
        </w:rPr>
        <w:instrText xml:space="preserve"> NOTEREF _Ref472771930 \h </w:instrText>
      </w:r>
      <w:r w:rsidR="001527C3">
        <w:rPr>
          <w:rFonts w:ascii="Transit511EU-Normal" w:hAnsi="Transit511EU-Normal" w:cs="Transit511EU-Normal"/>
          <w:sz w:val="20"/>
          <w:szCs w:val="20"/>
          <w:vertAlign w:val="superscript"/>
        </w:rPr>
        <w:instrText xml:space="preserve"> \* MERGEFORMAT </w:instrText>
      </w:r>
      <w:r w:rsidR="001527C3" w:rsidRPr="001527C3">
        <w:rPr>
          <w:rFonts w:ascii="Transit511EU-Normal" w:hAnsi="Transit511EU-Normal" w:cs="Transit511EU-Normal"/>
          <w:sz w:val="20"/>
          <w:szCs w:val="20"/>
          <w:vertAlign w:val="superscript"/>
        </w:rPr>
      </w:r>
      <w:r w:rsidR="001527C3" w:rsidRPr="001527C3">
        <w:rPr>
          <w:rFonts w:ascii="Transit511EU-Normal" w:hAnsi="Transit511EU-Normal" w:cs="Transit511EU-Normal"/>
          <w:sz w:val="20"/>
          <w:szCs w:val="20"/>
          <w:vertAlign w:val="superscript"/>
        </w:rPr>
        <w:fldChar w:fldCharType="separate"/>
      </w:r>
      <w:r w:rsidR="001527C3" w:rsidRPr="001527C3">
        <w:rPr>
          <w:rFonts w:ascii="Transit511EU-Normal" w:hAnsi="Transit511EU-Normal" w:cs="Transit511EU-Normal"/>
          <w:sz w:val="20"/>
          <w:szCs w:val="20"/>
          <w:vertAlign w:val="superscript"/>
        </w:rPr>
        <w:t>1</w:t>
      </w:r>
      <w:r w:rsidR="001527C3" w:rsidRPr="001527C3">
        <w:rPr>
          <w:rFonts w:ascii="Transit511EU-Normal" w:hAnsi="Transit511EU-Normal" w:cs="Transit511EU-Normal"/>
          <w:sz w:val="20"/>
          <w:szCs w:val="20"/>
          <w:vertAlign w:val="superscript"/>
        </w:rPr>
        <w:fldChar w:fldCharType="end"/>
      </w:r>
      <w:r w:rsidR="001527C3">
        <w:rPr>
          <w:rFonts w:ascii="Transit511EU-Normal" w:hAnsi="Transit511EU-Normal" w:cs="Transit511EU-Normal"/>
          <w:sz w:val="20"/>
          <w:szCs w:val="20"/>
        </w:rPr>
        <w:t>(strony od 66 do 67). Składowe diagramu były opisane w rozdziale 3.3.5 (strony od 68 do 71)</w:t>
      </w:r>
      <w:r w:rsidR="001527C3" w:rsidRPr="001527C3">
        <w:rPr>
          <w:rFonts w:ascii="Transit511EU-Normal" w:hAnsi="Transit511EU-Normal" w:cs="Transit511EU-Normal"/>
          <w:sz w:val="20"/>
          <w:szCs w:val="20"/>
          <w:vertAlign w:val="superscript"/>
        </w:rPr>
        <w:fldChar w:fldCharType="begin"/>
      </w:r>
      <w:r w:rsidR="001527C3" w:rsidRPr="001527C3">
        <w:rPr>
          <w:rFonts w:ascii="Transit511EU-Normal" w:hAnsi="Transit511EU-Normal" w:cs="Transit511EU-Normal"/>
          <w:sz w:val="20"/>
          <w:szCs w:val="20"/>
          <w:vertAlign w:val="superscript"/>
        </w:rPr>
        <w:instrText xml:space="preserve"> NOTEREF _Ref472771930 \h </w:instrText>
      </w:r>
      <w:r w:rsidR="001527C3">
        <w:rPr>
          <w:rFonts w:ascii="Transit511EU-Normal" w:hAnsi="Transit511EU-Normal" w:cs="Transit511EU-Normal"/>
          <w:sz w:val="20"/>
          <w:szCs w:val="20"/>
          <w:vertAlign w:val="superscript"/>
        </w:rPr>
        <w:instrText xml:space="preserve"> \* MERGEFORMAT </w:instrText>
      </w:r>
      <w:r w:rsidR="001527C3" w:rsidRPr="001527C3">
        <w:rPr>
          <w:rFonts w:ascii="Transit511EU-Normal" w:hAnsi="Transit511EU-Normal" w:cs="Transit511EU-Normal"/>
          <w:sz w:val="20"/>
          <w:szCs w:val="20"/>
          <w:vertAlign w:val="superscript"/>
        </w:rPr>
      </w:r>
      <w:r w:rsidR="001527C3" w:rsidRPr="001527C3">
        <w:rPr>
          <w:rFonts w:ascii="Transit511EU-Normal" w:hAnsi="Transit511EU-Normal" w:cs="Transit511EU-Normal"/>
          <w:sz w:val="20"/>
          <w:szCs w:val="20"/>
          <w:vertAlign w:val="superscript"/>
        </w:rPr>
        <w:fldChar w:fldCharType="separate"/>
      </w:r>
      <w:r w:rsidR="001527C3" w:rsidRPr="001527C3">
        <w:rPr>
          <w:rFonts w:ascii="Transit511EU-Normal" w:hAnsi="Transit511EU-Normal" w:cs="Transit511EU-Normal"/>
          <w:sz w:val="20"/>
          <w:szCs w:val="20"/>
          <w:vertAlign w:val="superscript"/>
        </w:rPr>
        <w:t>1</w:t>
      </w:r>
      <w:r w:rsidR="001527C3" w:rsidRPr="001527C3">
        <w:rPr>
          <w:rFonts w:ascii="Transit511EU-Normal" w:hAnsi="Transit511EU-Normal" w:cs="Transit511EU-Normal"/>
          <w:sz w:val="20"/>
          <w:szCs w:val="20"/>
          <w:vertAlign w:val="superscript"/>
        </w:rPr>
        <w:fldChar w:fldCharType="end"/>
      </w:r>
      <w:r w:rsidR="00BF4A7D">
        <w:rPr>
          <w:rFonts w:ascii="Transit511EU-Normal" w:hAnsi="Transit511EU-Normal" w:cs="Transit511EU-Normal"/>
          <w:sz w:val="20"/>
          <w:szCs w:val="20"/>
        </w:rPr>
        <w:t>.</w:t>
      </w:r>
    </w:p>
    <w:p w:rsidR="00733772" w:rsidRDefault="00733772" w:rsidP="0018367C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0"/>
          <w:szCs w:val="20"/>
        </w:rPr>
      </w:pPr>
    </w:p>
    <w:p w:rsidR="00733772" w:rsidRDefault="00733772" w:rsidP="0018367C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Historie użytkownika</w:t>
      </w:r>
    </w:p>
    <w:p w:rsidR="00B720FF" w:rsidRDefault="00B720FF" w:rsidP="004F0242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0"/>
          <w:szCs w:val="20"/>
        </w:rPr>
      </w:pPr>
    </w:p>
    <w:p w:rsidR="00733772" w:rsidRDefault="00733772" w:rsidP="004F0242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hAnsi="MinionPro-Regular" w:cs="MinionPro-Regular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„</w:t>
      </w:r>
      <w:r w:rsidRPr="00733772">
        <w:rPr>
          <w:rFonts w:ascii="MinionPro-Bold" w:hAnsi="MinionPro-Bold" w:cs="MinionPro-Bold"/>
          <w:bCs/>
          <w:sz w:val="20"/>
          <w:szCs w:val="20"/>
        </w:rPr>
        <w:t>Historyjki użytkownika</w:t>
      </w:r>
      <w:r>
        <w:rPr>
          <w:rFonts w:ascii="MinionPro-Bold" w:hAnsi="MinionPro-Bold" w:cs="MinionPro-Bold"/>
          <w:b/>
          <w:bCs/>
          <w:sz w:val="20"/>
          <w:szCs w:val="20"/>
        </w:rPr>
        <w:t xml:space="preserve"> </w:t>
      </w:r>
      <w:r>
        <w:rPr>
          <w:rFonts w:ascii="MinionPro-Regular" w:hAnsi="MinionPro-Regular" w:cs="MinionPro-Regular"/>
          <w:sz w:val="20"/>
          <w:szCs w:val="20"/>
        </w:rPr>
        <w:t>to wygodna forma wyrażania oczekiwanej wartości biznesowej, którą</w:t>
      </w:r>
      <w:r w:rsidR="004F0242">
        <w:rPr>
          <w:rFonts w:ascii="MinionPro-Regular" w:hAnsi="MinionPro-Regular" w:cs="MinionPro-Regular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sz w:val="20"/>
          <w:szCs w:val="20"/>
        </w:rPr>
        <w:t>moż</w:t>
      </w:r>
      <w:r w:rsidR="004F0242">
        <w:rPr>
          <w:rFonts w:ascii="MinionPro-Regular" w:hAnsi="MinionPro-Regular" w:cs="MinionPro-Regular"/>
          <w:sz w:val="20"/>
          <w:szCs w:val="20"/>
        </w:rPr>
        <w:t xml:space="preserve">na </w:t>
      </w:r>
      <w:r>
        <w:rPr>
          <w:rFonts w:ascii="MinionPro-Regular" w:hAnsi="MinionPro-Regular" w:cs="MinionPro-Regular"/>
          <w:sz w:val="20"/>
          <w:szCs w:val="20"/>
        </w:rPr>
        <w:t>zastosować w przypadku wielu elementów rejestru produktu. Historyjki użytkownika są</w:t>
      </w:r>
      <w:r w:rsidR="004F0242">
        <w:rPr>
          <w:rFonts w:ascii="MinionPro-Regular" w:hAnsi="MinionPro-Regular" w:cs="MinionPro-Regular"/>
          <w:sz w:val="20"/>
          <w:szCs w:val="20"/>
        </w:rPr>
        <w:t xml:space="preserve"> zapisywane w </w:t>
      </w:r>
      <w:r>
        <w:rPr>
          <w:rFonts w:ascii="MinionPro-Regular" w:hAnsi="MinionPro-Regular" w:cs="MinionPro-Regular"/>
          <w:sz w:val="20"/>
          <w:szCs w:val="20"/>
        </w:rPr>
        <w:t xml:space="preserve">taki sposób, aby mogły być zrozumiane zarówno </w:t>
      </w:r>
      <w:r w:rsidR="004F0242">
        <w:rPr>
          <w:rFonts w:ascii="MinionPro-Regular" w:hAnsi="MinionPro-Regular" w:cs="MinionPro-Regular"/>
          <w:sz w:val="20"/>
          <w:szCs w:val="20"/>
        </w:rPr>
        <w:t xml:space="preserve">przez osoby z biznesowej strony </w:t>
      </w:r>
      <w:r>
        <w:rPr>
          <w:rFonts w:ascii="MinionPro-Regular" w:hAnsi="MinionPro-Regular" w:cs="MinionPro-Regular"/>
          <w:sz w:val="20"/>
          <w:szCs w:val="20"/>
        </w:rPr>
        <w:t>przedsięwzięcia, jak i przez inżynierów. Mają prostą strukturę i stanowią dobrą platformę do prowadzenia konwersacji. Ponadto można je tworzyć z różnym poziomem detali, a następnie stopniowo uszczegółowiać.”</w:t>
      </w:r>
      <w:bookmarkStart w:id="3" w:name="_Ref472777275"/>
      <w:r>
        <w:rPr>
          <w:rStyle w:val="Odwoanieprzypisudolnego"/>
          <w:rFonts w:ascii="MinionPro-Regular" w:hAnsi="MinionPro-Regular" w:cs="MinionPro-Regular"/>
          <w:sz w:val="20"/>
          <w:szCs w:val="20"/>
        </w:rPr>
        <w:footnoteReference w:id="4"/>
      </w:r>
      <w:bookmarkEnd w:id="3"/>
      <w:r>
        <w:rPr>
          <w:rFonts w:ascii="MinionPro-Regular" w:hAnsi="MinionPro-Regular" w:cs="MinionPro-Regular"/>
          <w:sz w:val="20"/>
          <w:szCs w:val="20"/>
        </w:rPr>
        <w:t>(strona 113)</w:t>
      </w:r>
      <w:r w:rsidR="00163359">
        <w:rPr>
          <w:rFonts w:ascii="MinionPro-Regular" w:hAnsi="MinionPro-Regular" w:cs="MinionPro-Regular"/>
          <w:sz w:val="20"/>
          <w:szCs w:val="20"/>
        </w:rPr>
        <w:t xml:space="preserve"> Z rozdziału 5 „Wymagania i historyjki użytkownika” skorzystano z podrozdziałów „Czym są historyjki użytkownika?”, „Karta”</w:t>
      </w:r>
      <w:r w:rsidR="00163359" w:rsidRPr="00163359">
        <w:rPr>
          <w:rFonts w:ascii="MinionPro-Regular" w:hAnsi="MinionPro-Regular" w:cs="MinionPro-Regular"/>
          <w:sz w:val="20"/>
          <w:szCs w:val="20"/>
          <w:vertAlign w:val="superscript"/>
        </w:rPr>
        <w:fldChar w:fldCharType="begin"/>
      </w:r>
      <w:r w:rsidR="00163359" w:rsidRPr="00163359">
        <w:rPr>
          <w:rFonts w:ascii="MinionPro-Regular" w:hAnsi="MinionPro-Regular" w:cs="MinionPro-Regular"/>
          <w:sz w:val="20"/>
          <w:szCs w:val="20"/>
          <w:vertAlign w:val="superscript"/>
        </w:rPr>
        <w:instrText xml:space="preserve"> NOTEREF _Ref472777275 \h </w:instrText>
      </w:r>
      <w:r w:rsidR="00163359">
        <w:rPr>
          <w:rFonts w:ascii="MinionPro-Regular" w:hAnsi="MinionPro-Regular" w:cs="MinionPro-Regular"/>
          <w:sz w:val="20"/>
          <w:szCs w:val="20"/>
          <w:vertAlign w:val="superscript"/>
        </w:rPr>
        <w:instrText xml:space="preserve"> \* MERGEFORMAT </w:instrText>
      </w:r>
      <w:r w:rsidR="00163359" w:rsidRPr="00163359">
        <w:rPr>
          <w:rFonts w:ascii="MinionPro-Regular" w:hAnsi="MinionPro-Regular" w:cs="MinionPro-Regular"/>
          <w:sz w:val="20"/>
          <w:szCs w:val="20"/>
          <w:vertAlign w:val="superscript"/>
        </w:rPr>
      </w:r>
      <w:r w:rsidR="00163359" w:rsidRPr="00163359">
        <w:rPr>
          <w:rFonts w:ascii="MinionPro-Regular" w:hAnsi="MinionPro-Regular" w:cs="MinionPro-Regular"/>
          <w:sz w:val="20"/>
          <w:szCs w:val="20"/>
          <w:vertAlign w:val="superscript"/>
        </w:rPr>
        <w:fldChar w:fldCharType="separate"/>
      </w:r>
      <w:r w:rsidR="001527C3">
        <w:rPr>
          <w:rFonts w:ascii="MinionPro-Regular" w:hAnsi="MinionPro-Regular" w:cs="MinionPro-Regular"/>
          <w:sz w:val="20"/>
          <w:szCs w:val="20"/>
          <w:vertAlign w:val="superscript"/>
        </w:rPr>
        <w:t>4</w:t>
      </w:r>
      <w:r w:rsidR="00163359" w:rsidRPr="00163359">
        <w:rPr>
          <w:rFonts w:ascii="MinionPro-Regular" w:hAnsi="MinionPro-Regular" w:cs="MinionPro-Regular"/>
          <w:sz w:val="20"/>
          <w:szCs w:val="20"/>
          <w:vertAlign w:val="superscript"/>
        </w:rPr>
        <w:fldChar w:fldCharType="end"/>
      </w:r>
      <w:r w:rsidR="00163359">
        <w:rPr>
          <w:rFonts w:ascii="MinionPro-Regular" w:hAnsi="MinionPro-Regular" w:cs="MinionPro-Regular"/>
          <w:sz w:val="20"/>
          <w:szCs w:val="20"/>
        </w:rPr>
        <w:t>,(strona od 113 do 114) aby poznać styl pisania historii użytkownika.</w:t>
      </w:r>
    </w:p>
    <w:p w:rsidR="004F0242" w:rsidRDefault="004F0242" w:rsidP="004F0242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hAnsi="MinionPro-Regular" w:cs="MinionPro-Regular"/>
          <w:sz w:val="20"/>
          <w:szCs w:val="20"/>
        </w:rPr>
      </w:pPr>
    </w:p>
    <w:p w:rsidR="0018367C" w:rsidRDefault="0018367C" w:rsidP="004F0242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0"/>
          <w:szCs w:val="20"/>
        </w:rPr>
      </w:pPr>
      <w:bookmarkStart w:id="4" w:name="_GoBack"/>
      <w:bookmarkEnd w:id="4"/>
    </w:p>
    <w:p w:rsidR="0018367C" w:rsidRDefault="0018367C" w:rsidP="0018367C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0"/>
          <w:szCs w:val="20"/>
        </w:rPr>
      </w:pPr>
    </w:p>
    <w:p w:rsidR="001355C8" w:rsidRPr="001355C8" w:rsidRDefault="001355C8" w:rsidP="001355C8">
      <w:pPr>
        <w:jc w:val="both"/>
      </w:pPr>
    </w:p>
    <w:sectPr w:rsidR="001355C8" w:rsidRPr="001355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ECA" w:rsidRDefault="00FF2ECA" w:rsidP="003C72ED">
      <w:pPr>
        <w:spacing w:after="0" w:line="240" w:lineRule="auto"/>
      </w:pPr>
      <w:r>
        <w:separator/>
      </w:r>
    </w:p>
  </w:endnote>
  <w:endnote w:type="continuationSeparator" w:id="0">
    <w:p w:rsidR="00FF2ECA" w:rsidRDefault="00FF2ECA" w:rsidP="003C7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ransit511EU-Normal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TimesNew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ransit511EU-Bold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MinionPro-Regular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MinionPro-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ECA" w:rsidRDefault="00FF2ECA" w:rsidP="003C72ED">
      <w:pPr>
        <w:spacing w:after="0" w:line="240" w:lineRule="auto"/>
      </w:pPr>
      <w:r>
        <w:separator/>
      </w:r>
    </w:p>
  </w:footnote>
  <w:footnote w:type="continuationSeparator" w:id="0">
    <w:p w:rsidR="00FF2ECA" w:rsidRDefault="00FF2ECA" w:rsidP="003C72ED">
      <w:pPr>
        <w:spacing w:after="0" w:line="240" w:lineRule="auto"/>
      </w:pPr>
      <w:r>
        <w:continuationSeparator/>
      </w:r>
    </w:p>
  </w:footnote>
  <w:footnote w:id="1">
    <w:p w:rsidR="003C72ED" w:rsidRPr="003C5C74" w:rsidRDefault="003C72ED">
      <w:pPr>
        <w:pStyle w:val="Tekstprzypisudolnego"/>
      </w:pPr>
      <w:r>
        <w:rPr>
          <w:rStyle w:val="Odwoanieprzypisudolnego"/>
        </w:rPr>
        <w:footnoteRef/>
      </w:r>
      <w:r w:rsidRPr="003C72ED">
        <w:rPr>
          <w:lang w:val="en-US"/>
        </w:rPr>
        <w:t xml:space="preserve"> </w:t>
      </w:r>
      <w:proofErr w:type="spellStart"/>
      <w:r w:rsidRPr="003C5C74">
        <w:rPr>
          <w:rFonts w:cs="Transit511EU-Normal"/>
          <w:lang w:val="en-US"/>
        </w:rPr>
        <w:t>Patric</w:t>
      </w:r>
      <w:proofErr w:type="spellEnd"/>
      <w:r w:rsidRPr="003C5C74">
        <w:rPr>
          <w:rFonts w:cs="Transit511EU-Normal"/>
          <w:lang w:val="en-US"/>
        </w:rPr>
        <w:t xml:space="preserve"> </w:t>
      </w:r>
      <w:proofErr w:type="spellStart"/>
      <w:r w:rsidRPr="003C5C74">
        <w:rPr>
          <w:rFonts w:cs="Transit511EU-Normal"/>
          <w:lang w:val="en-US"/>
        </w:rPr>
        <w:t>Graessle</w:t>
      </w:r>
      <w:proofErr w:type="spellEnd"/>
      <w:r w:rsidRPr="003C5C74">
        <w:rPr>
          <w:rFonts w:cs="Transit511EU-Normal"/>
          <w:lang w:val="en-US"/>
        </w:rPr>
        <w:t>, Henriette Baumann, Philippe Baumann,”</w:t>
      </w:r>
      <w:r w:rsidR="003C5C74" w:rsidRPr="003C5C74">
        <w:rPr>
          <w:rFonts w:cs="Transit511EU-Normal"/>
          <w:lang w:val="en-US"/>
        </w:rPr>
        <w:t xml:space="preserve"> </w:t>
      </w:r>
      <w:r w:rsidRPr="003C5C74">
        <w:rPr>
          <w:rFonts w:cs="Transit511EU-Normal"/>
          <w:lang w:val="en-US"/>
        </w:rPr>
        <w:t xml:space="preserve">UML 2.0 w </w:t>
      </w:r>
      <w:proofErr w:type="spellStart"/>
      <w:r w:rsidRPr="003C5C74">
        <w:rPr>
          <w:rFonts w:cs="Transit511EU-Normal"/>
          <w:lang w:val="en-US"/>
        </w:rPr>
        <w:t>akcji</w:t>
      </w:r>
      <w:proofErr w:type="spellEnd"/>
      <w:r w:rsidRPr="003C5C74">
        <w:rPr>
          <w:rFonts w:cs="Transit511EU-Normal"/>
          <w:lang w:val="en-US"/>
        </w:rPr>
        <w:t xml:space="preserve">. </w:t>
      </w:r>
      <w:r w:rsidRPr="003C5C74">
        <w:rPr>
          <w:rFonts w:cs="Transit511EU-Normal"/>
        </w:rPr>
        <w:t>Przewodnik oparty na projektach”</w:t>
      </w:r>
      <w:r w:rsidR="0018367C">
        <w:rPr>
          <w:rFonts w:cs="Transit511EU-Normal"/>
        </w:rPr>
        <w:t>,2006r</w:t>
      </w:r>
      <w:r w:rsidRPr="003C5C74">
        <w:rPr>
          <w:rFonts w:cs="Transit511EU-Normal"/>
        </w:rPr>
        <w:t>.</w:t>
      </w:r>
      <w:r w:rsidR="0018367C">
        <w:rPr>
          <w:rFonts w:cs="Transit511EU-Normal"/>
        </w:rPr>
        <w:t>Wydawnictwo Helion</w:t>
      </w:r>
      <w:r w:rsidR="003C5C74" w:rsidRPr="003C5C74">
        <w:rPr>
          <w:rFonts w:cs="Transit511EU-Normal"/>
        </w:rPr>
        <w:t>, 978-83-246-4732-3</w:t>
      </w:r>
      <w:r w:rsidRPr="003C5C74">
        <w:rPr>
          <w:rFonts w:cs="Transit511EU-Normal"/>
        </w:rPr>
        <w:t>.</w:t>
      </w:r>
    </w:p>
  </w:footnote>
  <w:footnote w:id="2">
    <w:p w:rsidR="003C5C74" w:rsidRDefault="003C5C74">
      <w:pPr>
        <w:pStyle w:val="Tekstprzypisudolnego"/>
      </w:pPr>
      <w:r>
        <w:rPr>
          <w:rStyle w:val="Odwoanieprzypisudolnego"/>
        </w:rPr>
        <w:footnoteRef/>
      </w:r>
      <w:r w:rsidRPr="003C5C74">
        <w:t xml:space="preserve"> </w:t>
      </w:r>
      <w:r>
        <w:t xml:space="preserve">Joseph </w:t>
      </w:r>
      <w:proofErr w:type="spellStart"/>
      <w:r>
        <w:t>Schmuller</w:t>
      </w:r>
      <w:proofErr w:type="spellEnd"/>
      <w:r>
        <w:t>, „UML dla każdego”,2003r. Wydawnictwo Helion, 83-7361-107-X.</w:t>
      </w:r>
    </w:p>
  </w:footnote>
  <w:footnote w:id="3">
    <w:p w:rsidR="00F96A5C" w:rsidRDefault="00F96A5C">
      <w:pPr>
        <w:pStyle w:val="Tekstprzypisudolnego"/>
      </w:pPr>
      <w:r>
        <w:rPr>
          <w:rStyle w:val="Odwoanieprzypisudolnego"/>
        </w:rPr>
        <w:footnoteRef/>
      </w:r>
      <w:r>
        <w:t xml:space="preserve"> Stanisław Wrycza, Bartosz Marcinkowski, „Język inżynierii systemów </w:t>
      </w:r>
      <w:proofErr w:type="spellStart"/>
      <w:r>
        <w:t>SysML</w:t>
      </w:r>
      <w:proofErr w:type="spellEnd"/>
      <w:r>
        <w:t>. Architektura i zastosowania. Profile UML 2.x w praktyce”,2013r. Wydawnictwo Helion, 978-83-246-7799-3.</w:t>
      </w:r>
    </w:p>
  </w:footnote>
  <w:footnote w:id="4">
    <w:p w:rsidR="00733772" w:rsidRDefault="00733772">
      <w:pPr>
        <w:pStyle w:val="Tekstprzypisudolnego"/>
      </w:pPr>
      <w:r>
        <w:rPr>
          <w:rStyle w:val="Odwoanieprzypisudolnego"/>
        </w:rPr>
        <w:footnoteRef/>
      </w:r>
      <w:r>
        <w:t xml:space="preserve"> Kenneth S. Rubin, „SCRUM” Praktyczny przewodnik po najpopularniejszej metodyce Agile”,2013r. Wydawnictwo Helion, 978-83-246-8076-4.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5C8"/>
    <w:rsid w:val="000022A2"/>
    <w:rsid w:val="00014D92"/>
    <w:rsid w:val="00023235"/>
    <w:rsid w:val="000306C1"/>
    <w:rsid w:val="000322A4"/>
    <w:rsid w:val="00044CE9"/>
    <w:rsid w:val="000706A2"/>
    <w:rsid w:val="0009549B"/>
    <w:rsid w:val="000A1CCF"/>
    <w:rsid w:val="000C5135"/>
    <w:rsid w:val="000E4448"/>
    <w:rsid w:val="000F37D7"/>
    <w:rsid w:val="001355C8"/>
    <w:rsid w:val="00151BDD"/>
    <w:rsid w:val="001527C3"/>
    <w:rsid w:val="00163359"/>
    <w:rsid w:val="0018367C"/>
    <w:rsid w:val="001B5868"/>
    <w:rsid w:val="001B65FB"/>
    <w:rsid w:val="001C13C8"/>
    <w:rsid w:val="00233781"/>
    <w:rsid w:val="00236F5B"/>
    <w:rsid w:val="00250657"/>
    <w:rsid w:val="0027096E"/>
    <w:rsid w:val="00272E03"/>
    <w:rsid w:val="0029740C"/>
    <w:rsid w:val="002A232F"/>
    <w:rsid w:val="002A389E"/>
    <w:rsid w:val="002A47DD"/>
    <w:rsid w:val="002C19D4"/>
    <w:rsid w:val="002C7092"/>
    <w:rsid w:val="002E61ED"/>
    <w:rsid w:val="002F35FF"/>
    <w:rsid w:val="00307C59"/>
    <w:rsid w:val="0031191F"/>
    <w:rsid w:val="0032077C"/>
    <w:rsid w:val="00321858"/>
    <w:rsid w:val="00351D57"/>
    <w:rsid w:val="003532F5"/>
    <w:rsid w:val="003610D1"/>
    <w:rsid w:val="0039095F"/>
    <w:rsid w:val="003966B2"/>
    <w:rsid w:val="003C5C74"/>
    <w:rsid w:val="003C72ED"/>
    <w:rsid w:val="003F0FCF"/>
    <w:rsid w:val="00404CBD"/>
    <w:rsid w:val="004127C6"/>
    <w:rsid w:val="00417678"/>
    <w:rsid w:val="00425E0A"/>
    <w:rsid w:val="0042600A"/>
    <w:rsid w:val="00431780"/>
    <w:rsid w:val="004341AD"/>
    <w:rsid w:val="0043538B"/>
    <w:rsid w:val="004931B1"/>
    <w:rsid w:val="004B01E9"/>
    <w:rsid w:val="004F0242"/>
    <w:rsid w:val="004F1BE1"/>
    <w:rsid w:val="004F4422"/>
    <w:rsid w:val="00503E4B"/>
    <w:rsid w:val="00504E3A"/>
    <w:rsid w:val="00554A6F"/>
    <w:rsid w:val="0056089E"/>
    <w:rsid w:val="00562284"/>
    <w:rsid w:val="00564FFC"/>
    <w:rsid w:val="005A17A2"/>
    <w:rsid w:val="005A182C"/>
    <w:rsid w:val="005A2FF0"/>
    <w:rsid w:val="005C7058"/>
    <w:rsid w:val="005E57D6"/>
    <w:rsid w:val="00612B0A"/>
    <w:rsid w:val="00615906"/>
    <w:rsid w:val="006229CF"/>
    <w:rsid w:val="00627ECB"/>
    <w:rsid w:val="00632CC1"/>
    <w:rsid w:val="0066093D"/>
    <w:rsid w:val="00687E49"/>
    <w:rsid w:val="006C2F0C"/>
    <w:rsid w:val="006C3D9D"/>
    <w:rsid w:val="00702F21"/>
    <w:rsid w:val="007125C8"/>
    <w:rsid w:val="00715B5F"/>
    <w:rsid w:val="007243E4"/>
    <w:rsid w:val="00725AEB"/>
    <w:rsid w:val="00733772"/>
    <w:rsid w:val="00741342"/>
    <w:rsid w:val="007531F4"/>
    <w:rsid w:val="0076310C"/>
    <w:rsid w:val="00763C82"/>
    <w:rsid w:val="00764C51"/>
    <w:rsid w:val="00773530"/>
    <w:rsid w:val="007E0045"/>
    <w:rsid w:val="007E2C4A"/>
    <w:rsid w:val="007E66FE"/>
    <w:rsid w:val="007E7C2C"/>
    <w:rsid w:val="00801F09"/>
    <w:rsid w:val="00810934"/>
    <w:rsid w:val="00830187"/>
    <w:rsid w:val="00831BF7"/>
    <w:rsid w:val="00840E74"/>
    <w:rsid w:val="008A40DC"/>
    <w:rsid w:val="008C0386"/>
    <w:rsid w:val="008D56EC"/>
    <w:rsid w:val="008E6E3C"/>
    <w:rsid w:val="008F6388"/>
    <w:rsid w:val="00900C20"/>
    <w:rsid w:val="009102A1"/>
    <w:rsid w:val="00926F0E"/>
    <w:rsid w:val="00934FD3"/>
    <w:rsid w:val="00943B59"/>
    <w:rsid w:val="00953142"/>
    <w:rsid w:val="009706E3"/>
    <w:rsid w:val="0098088A"/>
    <w:rsid w:val="00983767"/>
    <w:rsid w:val="00990C61"/>
    <w:rsid w:val="00994F3F"/>
    <w:rsid w:val="009A1D12"/>
    <w:rsid w:val="009D0425"/>
    <w:rsid w:val="009E5B8B"/>
    <w:rsid w:val="009F15A8"/>
    <w:rsid w:val="00A1136C"/>
    <w:rsid w:val="00A1476B"/>
    <w:rsid w:val="00A16FA2"/>
    <w:rsid w:val="00A20442"/>
    <w:rsid w:val="00A458FF"/>
    <w:rsid w:val="00A568BC"/>
    <w:rsid w:val="00A629DE"/>
    <w:rsid w:val="00A63B00"/>
    <w:rsid w:val="00A903B7"/>
    <w:rsid w:val="00A943E9"/>
    <w:rsid w:val="00AB248B"/>
    <w:rsid w:val="00AC09B4"/>
    <w:rsid w:val="00AF0E71"/>
    <w:rsid w:val="00AF339A"/>
    <w:rsid w:val="00B0091B"/>
    <w:rsid w:val="00B064AD"/>
    <w:rsid w:val="00B10F77"/>
    <w:rsid w:val="00B32441"/>
    <w:rsid w:val="00B50017"/>
    <w:rsid w:val="00B65149"/>
    <w:rsid w:val="00B720FF"/>
    <w:rsid w:val="00B97C43"/>
    <w:rsid w:val="00BA0003"/>
    <w:rsid w:val="00BA0E37"/>
    <w:rsid w:val="00BE25B7"/>
    <w:rsid w:val="00BE319D"/>
    <w:rsid w:val="00BE3DB9"/>
    <w:rsid w:val="00BE7637"/>
    <w:rsid w:val="00BF4A7D"/>
    <w:rsid w:val="00BF50B5"/>
    <w:rsid w:val="00C154BA"/>
    <w:rsid w:val="00C31B33"/>
    <w:rsid w:val="00C3693D"/>
    <w:rsid w:val="00C47B2E"/>
    <w:rsid w:val="00C71F40"/>
    <w:rsid w:val="00C76DE4"/>
    <w:rsid w:val="00C8449C"/>
    <w:rsid w:val="00CA5B05"/>
    <w:rsid w:val="00CB2924"/>
    <w:rsid w:val="00CC04A0"/>
    <w:rsid w:val="00CD00B2"/>
    <w:rsid w:val="00CD2FAE"/>
    <w:rsid w:val="00CD31CD"/>
    <w:rsid w:val="00CE2992"/>
    <w:rsid w:val="00CE7A97"/>
    <w:rsid w:val="00D004AF"/>
    <w:rsid w:val="00D05EFE"/>
    <w:rsid w:val="00D063F3"/>
    <w:rsid w:val="00D23325"/>
    <w:rsid w:val="00D23925"/>
    <w:rsid w:val="00D31795"/>
    <w:rsid w:val="00D36198"/>
    <w:rsid w:val="00D372F2"/>
    <w:rsid w:val="00D42693"/>
    <w:rsid w:val="00D609AB"/>
    <w:rsid w:val="00D66470"/>
    <w:rsid w:val="00DA5CEF"/>
    <w:rsid w:val="00DB7264"/>
    <w:rsid w:val="00DF6CB6"/>
    <w:rsid w:val="00DF7067"/>
    <w:rsid w:val="00E0308C"/>
    <w:rsid w:val="00E66065"/>
    <w:rsid w:val="00E81C7E"/>
    <w:rsid w:val="00E951F1"/>
    <w:rsid w:val="00EA1B1E"/>
    <w:rsid w:val="00EA1E0E"/>
    <w:rsid w:val="00EC4D2F"/>
    <w:rsid w:val="00ED58F2"/>
    <w:rsid w:val="00EE536D"/>
    <w:rsid w:val="00F00182"/>
    <w:rsid w:val="00F05186"/>
    <w:rsid w:val="00F3393A"/>
    <w:rsid w:val="00F53B32"/>
    <w:rsid w:val="00F64798"/>
    <w:rsid w:val="00F65D22"/>
    <w:rsid w:val="00F760B4"/>
    <w:rsid w:val="00F836DF"/>
    <w:rsid w:val="00F863DD"/>
    <w:rsid w:val="00F94287"/>
    <w:rsid w:val="00F94805"/>
    <w:rsid w:val="00F96A5C"/>
    <w:rsid w:val="00FB5332"/>
    <w:rsid w:val="00FB5531"/>
    <w:rsid w:val="00FF2ECA"/>
    <w:rsid w:val="00FF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BFFBFE-BE1E-4AF1-A045-944E74D1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next w:val="Normalny"/>
    <w:uiPriority w:val="37"/>
    <w:unhideWhenUsed/>
    <w:rsid w:val="001355C8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C72E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C72E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3C72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Pat05</b:Tag>
    <b:SourceType>BookSection</b:SourceType>
    <b:Guid>{545F78E6-1949-4F05-A14B-396D7E06F56B}</b:Guid>
    <b:Title>UML 2.0 w akcji. Przewodnik oparty na projektach.</b:Title>
    <b:Year>2005</b:Year>
    <b:Publisher>Galileo Press</b:Publisher>
    <b:Author>
      <b:Author>
        <b:NameList>
          <b:Person>
            <b:Last>Patric Graessle</b:Last>
            <b:First>Henriette</b:First>
            <b:Middle>Baumann, Phillipe Baumann</b:Middle>
          </b:Person>
        </b:NameList>
      </b:Author>
      <b:BookAuthor>
        <b:NameList>
          <b:Person>
            <b:Last>Patric Graessle</b:Last>
            <b:First>Henriette</b:First>
            <b:Middle>Baumann, Phillipe Baumann</b:Middle>
          </b:Person>
        </b:NameList>
      </b:BookAuthor>
    </b:Author>
    <b:BookTitle>UML 2.0 w akcji. Przewodnik oparty na projektach.</b:BookTitle>
    <b:RefOrder>1</b:RefOrder>
  </b:Source>
</b:Sources>
</file>

<file path=customXml/itemProps1.xml><?xml version="1.0" encoding="utf-8"?>
<ds:datastoreItem xmlns:ds="http://schemas.openxmlformats.org/officeDocument/2006/customXml" ds:itemID="{135A7AE7-0F8F-4FE3-8818-E159190A8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463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Sylwia</dc:creator>
  <cp:keywords/>
  <dc:description/>
  <cp:lastModifiedBy>Sylwia</cp:lastModifiedBy>
  <cp:revision>18</cp:revision>
  <dcterms:created xsi:type="dcterms:W3CDTF">2017-01-21T12:39:00Z</dcterms:created>
  <dcterms:modified xsi:type="dcterms:W3CDTF">2017-01-23T20:01:00Z</dcterms:modified>
</cp:coreProperties>
</file>