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5. Glucose Change from Pre-Exercise to During-Exercise Average by Condition and Performance Outcome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Condition</w:t>
            </w:r>
          </w:p>
        </w:tc>
        <w:tc>
          <w:tcPr>
            <w:tcW w:type="dxa" w:w="2160"/>
          </w:tcPr>
          <w:p>
            <w:r>
              <w:t>Performance Outcome</w:t>
            </w:r>
          </w:p>
        </w:tc>
        <w:tc>
          <w:tcPr>
            <w:tcW w:type="dxa" w:w="2160"/>
          </w:tcPr>
          <w:p>
            <w:r>
              <w:t>Glucose Change (mg/dL) Mean ± SD</w:t>
            </w:r>
          </w:p>
        </w:tc>
        <w:tc>
          <w:tcPr>
            <w:tcW w:type="dxa" w:w="2160"/>
          </w:tcPr>
          <w:p>
            <w:r>
              <w:t>Range (mg/dL)</w:t>
            </w:r>
          </w:p>
        </w:tc>
      </w:tr>
      <w:tr>
        <w:tc>
          <w:tcPr>
            <w:tcW w:type="dxa" w:w="2160"/>
          </w:tcPr>
          <w:p>
            <w:r>
              <w:t>Training</w:t>
            </w:r>
          </w:p>
        </w:tc>
        <w:tc>
          <w:tcPr>
            <w:tcW w:type="dxa" w:w="2160"/>
          </w:tcPr>
          <w:p>
            <w:r>
              <w:t>Successful</w:t>
            </w:r>
          </w:p>
        </w:tc>
        <w:tc>
          <w:tcPr>
            <w:tcW w:type="dxa" w:w="2160"/>
          </w:tcPr>
          <w:p>
            <w:r>
              <w:t>+14.0 ± 18.5</w:t>
            </w:r>
          </w:p>
        </w:tc>
        <w:tc>
          <w:tcPr>
            <w:tcW w:type="dxa" w:w="2160"/>
          </w:tcPr>
          <w:p>
            <w:r>
              <w:t>−35.6 to +67.8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Unsuccessful</w:t>
            </w:r>
          </w:p>
        </w:tc>
        <w:tc>
          <w:tcPr>
            <w:tcW w:type="dxa" w:w="2160"/>
          </w:tcPr>
          <w:p>
            <w:r>
              <w:t>+25.0 ± 23.2</w:t>
            </w:r>
          </w:p>
        </w:tc>
        <w:tc>
          <w:tcPr>
            <w:tcW w:type="dxa" w:w="2160"/>
          </w:tcPr>
          <w:p>
            <w:r>
              <w:t>−18.2 to +78.4</w:t>
            </w:r>
          </w:p>
        </w:tc>
      </w:tr>
      <w:tr>
        <w:tc>
          <w:tcPr>
            <w:tcW w:type="dxa" w:w="2160"/>
          </w:tcPr>
          <w:p>
            <w:r>
              <w:t>Race</w:t>
            </w:r>
          </w:p>
        </w:tc>
        <w:tc>
          <w:tcPr>
            <w:tcW w:type="dxa" w:w="2160"/>
          </w:tcPr>
          <w:p>
            <w:r>
              <w:t>Successful</w:t>
            </w:r>
          </w:p>
        </w:tc>
        <w:tc>
          <w:tcPr>
            <w:tcW w:type="dxa" w:w="2160"/>
          </w:tcPr>
          <w:p>
            <w:r>
              <w:t>+57.7 ± 27.1</w:t>
            </w:r>
          </w:p>
        </w:tc>
        <w:tc>
          <w:tcPr>
            <w:tcW w:type="dxa" w:w="2160"/>
          </w:tcPr>
          <w:p>
            <w:r>
              <w:t>+12.8 to +134.7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Unsuccessful</w:t>
            </w:r>
          </w:p>
        </w:tc>
        <w:tc>
          <w:tcPr>
            <w:tcW w:type="dxa" w:w="2160"/>
          </w:tcPr>
          <w:p>
            <w:r>
              <w:t>+30.8 ± 28.5</w:t>
            </w:r>
          </w:p>
        </w:tc>
        <w:tc>
          <w:tcPr>
            <w:tcW w:type="dxa" w:w="2160"/>
          </w:tcPr>
          <w:p>
            <w:r>
              <w:t>−22.4 to +97.6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