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781B1" w14:textId="77777777" w:rsidR="00674279" w:rsidRDefault="00000000" w:rsidP="001E0A4E">
      <w:pPr>
        <w:spacing w:line="480" w:lineRule="auto"/>
        <w:jc w:val="both"/>
      </w:pPr>
      <w:r>
        <w:rPr>
          <w:rFonts w:eastAsia="Times New Roman"/>
          <w:b/>
          <w:bCs/>
        </w:rPr>
        <w:t>Competition-Induced Glucose Dynamics in Elite Distance Runners: A Continuous Glucose Monitoring Study</w:t>
      </w:r>
    </w:p>
    <w:p w14:paraId="1D81EB89" w14:textId="77777777" w:rsidR="001E0A4E" w:rsidRDefault="001E0A4E" w:rsidP="001E0A4E">
      <w:pPr>
        <w:spacing w:line="480" w:lineRule="auto"/>
        <w:jc w:val="both"/>
      </w:pPr>
    </w:p>
    <w:p w14:paraId="511494EB" w14:textId="77777777" w:rsidR="001E0A4E" w:rsidRDefault="001E0A4E" w:rsidP="001E0A4E">
      <w:pPr>
        <w:spacing w:line="480" w:lineRule="auto"/>
        <w:jc w:val="both"/>
      </w:pPr>
      <w:r>
        <w:t>Taira Kajisa</w:t>
      </w:r>
      <w:r w:rsidRPr="001E0A4E">
        <w:rPr>
          <w:vertAlign w:val="superscript"/>
        </w:rPr>
        <w:t>1,2*</w:t>
      </w:r>
      <w:r>
        <w:t>, Toshiyuki Sakai</w:t>
      </w:r>
      <w:r w:rsidRPr="001E0A4E">
        <w:rPr>
          <w:vertAlign w:val="superscript"/>
        </w:rPr>
        <w:t>3</w:t>
      </w:r>
    </w:p>
    <w:p w14:paraId="1DA1CCAC" w14:textId="77777777" w:rsidR="001E0A4E" w:rsidRDefault="001E0A4E" w:rsidP="001E0A4E">
      <w:pPr>
        <w:spacing w:line="480" w:lineRule="auto"/>
        <w:jc w:val="both"/>
      </w:pPr>
    </w:p>
    <w:p w14:paraId="63359908" w14:textId="77777777" w:rsidR="001E0A4E" w:rsidRPr="00B560D8" w:rsidRDefault="001E0A4E" w:rsidP="001E0A4E">
      <w:pPr>
        <w:spacing w:line="480" w:lineRule="auto"/>
        <w:jc w:val="both"/>
      </w:pPr>
      <w:r w:rsidRPr="00B560D8">
        <w:t xml:space="preserve">1 Graduate School of Interdisciplinary New Science, Toyo University, 2100 </w:t>
      </w:r>
      <w:proofErr w:type="spellStart"/>
      <w:r w:rsidRPr="00B560D8">
        <w:t>Kujirai</w:t>
      </w:r>
      <w:proofErr w:type="spellEnd"/>
      <w:r w:rsidRPr="00B560D8">
        <w:t>, Kawagoe, Saitama, Japan</w:t>
      </w:r>
    </w:p>
    <w:p w14:paraId="1A3CAABD" w14:textId="77777777" w:rsidR="001E0A4E" w:rsidRPr="00B560D8" w:rsidRDefault="001E0A4E" w:rsidP="001E0A4E">
      <w:pPr>
        <w:spacing w:line="480" w:lineRule="auto"/>
        <w:jc w:val="both"/>
      </w:pPr>
      <w:r w:rsidRPr="00B560D8">
        <w:t xml:space="preserve">2 </w:t>
      </w:r>
      <w:proofErr w:type="spellStart"/>
      <w:r w:rsidRPr="00B560D8">
        <w:t>SympaFit</w:t>
      </w:r>
      <w:proofErr w:type="spellEnd"/>
      <w:r w:rsidRPr="00B560D8">
        <w:t xml:space="preserve"> Inc. Sakae-Building 2F, Hongo 3-38-10, Bunkyo-</w:t>
      </w:r>
      <w:proofErr w:type="spellStart"/>
      <w:r w:rsidRPr="00B560D8">
        <w:t>ku</w:t>
      </w:r>
      <w:proofErr w:type="spellEnd"/>
      <w:r w:rsidRPr="00B560D8">
        <w:t>, Tokyo, Japan</w:t>
      </w:r>
    </w:p>
    <w:p w14:paraId="454923B0" w14:textId="246EDE8B" w:rsidR="00674279" w:rsidRPr="00B560D8" w:rsidRDefault="001E0A4E" w:rsidP="001E0A4E">
      <w:pPr>
        <w:spacing w:line="480" w:lineRule="auto"/>
        <w:jc w:val="both"/>
      </w:pPr>
      <w:r w:rsidRPr="00B560D8">
        <w:t>3 Department of Student, Stud</w:t>
      </w:r>
      <w:r w:rsidRPr="00B560D8">
        <w:rPr>
          <w:color w:val="000000" w:themeColor="text1"/>
        </w:rPr>
        <w:t>ent Support Division, Toyo U</w:t>
      </w:r>
      <w:r w:rsidRPr="00B560D8">
        <w:t xml:space="preserve">niversity, 2100 </w:t>
      </w:r>
      <w:proofErr w:type="spellStart"/>
      <w:r w:rsidRPr="00B560D8">
        <w:t>Kujirai</w:t>
      </w:r>
      <w:proofErr w:type="spellEnd"/>
      <w:r w:rsidRPr="00B560D8">
        <w:t>, Kawagoe, Saitama, Japan</w:t>
      </w:r>
    </w:p>
    <w:p w14:paraId="3042FCBC" w14:textId="77777777" w:rsidR="001E0A4E" w:rsidRDefault="001E0A4E" w:rsidP="001E0A4E">
      <w:pPr>
        <w:spacing w:line="480" w:lineRule="auto"/>
        <w:jc w:val="both"/>
        <w:rPr>
          <w:rFonts w:eastAsia="Times New Roman"/>
          <w:b/>
          <w:bCs/>
        </w:rPr>
      </w:pPr>
    </w:p>
    <w:p w14:paraId="00085DCB" w14:textId="77777777" w:rsidR="001E0A4E" w:rsidRPr="001E0A4E" w:rsidRDefault="001E0A4E" w:rsidP="001E0A4E">
      <w:pPr>
        <w:spacing w:line="480" w:lineRule="auto"/>
        <w:jc w:val="both"/>
        <w:rPr>
          <w:rFonts w:eastAsia="Times New Roman"/>
        </w:rPr>
      </w:pPr>
      <w:r w:rsidRPr="001E0A4E">
        <w:rPr>
          <w:rFonts w:eastAsia="Times New Roman"/>
        </w:rPr>
        <w:t xml:space="preserve">*Corresponding author </w:t>
      </w:r>
    </w:p>
    <w:p w14:paraId="1C9A0D10" w14:textId="77777777" w:rsidR="001E0A4E" w:rsidRDefault="001E0A4E" w:rsidP="001E0A4E">
      <w:pPr>
        <w:spacing w:line="480" w:lineRule="auto"/>
        <w:jc w:val="both"/>
        <w:rPr>
          <w:rFonts w:eastAsia="Times New Roman"/>
          <w:b/>
          <w:bCs/>
        </w:rPr>
      </w:pPr>
      <w:r w:rsidRPr="001E0A4E">
        <w:rPr>
          <w:rFonts w:eastAsia="Times New Roman"/>
        </w:rPr>
        <w:t>E-mail: taira.kajisa@sympafit.co.jp</w:t>
      </w:r>
      <w:r w:rsidRPr="001E0A4E">
        <w:rPr>
          <w:rFonts w:eastAsia="Times New Roman"/>
          <w:b/>
          <w:bCs/>
        </w:rPr>
        <w:t xml:space="preserve"> </w:t>
      </w:r>
    </w:p>
    <w:p w14:paraId="00EBFBD5" w14:textId="77777777" w:rsidR="001E0A4E" w:rsidRDefault="001E0A4E" w:rsidP="001E0A4E">
      <w:pPr>
        <w:spacing w:line="480" w:lineRule="auto"/>
        <w:jc w:val="both"/>
        <w:rPr>
          <w:rFonts w:eastAsia="Times New Roman"/>
          <w:b/>
          <w:bCs/>
        </w:rPr>
      </w:pPr>
    </w:p>
    <w:p w14:paraId="4C353EB3" w14:textId="3C018AEA" w:rsidR="00674279" w:rsidRPr="001E0A4E" w:rsidRDefault="00000000" w:rsidP="001E0A4E">
      <w:pPr>
        <w:spacing w:line="480" w:lineRule="auto"/>
        <w:jc w:val="both"/>
      </w:pPr>
      <w:r w:rsidRPr="001E0A4E">
        <w:rPr>
          <w:rFonts w:eastAsia="Times New Roman"/>
        </w:rPr>
        <w:t xml:space="preserve">Word </w:t>
      </w:r>
      <w:r w:rsidR="001E0A4E">
        <w:rPr>
          <w:rFonts w:eastAsia="Times New Roman"/>
        </w:rPr>
        <w:t>c</w:t>
      </w:r>
      <w:r w:rsidRPr="001E0A4E">
        <w:rPr>
          <w:rFonts w:eastAsia="Times New Roman"/>
        </w:rPr>
        <w:t>ount (Introduction through Discussion): 3,495</w:t>
      </w:r>
    </w:p>
    <w:p w14:paraId="31B32F32" w14:textId="77777777" w:rsidR="00674279" w:rsidRPr="001E0A4E" w:rsidRDefault="00000000" w:rsidP="001E0A4E">
      <w:pPr>
        <w:spacing w:line="480" w:lineRule="auto"/>
        <w:jc w:val="both"/>
      </w:pPr>
      <w:r w:rsidRPr="001E0A4E">
        <w:rPr>
          <w:rFonts w:eastAsia="Times New Roman"/>
        </w:rPr>
        <w:t>Tables: 5    Figures: 4</w:t>
      </w:r>
    </w:p>
    <w:p w14:paraId="422666A8" w14:textId="77777777" w:rsidR="00674279" w:rsidRDefault="00674279" w:rsidP="001E0A4E">
      <w:pPr>
        <w:spacing w:line="480" w:lineRule="auto"/>
        <w:jc w:val="both"/>
      </w:pPr>
    </w:p>
    <w:p w14:paraId="122D7AB3" w14:textId="77777777" w:rsidR="001E0A4E" w:rsidRDefault="001E0A4E" w:rsidP="001E0A4E">
      <w:pPr>
        <w:spacing w:line="480" w:lineRule="auto"/>
        <w:jc w:val="both"/>
      </w:pPr>
      <w:r>
        <w:rPr>
          <w:rFonts w:eastAsia="Times New Roman"/>
          <w:b/>
          <w:bCs/>
        </w:rPr>
        <w:t xml:space="preserve">Key Words: </w:t>
      </w:r>
      <w:r>
        <w:rPr>
          <w:rFonts w:eastAsia="Times New Roman"/>
        </w:rPr>
        <w:t>continuous glucose monitoring; competition stress; exercise physiology; stress hormones; glycogenolysis; athletic performance</w:t>
      </w:r>
    </w:p>
    <w:p w14:paraId="158702CD" w14:textId="77777777" w:rsidR="001E0A4E" w:rsidRPr="001E0A4E" w:rsidRDefault="001E0A4E" w:rsidP="001E0A4E">
      <w:pPr>
        <w:spacing w:line="480" w:lineRule="auto"/>
        <w:jc w:val="both"/>
      </w:pPr>
    </w:p>
    <w:p w14:paraId="390BA1EF" w14:textId="77777777" w:rsidR="001E0A4E" w:rsidRDefault="001E0A4E" w:rsidP="001E0A4E">
      <w:pPr>
        <w:pStyle w:val="1"/>
        <w:spacing w:before="120" w:after="0"/>
        <w:jc w:val="both"/>
      </w:pPr>
      <w:r>
        <w:br w:type="page"/>
      </w:r>
    </w:p>
    <w:p w14:paraId="01C95001" w14:textId="2118373B" w:rsidR="00674279" w:rsidRDefault="00000000" w:rsidP="001E0A4E">
      <w:pPr>
        <w:pStyle w:val="1"/>
        <w:spacing w:before="120" w:after="0"/>
        <w:jc w:val="both"/>
      </w:pPr>
      <w:r>
        <w:lastRenderedPageBreak/>
        <w:t>ABSTRACT</w:t>
      </w:r>
    </w:p>
    <w:p w14:paraId="230EEEDC" w14:textId="0A521190" w:rsidR="00674279" w:rsidRDefault="00000000" w:rsidP="001E0A4E">
      <w:pPr>
        <w:spacing w:line="480" w:lineRule="auto"/>
        <w:jc w:val="both"/>
      </w:pPr>
      <w:r>
        <w:rPr>
          <w:rFonts w:eastAsia="Times New Roman"/>
          <w:b/>
          <w:bCs/>
        </w:rPr>
        <w:t xml:space="preserve">Purpose: </w:t>
      </w:r>
      <w:r w:rsidR="001E0A4E" w:rsidRPr="001E0A4E">
        <w:rPr>
          <w:rFonts w:eastAsia="Times New Roman"/>
        </w:rPr>
        <w:t>To investigate whether competitive racing elicits greater interstitial glucose elevations than equivalent-intensity race-pace training sessions in collegiate distance runners using continuous glucose monitoring (CGM), and to determine whether the direction of the glucose–performance relationship differs between training and competitive contexts.</w:t>
      </w:r>
    </w:p>
    <w:p w14:paraId="0EEE461E" w14:textId="77777777" w:rsidR="00674279" w:rsidRDefault="00674279" w:rsidP="001E0A4E">
      <w:pPr>
        <w:spacing w:line="480" w:lineRule="auto"/>
        <w:jc w:val="both"/>
      </w:pPr>
    </w:p>
    <w:p w14:paraId="6604AF5C" w14:textId="098D661B" w:rsidR="00674279" w:rsidRDefault="00000000" w:rsidP="001E0A4E">
      <w:pPr>
        <w:spacing w:line="480" w:lineRule="auto"/>
        <w:jc w:val="both"/>
      </w:pPr>
      <w:r>
        <w:rPr>
          <w:rFonts w:eastAsia="Times New Roman"/>
          <w:b/>
          <w:bCs/>
        </w:rPr>
        <w:t xml:space="preserve">Methods: </w:t>
      </w:r>
      <w:r>
        <w:rPr>
          <w:rFonts w:eastAsia="Times New Roman"/>
        </w:rPr>
        <w:t>Fifty-seven</w:t>
      </w:r>
      <w:r w:rsidR="001E0A4E">
        <w:rPr>
          <w:rFonts w:eastAsia="Times New Roman"/>
        </w:rPr>
        <w:t xml:space="preserve"> male</w:t>
      </w:r>
      <w:r>
        <w:rPr>
          <w:rFonts w:eastAsia="Times New Roman"/>
        </w:rPr>
        <w:t xml:space="preserve"> collegiate distance runners participated in this prospective observational cohort study (2021–2025). CGM devices</w:t>
      </w:r>
      <w:r w:rsidR="001E0A4E">
        <w:rPr>
          <w:rFonts w:eastAsia="Times New Roman"/>
        </w:rPr>
        <w:t xml:space="preserve"> </w:t>
      </w:r>
      <w:r>
        <w:rPr>
          <w:rFonts w:eastAsia="Times New Roman"/>
        </w:rPr>
        <w:t>were worn during 203 race-pace training sessions and 126 competitive races. Pre-exercise (2-h prior) and during-exercise average and maximum interstitial glucose concentrations were extracted for each event. Performance was classified as successful or unsuccessful relative to pre-established individual goal times. Independent-samples t-tests, Cohen's d effect sizes, and chi-square analyses were applied.</w:t>
      </w:r>
    </w:p>
    <w:p w14:paraId="5CC83AAE" w14:textId="77777777" w:rsidR="00674279" w:rsidRDefault="00674279" w:rsidP="001E0A4E">
      <w:pPr>
        <w:spacing w:line="480" w:lineRule="auto"/>
        <w:jc w:val="both"/>
      </w:pPr>
    </w:p>
    <w:p w14:paraId="08801263" w14:textId="77777777" w:rsidR="00674279" w:rsidRDefault="00000000" w:rsidP="001E0A4E">
      <w:pPr>
        <w:spacing w:line="480" w:lineRule="auto"/>
        <w:jc w:val="both"/>
      </w:pPr>
      <w:r>
        <w:rPr>
          <w:rFonts w:eastAsia="Times New Roman"/>
          <w:b/>
          <w:bCs/>
        </w:rPr>
        <w:t xml:space="preserve">Results: </w:t>
      </w:r>
      <w:r>
        <w:rPr>
          <w:rFonts w:eastAsia="Times New Roman"/>
        </w:rPr>
        <w:t>The training success rate significantly exceeded that in competition (86.2% vs. 65.9%; χ² = 17.81, p &lt; 0.001). During training, successful performance was associated with lower during-exercise glucose (125.0 ± 24.5 vs. 145.0 ± 36.8 mg/dL; p &lt; 0.001; d = −0.64). In competition, this relationship was paradoxically reversed: successful athletes demonstrated markedly higher during-exercise glucose (206.4 ± 34.5 vs. 166.9 ± 33.2 mg/dL; p &lt; 0.001; d = 1.17). The race-versus-training difference in during-exercise average glucose among successful athletes was 81.4 mg/dL (d = 2.72).</w:t>
      </w:r>
    </w:p>
    <w:p w14:paraId="344E0608" w14:textId="77777777" w:rsidR="00674279" w:rsidRDefault="00674279" w:rsidP="001E0A4E">
      <w:pPr>
        <w:spacing w:line="480" w:lineRule="auto"/>
        <w:jc w:val="both"/>
      </w:pPr>
    </w:p>
    <w:p w14:paraId="304A1EE0" w14:textId="77777777" w:rsidR="00674279" w:rsidRDefault="00000000" w:rsidP="001E0A4E">
      <w:pPr>
        <w:spacing w:line="480" w:lineRule="auto"/>
        <w:jc w:val="both"/>
      </w:pPr>
      <w:r>
        <w:rPr>
          <w:rFonts w:eastAsia="Times New Roman"/>
          <w:b/>
          <w:bCs/>
        </w:rPr>
        <w:t xml:space="preserve">Conclusions: </w:t>
      </w:r>
      <w:r>
        <w:rPr>
          <w:rFonts w:eastAsia="Times New Roman"/>
        </w:rPr>
        <w:t xml:space="preserve">Competitive racing induces profound hepatic glucose mobilization that fundamentally inverts the glucose–performance relationship observed during training. These </w:t>
      </w:r>
      <w:r>
        <w:rPr>
          <w:rFonts w:eastAsia="Times New Roman"/>
        </w:rPr>
        <w:lastRenderedPageBreak/>
        <w:t>findings implicate catecholamine-driven glycogenolysis as the primary mechanism and suggest that the capacity for robust stress-induced glucose mobilization is a key determinant of competitive success. CGM-based metabolic profiling may inform individualized competition preparation and nutritional strategies.</w:t>
      </w:r>
    </w:p>
    <w:p w14:paraId="268F332B" w14:textId="77777777" w:rsidR="00674279" w:rsidRDefault="00674279" w:rsidP="001E0A4E">
      <w:pPr>
        <w:spacing w:line="480" w:lineRule="auto"/>
        <w:jc w:val="both"/>
      </w:pPr>
    </w:p>
    <w:p w14:paraId="5A0E0DE6" w14:textId="77777777" w:rsidR="00674279" w:rsidRDefault="00674279" w:rsidP="001E0A4E">
      <w:pPr>
        <w:spacing w:line="480" w:lineRule="auto"/>
        <w:jc w:val="both"/>
      </w:pPr>
    </w:p>
    <w:p w14:paraId="5F07DDF1" w14:textId="77777777" w:rsidR="001E0A4E" w:rsidRDefault="001E0A4E" w:rsidP="001E0A4E">
      <w:pPr>
        <w:pStyle w:val="1"/>
        <w:spacing w:before="120" w:after="0"/>
        <w:jc w:val="both"/>
      </w:pPr>
      <w:r>
        <w:br w:type="page"/>
      </w:r>
    </w:p>
    <w:p w14:paraId="6838285D" w14:textId="582D5AF9" w:rsidR="00674279" w:rsidRDefault="00000000" w:rsidP="001E0A4E">
      <w:pPr>
        <w:pStyle w:val="1"/>
        <w:spacing w:before="120" w:after="0"/>
        <w:jc w:val="both"/>
      </w:pPr>
      <w:r>
        <w:lastRenderedPageBreak/>
        <w:t>INTRODUCTION</w:t>
      </w:r>
    </w:p>
    <w:p w14:paraId="4D7162A2" w14:textId="77777777" w:rsidR="00674279" w:rsidRDefault="00000000" w:rsidP="001E0A4E">
      <w:pPr>
        <w:spacing w:line="480" w:lineRule="auto"/>
        <w:ind w:firstLine="720"/>
        <w:jc w:val="both"/>
      </w:pPr>
      <w:r>
        <w:rPr>
          <w:rFonts w:eastAsia="Times New Roman"/>
        </w:rPr>
        <w:t>The practice-to-competition performance gap is a well-recognized challenge in competitive athletics: athletes who consistently achieve goal paces in training frequently fail to replicate these performances in formal competition. Psychological factors — particularly competition-induced anxiety and pre-race arousal — have been identified as primary contributors to this discrepancy (1,2). Elevated competitive stress activates the hypothalamic–pituitary–adrenal (HPA) axis and sympathetic nervous system, triggering the release of catecholamines and cortisol that profoundly alter substrate metabolism (3,4,5). Despite this conceptual framework, the magnitude and metabolic significance of competition-induced physiological changes in elite athletes remain incompletely characterized.</w:t>
      </w:r>
    </w:p>
    <w:p w14:paraId="11E1BB71" w14:textId="77777777" w:rsidR="00674279" w:rsidRDefault="00000000" w:rsidP="001E0A4E">
      <w:pPr>
        <w:spacing w:line="480" w:lineRule="auto"/>
        <w:ind w:firstLine="720"/>
        <w:jc w:val="both"/>
      </w:pPr>
      <w:r>
        <w:rPr>
          <w:rFonts w:eastAsia="Times New Roman"/>
        </w:rPr>
        <w:t>During exercise, circulating glucose reflects the dynamic balance between hepatic glucose output (via glycogenolysis and gluconeogenesis) and uptake by active skeletal muscle (6,7). Under conditions of physiological stress, epinephrine exerts potent stimulatory effects on hepatic glycogenolysis through β-adrenergic receptor activation, acutely elevating blood glucose within minutes (8,9). The magnitude of this catecholamine-mediated response is proportional to the perceived importance of the stressor and the degree of sympathetic activation (10). Accordingly, the psychological demands of formal competition — involving outcome uncertainty, social evaluation, and high personal stakes — may impose a substantially greater neuroendocrine stimulus than equivalent-intensity training sessions conducted in familiar, low-threat environments.</w:t>
      </w:r>
    </w:p>
    <w:p w14:paraId="1BE0A8AF" w14:textId="77777777" w:rsidR="00674279" w:rsidRDefault="00000000" w:rsidP="001E0A4E">
      <w:pPr>
        <w:spacing w:line="480" w:lineRule="auto"/>
        <w:ind w:firstLine="720"/>
        <w:jc w:val="both"/>
      </w:pPr>
      <w:r>
        <w:rPr>
          <w:rFonts w:eastAsia="Times New Roman"/>
        </w:rPr>
        <w:t xml:space="preserve">Previous investigations of stress–glucose interactions in athletes have been limited by reliance on infrequent blood sampling and by an inability to standardize the exercise stimulus between training and competition contexts (11,12,13). Discrete venipuncture samples cannot resolve the dynamic glucose trajectory across an event, and differences in pacing or distance </w:t>
      </w:r>
      <w:r>
        <w:rPr>
          <w:rFonts w:eastAsia="Times New Roman"/>
        </w:rPr>
        <w:lastRenderedPageBreak/>
        <w:t>between practice and racing confound attribution of metabolic changes specifically to psychological stressors. These methodological limitations have left a critical gap in understanding how competition-induced stress alters glucose metabolism in athletic populations.</w:t>
      </w:r>
    </w:p>
    <w:p w14:paraId="14B3F1C2" w14:textId="77777777" w:rsidR="00674279" w:rsidRDefault="00000000" w:rsidP="001E0A4E">
      <w:pPr>
        <w:spacing w:line="480" w:lineRule="auto"/>
        <w:ind w:firstLine="720"/>
        <w:jc w:val="both"/>
      </w:pPr>
      <w:r>
        <w:rPr>
          <w:rFonts w:eastAsia="Times New Roman"/>
        </w:rPr>
        <w:t>Continuous glucose monitoring (CGM) technology, originally developed for diabetes management, provides interstitial glucose measurements at sub-minute intervals throughout free-living activity (14,15). Recent applications of CGM in sport science have begun to reveal glucose response patterns to diverse training stimuli (16,17,18,19). However, systematic comparisons of CGM-derived glucose profiles between race-pace training sessions and actual competition, matched for exercise intensity and distance, have not been reported. Distance running is particularly suited for such a comparison: aerobic metabolism dominates energy provision, exercise intensity can be standardized through pace monitoring, and the psychological demands of competition are prominent and well-documented (20,21).</w:t>
      </w:r>
    </w:p>
    <w:p w14:paraId="564E4B15" w14:textId="77777777" w:rsidR="00674279" w:rsidRDefault="00000000" w:rsidP="001E0A4E">
      <w:pPr>
        <w:spacing w:line="480" w:lineRule="auto"/>
        <w:ind w:firstLine="720"/>
        <w:jc w:val="both"/>
      </w:pPr>
      <w:r>
        <w:rPr>
          <w:rFonts w:eastAsia="Times New Roman"/>
        </w:rPr>
        <w:t>Race-pace training sessions — structured workouts in which athletes sustain efforts at or near goal-race velocities — provide a controlled training analog to competition. Because these sessions closely replicate the physiological demands of racing while occurring in the comparatively low-stress training environment, they enable isolation of the psychological, rather than mechanical, contribution to any observed metabolic differences. To date, no study has leveraged this natural experimental design with continuous glucose monitoring to quantify competition-induced glucose changes and their relationship to performance outcomes.</w:t>
      </w:r>
    </w:p>
    <w:p w14:paraId="14A359E5" w14:textId="77777777" w:rsidR="00674279" w:rsidRDefault="00000000" w:rsidP="001E0A4E">
      <w:pPr>
        <w:spacing w:line="480" w:lineRule="auto"/>
        <w:ind w:firstLine="720"/>
        <w:jc w:val="both"/>
      </w:pPr>
      <w:r>
        <w:rPr>
          <w:rFonts w:eastAsia="Times New Roman"/>
        </w:rPr>
        <w:t xml:space="preserve">The primary purpose of this study was to quantify interstitial glucose dynamics during race-pace training versus competitive races in collegiate distance runners using CGM, and to determine how glucose patterns differ between successful and unsuccessful performers in each context. We hypothesized that competitive races would elicit substantially greater glucose </w:t>
      </w:r>
      <w:r>
        <w:rPr>
          <w:rFonts w:eastAsia="Times New Roman"/>
        </w:rPr>
        <w:lastRenderedPageBreak/>
        <w:t>elevations than training sessions of equivalent intensity, mediated by enhanced stress hormone release, and that the direction of the glucose–performance relationship would differ qualitatively between the two conditions.</w:t>
      </w:r>
    </w:p>
    <w:p w14:paraId="59BC63EE" w14:textId="77777777" w:rsidR="00674279" w:rsidRDefault="00674279" w:rsidP="001E0A4E">
      <w:pPr>
        <w:spacing w:line="480" w:lineRule="auto"/>
        <w:jc w:val="both"/>
      </w:pPr>
    </w:p>
    <w:p w14:paraId="4054817F" w14:textId="77777777" w:rsidR="00037E8E" w:rsidRDefault="00037E8E" w:rsidP="001E0A4E">
      <w:pPr>
        <w:pStyle w:val="1"/>
        <w:spacing w:before="120" w:after="0"/>
        <w:jc w:val="both"/>
      </w:pPr>
      <w:r>
        <w:br w:type="page"/>
      </w:r>
    </w:p>
    <w:p w14:paraId="2B529514" w14:textId="5BE020BB" w:rsidR="00674279" w:rsidRDefault="00000000" w:rsidP="001E0A4E">
      <w:pPr>
        <w:pStyle w:val="1"/>
        <w:spacing w:before="120" w:after="0"/>
        <w:jc w:val="both"/>
      </w:pPr>
      <w:r>
        <w:lastRenderedPageBreak/>
        <w:t>METHODS</w:t>
      </w:r>
    </w:p>
    <w:p w14:paraId="1A2DDE29" w14:textId="77777777" w:rsidR="00674279" w:rsidRPr="002B3E31" w:rsidRDefault="00000000" w:rsidP="001E0A4E">
      <w:pPr>
        <w:pStyle w:val="2"/>
        <w:spacing w:before="120" w:after="0"/>
        <w:jc w:val="both"/>
        <w:rPr>
          <w:i w:val="0"/>
          <w:iCs w:val="0"/>
        </w:rPr>
      </w:pPr>
      <w:r w:rsidRPr="002B3E31">
        <w:rPr>
          <w:i w:val="0"/>
          <w:iCs w:val="0"/>
        </w:rPr>
        <w:t>Study Design and Ethics</w:t>
      </w:r>
    </w:p>
    <w:p w14:paraId="6CB07FB7" w14:textId="43AFCD4B" w:rsidR="00674279" w:rsidRDefault="00000000" w:rsidP="001E0A4E">
      <w:pPr>
        <w:spacing w:line="480" w:lineRule="auto"/>
        <w:ind w:firstLine="720"/>
        <w:jc w:val="both"/>
      </w:pPr>
      <w:r w:rsidRPr="00037E8E">
        <w:rPr>
          <w:color w:val="000000" w:themeColor="text1"/>
          <w:sz w:val="22"/>
        </w:rPr>
        <w:t>This prospective observational cohort study was conducted from September 2021 through January 2025. Procedures were approved by the Toyo University Institutional Review Board (TU2021-00</w:t>
      </w:r>
      <w:r>
        <w:rPr>
          <w:sz w:val="22"/>
        </w:rPr>
        <w:t>6). Data collection was carried out for all athletes after explaining the experimental methods and associated risks and obtaining written informed consent through signed consent forms. The study adhered to the Declaration of Helsinki and was reported in accordance with the STROBE guidelines for observational research (22).</w:t>
      </w:r>
    </w:p>
    <w:p w14:paraId="4A2091DB" w14:textId="5E3169AA" w:rsidR="00674279" w:rsidRPr="002B3E31" w:rsidRDefault="00000000" w:rsidP="001E0A4E">
      <w:pPr>
        <w:pStyle w:val="2"/>
        <w:spacing w:before="120" w:after="0"/>
        <w:jc w:val="both"/>
        <w:rPr>
          <w:i w:val="0"/>
          <w:iCs w:val="0"/>
        </w:rPr>
      </w:pPr>
      <w:r w:rsidRPr="002B3E31">
        <w:rPr>
          <w:i w:val="0"/>
          <w:iCs w:val="0"/>
        </w:rPr>
        <w:t>Participants</w:t>
      </w:r>
    </w:p>
    <w:p w14:paraId="5E885A7E" w14:textId="2F08892D" w:rsidR="00674279" w:rsidRDefault="00000000" w:rsidP="001E0A4E">
      <w:pPr>
        <w:spacing w:line="480" w:lineRule="auto"/>
        <w:ind w:firstLine="720"/>
        <w:jc w:val="both"/>
      </w:pPr>
      <w:r>
        <w:rPr>
          <w:rFonts w:eastAsia="Times New Roman"/>
        </w:rPr>
        <w:t xml:space="preserve">Fifty-seven </w:t>
      </w:r>
      <w:r w:rsidR="002B3E31">
        <w:rPr>
          <w:rFonts w:eastAsia="Times New Roman"/>
        </w:rPr>
        <w:t xml:space="preserve">male </w:t>
      </w:r>
      <w:r>
        <w:rPr>
          <w:rFonts w:eastAsia="Times New Roman"/>
        </w:rPr>
        <w:t xml:space="preserve">collegiate distance runners were recruited from the university's track and field teams. </w:t>
      </w:r>
      <w:r w:rsidR="00D01F24" w:rsidRPr="00D01F24">
        <w:rPr>
          <w:rFonts w:eastAsia="Times New Roman"/>
        </w:rPr>
        <w:t xml:space="preserve">Participants were highly trained collegiate endurance athletes competing at national championship level events in Japan (e.g., Hakone </w:t>
      </w:r>
      <w:proofErr w:type="spellStart"/>
      <w:r w:rsidR="00D01F24" w:rsidRPr="00D01F24">
        <w:rPr>
          <w:rFonts w:eastAsia="Times New Roman"/>
        </w:rPr>
        <w:t>Ekiden</w:t>
      </w:r>
      <w:proofErr w:type="spellEnd"/>
      <w:r w:rsidR="00D01F24" w:rsidRPr="00D01F24">
        <w:rPr>
          <w:rFonts w:eastAsia="Times New Roman"/>
        </w:rPr>
        <w:t xml:space="preserve"> and All-Japan University </w:t>
      </w:r>
      <w:proofErr w:type="spellStart"/>
      <w:r w:rsidR="00D01F24" w:rsidRPr="00D01F24">
        <w:rPr>
          <w:rFonts w:eastAsia="Times New Roman"/>
        </w:rPr>
        <w:t>Ekiden</w:t>
      </w:r>
      <w:proofErr w:type="spellEnd"/>
      <w:r w:rsidR="00D01F24" w:rsidRPr="00D01F24">
        <w:rPr>
          <w:rFonts w:eastAsia="Times New Roman"/>
        </w:rPr>
        <w:t>).</w:t>
      </w:r>
      <w:r w:rsidR="00D01F24">
        <w:rPr>
          <w:rFonts w:eastAsia="Times New Roman" w:hint="eastAsia"/>
        </w:rPr>
        <w:t xml:space="preserve"> </w:t>
      </w:r>
      <w:r>
        <w:rPr>
          <w:rFonts w:eastAsia="Times New Roman"/>
        </w:rPr>
        <w:t>Eligibility criteria included: (</w:t>
      </w:r>
      <w:proofErr w:type="spellStart"/>
      <w:r>
        <w:rPr>
          <w:rFonts w:eastAsia="Times New Roman"/>
        </w:rPr>
        <w:t>i</w:t>
      </w:r>
      <w:proofErr w:type="spellEnd"/>
      <w:r>
        <w:rPr>
          <w:rFonts w:eastAsia="Times New Roman"/>
        </w:rPr>
        <w:t>) active membership on the collegiate team, (ii) ≥2 years of competitive distance running experience, (iii) no personal or family history of diabetes or glucose metabolism disorders, (iv) no current use of medications affecting glucose homeostasis, and (v) willingness to wear CGM devices during training and competition. Training volumes at enrollment ranged from 60 to 100 miles per week according to training phase.</w:t>
      </w:r>
    </w:p>
    <w:p w14:paraId="30048F1B" w14:textId="77777777" w:rsidR="00674279" w:rsidRPr="00D01F24" w:rsidRDefault="00000000" w:rsidP="001E0A4E">
      <w:pPr>
        <w:pStyle w:val="2"/>
        <w:spacing w:before="120" w:after="0"/>
        <w:jc w:val="both"/>
        <w:rPr>
          <w:i w:val="0"/>
          <w:iCs w:val="0"/>
        </w:rPr>
      </w:pPr>
      <w:r w:rsidRPr="00D01F24">
        <w:rPr>
          <w:i w:val="0"/>
          <w:iCs w:val="0"/>
        </w:rPr>
        <w:t>Continuous Glucose Monitoring</w:t>
      </w:r>
    </w:p>
    <w:p w14:paraId="39F2D7E6" w14:textId="77777777" w:rsidR="00674279" w:rsidRDefault="00000000" w:rsidP="001E0A4E">
      <w:pPr>
        <w:spacing w:line="480" w:lineRule="auto"/>
        <w:ind w:firstLine="720"/>
        <w:jc w:val="both"/>
      </w:pPr>
      <w:r>
        <w:rPr>
          <w:rFonts w:eastAsia="Times New Roman"/>
        </w:rPr>
        <w:t>Interstitial glucose was measured using factory-calibrated flash CGM sensors (</w:t>
      </w:r>
      <w:proofErr w:type="spellStart"/>
      <w:r>
        <w:rPr>
          <w:rFonts w:eastAsia="Times New Roman"/>
        </w:rPr>
        <w:t>FreeStyle</w:t>
      </w:r>
      <w:proofErr w:type="spellEnd"/>
      <w:r>
        <w:rPr>
          <w:rFonts w:eastAsia="Times New Roman"/>
        </w:rPr>
        <w:t xml:space="preserve"> Libre; Abbott Diabetes Care, Alameda, CA). Sensors were applied to the posterior upper arm by trained research staff according to manufacturer instructions and remained in place for up to 14 days. Glucose data were downloaded via a dedicated smartphone application, providing readings at 1-min intervals during active scanning periods. Participants were instructed to scan their sensors at minimum every 8 h to prevent data loss, with additional scans encouraged before and after each </w:t>
      </w:r>
      <w:r>
        <w:rPr>
          <w:rFonts w:eastAsia="Times New Roman"/>
        </w:rPr>
        <w:lastRenderedPageBreak/>
        <w:t>monitored session. Periods with sensor displacement, technical malfunction, or data completeness below 75% were excluded. Physiologically implausible values (&lt;40 or &gt;400 mg/dL) absent confirmatory symptoms were similarly excluded.</w:t>
      </w:r>
    </w:p>
    <w:p w14:paraId="34516B45" w14:textId="77777777" w:rsidR="00674279" w:rsidRPr="009F4679" w:rsidRDefault="00000000" w:rsidP="001E0A4E">
      <w:pPr>
        <w:pStyle w:val="2"/>
        <w:spacing w:before="120" w:after="0"/>
        <w:jc w:val="both"/>
        <w:rPr>
          <w:i w:val="0"/>
          <w:iCs w:val="0"/>
        </w:rPr>
      </w:pPr>
      <w:r w:rsidRPr="009F4679">
        <w:rPr>
          <w:i w:val="0"/>
          <w:iCs w:val="0"/>
        </w:rPr>
        <w:t>Exercise Protocols</w:t>
      </w:r>
    </w:p>
    <w:p w14:paraId="328D124E" w14:textId="20CCA75E" w:rsidR="00674279" w:rsidRDefault="00000000" w:rsidP="001E0A4E">
      <w:pPr>
        <w:spacing w:line="480" w:lineRule="auto"/>
        <w:ind w:firstLine="720"/>
        <w:jc w:val="both"/>
      </w:pPr>
      <w:r>
        <w:rPr>
          <w:sz w:val="22"/>
        </w:rPr>
        <w:t xml:space="preserve">Race-pace training sessions were team-organized, coach-supervised, high-intensity workouts conducted on measured tracks or certified road courses. These sessions included tempo runs at 40-km race pace to 5-km race pace, interval sets at 5-km race pace, and single-distance time trials. Duration ranged </w:t>
      </w:r>
      <w:r w:rsidRPr="00037E8E">
        <w:rPr>
          <w:color w:val="000000" w:themeColor="text1"/>
          <w:sz w:val="22"/>
        </w:rPr>
        <w:t>from approximately 15 to 130 min d</w:t>
      </w:r>
      <w:r>
        <w:rPr>
          <w:sz w:val="22"/>
        </w:rPr>
        <w:t>epending on the specific workout. Participants wore GPS-enabled heart rate monitors (Garmin, Olathe, KS) to record pace, distance, and heart rate throughout.</w:t>
      </w:r>
    </w:p>
    <w:p w14:paraId="690404D0" w14:textId="686F51AB" w:rsidR="00674279" w:rsidRDefault="00000000" w:rsidP="001E0A4E">
      <w:pPr>
        <w:spacing w:line="480" w:lineRule="auto"/>
        <w:ind w:firstLine="720"/>
        <w:jc w:val="both"/>
      </w:pPr>
      <w:r>
        <w:rPr>
          <w:rFonts w:eastAsia="Times New Roman"/>
        </w:rPr>
        <w:t xml:space="preserve">Competitive race data were collected during officially sanctioned track and field competitions, and road races. Race distances ranged from </w:t>
      </w:r>
      <w:r w:rsidR="00AF39DD">
        <w:rPr>
          <w:rFonts w:eastAsia="Times New Roman"/>
        </w:rPr>
        <w:t>5 km</w:t>
      </w:r>
      <w:r>
        <w:rPr>
          <w:rFonts w:eastAsia="Times New Roman"/>
        </w:rPr>
        <w:t xml:space="preserve"> to the marathon, with the majority being road races</w:t>
      </w:r>
      <w:r w:rsidR="00AF39DD">
        <w:rPr>
          <w:rFonts w:eastAsia="Times New Roman"/>
        </w:rPr>
        <w:t xml:space="preserve"> from 10 km to 20 km</w:t>
      </w:r>
      <w:r>
        <w:rPr>
          <w:rFonts w:eastAsia="Times New Roman"/>
        </w:rPr>
        <w:t>, and track events from 500</w:t>
      </w:r>
      <w:r w:rsidR="00AF39DD">
        <w:rPr>
          <w:rFonts w:eastAsia="Times New Roman"/>
        </w:rPr>
        <w:t>0</w:t>
      </w:r>
      <w:r>
        <w:rPr>
          <w:rFonts w:eastAsia="Times New Roman"/>
        </w:rPr>
        <w:t xml:space="preserve"> m to 10000 m. Competitive events included conference and regional championships, national-level invitationals, and road racing circuits with formal timing systems and official results.</w:t>
      </w:r>
    </w:p>
    <w:p w14:paraId="5A398E88" w14:textId="77777777" w:rsidR="00674279" w:rsidRPr="00F640E0" w:rsidRDefault="00000000" w:rsidP="001E0A4E">
      <w:pPr>
        <w:pStyle w:val="2"/>
        <w:spacing w:before="120" w:after="0"/>
        <w:jc w:val="both"/>
        <w:rPr>
          <w:i w:val="0"/>
          <w:iCs w:val="0"/>
        </w:rPr>
      </w:pPr>
      <w:r w:rsidRPr="00F640E0">
        <w:rPr>
          <w:i w:val="0"/>
          <w:iCs w:val="0"/>
        </w:rPr>
        <w:t>Data Collection and Performance Classification</w:t>
      </w:r>
    </w:p>
    <w:p w14:paraId="6D1DD19E" w14:textId="77777777" w:rsidR="00674279" w:rsidRDefault="00000000" w:rsidP="001E0A4E">
      <w:pPr>
        <w:spacing w:line="480" w:lineRule="auto"/>
        <w:ind w:firstLine="720"/>
        <w:jc w:val="both"/>
      </w:pPr>
      <w:r>
        <w:rPr>
          <w:rFonts w:eastAsia="Times New Roman"/>
        </w:rPr>
        <w:t>For each training session and race, four glucose metrics were extracted: (</w:t>
      </w:r>
      <w:proofErr w:type="spellStart"/>
      <w:r>
        <w:rPr>
          <w:rFonts w:eastAsia="Times New Roman"/>
        </w:rPr>
        <w:t>i</w:t>
      </w:r>
      <w:proofErr w:type="spellEnd"/>
      <w:r>
        <w:rPr>
          <w:rFonts w:eastAsia="Times New Roman"/>
        </w:rPr>
        <w:t>) 2-h pre-exercise average, (ii) 2-h pre-exercise maximum, (iii) during-exercise average, and (iv) during-exercise maximum. The pre-exercise window was defined as the 120 min immediately preceding exercise onset; the exercise window extended from event start to completion. To minimize confounding by exogenous carbohydrate intake, participants abstained from solid food for ≥2 h before all monitored sessions. Water intake was unrestricted. For sessions ≤90 min, no carbohydrate ingestion was permitted during exercise; standard race nutrition protocols were permitted for longer events and were documented.</w:t>
      </w:r>
    </w:p>
    <w:p w14:paraId="2BFF8EEA" w14:textId="77777777" w:rsidR="00674279" w:rsidRDefault="00000000" w:rsidP="001E0A4E">
      <w:pPr>
        <w:spacing w:line="480" w:lineRule="auto"/>
        <w:ind w:firstLine="720"/>
        <w:jc w:val="both"/>
      </w:pPr>
      <w:r>
        <w:rPr>
          <w:rFonts w:eastAsia="Times New Roman"/>
        </w:rPr>
        <w:lastRenderedPageBreak/>
        <w:t>Performance was classified dichotomously for each event. Prior to each training session or race, athletes and their coaches collaboratively established individualized goal times based on current fitness, recent training history, competition phase, and event-specific objectives. An event was classified as "successful" if the athlete met or exceeded the pre-established goal time, and "unsuccessful" otherwise. This individualized framework allowed meaningful performance comparisons across participants of varying ability and across events of different distances.</w:t>
      </w:r>
    </w:p>
    <w:p w14:paraId="061A6BDF" w14:textId="77777777" w:rsidR="00674279" w:rsidRPr="00F640E0" w:rsidRDefault="00000000" w:rsidP="001E0A4E">
      <w:pPr>
        <w:pStyle w:val="2"/>
        <w:spacing w:before="120" w:after="0"/>
        <w:jc w:val="both"/>
        <w:rPr>
          <w:i w:val="0"/>
          <w:iCs w:val="0"/>
        </w:rPr>
      </w:pPr>
      <w:r w:rsidRPr="00F640E0">
        <w:rPr>
          <w:i w:val="0"/>
          <w:iCs w:val="0"/>
        </w:rPr>
        <w:t>Statistical Analysis</w:t>
      </w:r>
    </w:p>
    <w:p w14:paraId="1209252C" w14:textId="30E49CB7" w:rsidR="00F640E0" w:rsidRPr="00F640E0" w:rsidRDefault="00000000" w:rsidP="00F640E0">
      <w:pPr>
        <w:spacing w:line="480" w:lineRule="auto"/>
        <w:ind w:firstLine="720"/>
        <w:jc w:val="both"/>
        <w:rPr>
          <w:rFonts w:eastAsia="Times New Roman"/>
        </w:rPr>
      </w:pPr>
      <w:r>
        <w:rPr>
          <w:sz w:val="22"/>
        </w:rPr>
        <w:t>Statistical analyses were performed using SPSS version 28.0 (IBM Corp., Armonk, NY). Descriptive statistics are reported as mean ± SD and median. Group differences in glucose metrics between successful and unsuccessful performers were assessed using independent-samples t-tests within each condition (training and race), and between conditions within each performance category. Effect sizes were quantified using Cohen's d (small: 0.2; medium: 0.5; large: 0.8) (23). The difference in success rates between training and competition was evaluated with a chi-square test. Glucose change scores (during-exercise minus pre-exercise average) were calculated to characterize the dynamic gluco</w:t>
      </w:r>
      <w:r w:rsidRPr="00037E8E">
        <w:rPr>
          <w:color w:val="000000" w:themeColor="text1"/>
          <w:sz w:val="22"/>
        </w:rPr>
        <w:t xml:space="preserve">se response. The significance level was set at α = 0.05 for all analyses; where multiple comparisons </w:t>
      </w:r>
      <w:r>
        <w:rPr>
          <w:sz w:val="22"/>
        </w:rPr>
        <w:t>were performed, Bonferroni correction was applied. All tests were two-tailed, and 95% confidence intervals were computed for primary effect size estimates.</w:t>
      </w:r>
    </w:p>
    <w:p w14:paraId="0FDF09EE" w14:textId="77777777" w:rsidR="00037E8E" w:rsidRDefault="00037E8E" w:rsidP="001E0A4E">
      <w:pPr>
        <w:pStyle w:val="1"/>
        <w:spacing w:before="120" w:after="0"/>
        <w:jc w:val="both"/>
      </w:pPr>
      <w:r>
        <w:br w:type="page"/>
      </w:r>
    </w:p>
    <w:p w14:paraId="77296C2B" w14:textId="52BF4C4D" w:rsidR="00674279" w:rsidRDefault="00000000" w:rsidP="001E0A4E">
      <w:pPr>
        <w:pStyle w:val="1"/>
        <w:spacing w:before="120" w:after="0"/>
        <w:jc w:val="both"/>
      </w:pPr>
      <w:r>
        <w:lastRenderedPageBreak/>
        <w:t>RESULTS</w:t>
      </w:r>
    </w:p>
    <w:p w14:paraId="0B27A210" w14:textId="77777777" w:rsidR="00674279" w:rsidRPr="00F640E0" w:rsidRDefault="00000000" w:rsidP="001E0A4E">
      <w:pPr>
        <w:pStyle w:val="2"/>
        <w:spacing w:before="120" w:after="0"/>
        <w:jc w:val="both"/>
        <w:rPr>
          <w:i w:val="0"/>
          <w:iCs w:val="0"/>
        </w:rPr>
      </w:pPr>
      <w:r w:rsidRPr="00F640E0">
        <w:rPr>
          <w:i w:val="0"/>
          <w:iCs w:val="0"/>
        </w:rPr>
        <w:t>Data Acquisition and Performance Outcomes</w:t>
      </w:r>
    </w:p>
    <w:p w14:paraId="0A80FDA2" w14:textId="77777777" w:rsidR="00674279" w:rsidRDefault="00000000" w:rsidP="001E0A4E">
      <w:pPr>
        <w:spacing w:line="480" w:lineRule="auto"/>
        <w:ind w:firstLine="720"/>
        <w:jc w:val="both"/>
      </w:pPr>
      <w:r>
        <w:rPr>
          <w:rFonts w:eastAsia="Times New Roman"/>
        </w:rPr>
        <w:t>Complete CGM and performance data were obtained from 57 participants across 329 exercise events: 203 race-pace training sessions and 126 competitive races. The training success rate (86.2%) significantly exceeded the competitive success rate (65.9%; χ² = 17.81, p &lt; 0.001), confirming the practice-to-competition performance gap in this cohort (Table 1).</w:t>
      </w:r>
    </w:p>
    <w:p w14:paraId="0DE50808" w14:textId="77777777" w:rsidR="00674279" w:rsidRDefault="00674279" w:rsidP="001E0A4E">
      <w:pPr>
        <w:spacing w:line="480" w:lineRule="auto"/>
        <w:jc w:val="both"/>
      </w:pPr>
    </w:p>
    <w:p w14:paraId="2671CD09" w14:textId="77777777" w:rsidR="00674279" w:rsidRPr="00F640E0" w:rsidRDefault="00000000" w:rsidP="001E0A4E">
      <w:pPr>
        <w:pStyle w:val="2"/>
        <w:spacing w:before="120" w:after="0"/>
        <w:jc w:val="both"/>
        <w:rPr>
          <w:i w:val="0"/>
          <w:iCs w:val="0"/>
        </w:rPr>
      </w:pPr>
      <w:r w:rsidRPr="00F640E0">
        <w:rPr>
          <w:i w:val="0"/>
          <w:iCs w:val="0"/>
        </w:rPr>
        <w:t>Glucose Dynamics During Race-Pace Training</w:t>
      </w:r>
    </w:p>
    <w:p w14:paraId="76D39999" w14:textId="77777777" w:rsidR="00674279" w:rsidRDefault="00000000" w:rsidP="001E0A4E">
      <w:pPr>
        <w:spacing w:line="480" w:lineRule="auto"/>
        <w:ind w:firstLine="720"/>
        <w:jc w:val="both"/>
      </w:pPr>
      <w:r>
        <w:rPr>
          <w:rFonts w:eastAsia="Times New Roman"/>
        </w:rPr>
        <w:t>During training sessions, athletes who achieved their performance goals demonstrated significantly lower glucose levels across all four measured parameters compared to unsuccessful performers (Table 2). The difference was largest for during-exercise maximum glucose (successful: 138.0 ± 26.0 mg/dL vs. unsuccessful: 173.1 ± 45.9 mg/dL; d = −0.94), with a large effect size also observed for during-exercise average glucose (125.0 ± 24.5 vs. 145.0 ± 36.8 mg/dL; p &lt; 0.001; d = −0.64). Pre-exercise glucose in the 2 h preceding training was modestly but significantly lower in successful performers for both average (111.0 ± 15.9 vs. 119.1 ± 20.1 mg/dL; p = 0.008; d = −0.50) and maximum (128.8 ± 19.5 vs. 140.7 ± 27.1 mg/dL; p = 0.002; d = −0.55) values.</w:t>
      </w:r>
    </w:p>
    <w:p w14:paraId="033AF5F0" w14:textId="77777777" w:rsidR="00674279" w:rsidRDefault="00674279" w:rsidP="001E0A4E">
      <w:pPr>
        <w:spacing w:line="480" w:lineRule="auto"/>
        <w:jc w:val="both"/>
      </w:pPr>
    </w:p>
    <w:p w14:paraId="07F9B34F" w14:textId="77777777" w:rsidR="00674279" w:rsidRPr="00F640E0" w:rsidRDefault="00000000" w:rsidP="001E0A4E">
      <w:pPr>
        <w:pStyle w:val="2"/>
        <w:spacing w:before="120" w:after="0"/>
        <w:jc w:val="both"/>
        <w:rPr>
          <w:i w:val="0"/>
          <w:iCs w:val="0"/>
        </w:rPr>
      </w:pPr>
      <w:r w:rsidRPr="00F640E0">
        <w:rPr>
          <w:i w:val="0"/>
          <w:iCs w:val="0"/>
        </w:rPr>
        <w:t>Glucose Dynamics During Competitive Races</w:t>
      </w:r>
    </w:p>
    <w:p w14:paraId="11609D3E" w14:textId="77777777" w:rsidR="00674279" w:rsidRDefault="00000000" w:rsidP="001E0A4E">
      <w:pPr>
        <w:spacing w:line="480" w:lineRule="auto"/>
        <w:ind w:firstLine="720"/>
        <w:jc w:val="both"/>
      </w:pPr>
      <w:r>
        <w:rPr>
          <w:rFonts w:eastAsia="Times New Roman"/>
        </w:rPr>
        <w:t xml:space="preserve">The pattern observed during competition was paradoxically opposite to that seen in training (Table 3). Successful race performers showed markedly higher glucose levels than unsuccessful performers across all parameters. The most striking difference was in during-exercise average glucose (206.4 ± 34.5 vs. 166.9 ± 33.2 mg/dL; p &lt; 0.001; d = 1.17) and during-exercise maximum </w:t>
      </w:r>
      <w:r>
        <w:rPr>
          <w:rFonts w:eastAsia="Times New Roman"/>
        </w:rPr>
        <w:lastRenderedPageBreak/>
        <w:t>glucose (241.1 ± 43.3 vs. 195.5 ± 38.5 mg/dL; p &lt; 0.001; d = 1.11), both representing very large effect sizes. Pre-exercise average glucose was also significantly higher in successful race performers beginning from the 2-h pre-race window (148.7 ± 18.5 vs. 136.1 ± 20.0 mg/dL; p &lt; 0.001; d = 0.65).</w:t>
      </w:r>
    </w:p>
    <w:p w14:paraId="26393558" w14:textId="77777777" w:rsidR="00674279" w:rsidRDefault="00674279" w:rsidP="001E0A4E">
      <w:pPr>
        <w:spacing w:line="480" w:lineRule="auto"/>
        <w:jc w:val="both"/>
      </w:pPr>
    </w:p>
    <w:p w14:paraId="7BC0433D" w14:textId="77777777" w:rsidR="00674279" w:rsidRPr="00F640E0" w:rsidRDefault="00000000" w:rsidP="001E0A4E">
      <w:pPr>
        <w:pStyle w:val="2"/>
        <w:spacing w:before="120" w:after="0"/>
        <w:jc w:val="both"/>
        <w:rPr>
          <w:i w:val="0"/>
          <w:iCs w:val="0"/>
        </w:rPr>
      </w:pPr>
      <w:r w:rsidRPr="00F640E0">
        <w:rPr>
          <w:i w:val="0"/>
          <w:iCs w:val="0"/>
        </w:rPr>
        <w:t>Training vs. Race Direct Comparisons</w:t>
      </w:r>
    </w:p>
    <w:p w14:paraId="19E065F0" w14:textId="77777777" w:rsidR="00674279" w:rsidRPr="00037E8E" w:rsidRDefault="00000000" w:rsidP="001E0A4E">
      <w:pPr>
        <w:spacing w:line="480" w:lineRule="auto"/>
        <w:ind w:firstLine="720"/>
        <w:jc w:val="both"/>
        <w:rPr>
          <w:color w:val="000000" w:themeColor="text1"/>
        </w:rPr>
      </w:pPr>
      <w:r>
        <w:rPr>
          <w:sz w:val="22"/>
        </w:rPr>
        <w:t>Direct comparison of glucose concentrations between training and race conditions revealed uniformly large elevations in competition, irrespective of performance outcome (Table 4). Among successful athletes, during-exercise average glucose was 81.4 mg/dL higher during races than training (d = 2.72), and during-exercise maximum glucose was 103.1 mg/dL higher (d = 2.89). These differences represent exception</w:t>
      </w:r>
      <w:r w:rsidRPr="00037E8E">
        <w:rPr>
          <w:color w:val="000000" w:themeColor="text1"/>
          <w:sz w:val="22"/>
        </w:rPr>
        <w:t>ally large effect sizes rarely documented in exercise physiology. Glucose elevations in competition were also evident but smaller among unsuccessful athletes (during-exercise average +21.9 mg/dL; d = 0.63), with the magnitude of the difference varying by competitive context.</w:t>
      </w:r>
    </w:p>
    <w:p w14:paraId="50B35585" w14:textId="77777777" w:rsidR="00674279" w:rsidRDefault="00674279" w:rsidP="001E0A4E">
      <w:pPr>
        <w:spacing w:line="480" w:lineRule="auto"/>
        <w:jc w:val="both"/>
      </w:pPr>
    </w:p>
    <w:p w14:paraId="7FF7254A" w14:textId="77777777" w:rsidR="00674279" w:rsidRPr="00F640E0" w:rsidRDefault="00000000" w:rsidP="001E0A4E">
      <w:pPr>
        <w:pStyle w:val="2"/>
        <w:spacing w:before="120" w:after="0"/>
        <w:jc w:val="both"/>
        <w:rPr>
          <w:i w:val="0"/>
          <w:iCs w:val="0"/>
        </w:rPr>
      </w:pPr>
      <w:r w:rsidRPr="00F640E0">
        <w:rPr>
          <w:i w:val="0"/>
          <w:iCs w:val="0"/>
        </w:rPr>
        <w:t>Glucose Change Analysis</w:t>
      </w:r>
    </w:p>
    <w:p w14:paraId="475E8E3B" w14:textId="77777777" w:rsidR="00674279" w:rsidRDefault="00000000" w:rsidP="001E0A4E">
      <w:pPr>
        <w:spacing w:line="480" w:lineRule="auto"/>
        <w:ind w:firstLine="720"/>
        <w:jc w:val="both"/>
      </w:pPr>
      <w:r>
        <w:rPr>
          <w:rFonts w:eastAsia="Times New Roman"/>
        </w:rPr>
        <w:t>The glucose change from the 2-h pre-exercise average to during-exercise average (Table 5) further illustrates the divergent metabolic demands of training and competition. Successful race performers exhibited a mean glucose increase of +57.7 ± 27.1 mg/dL during races, approximately fourfold greater than the +14.0 ± 18.5 mg/dL observed in successful training sessions. Unsuccessful race performers showed an intermediate response (+30.8 ± 28.5 mg/dL), similar in magnitude to unsuccessful training performers (+25.0 ± 23.2 mg/dL). These data suggest that the magnitude of competition-induced glucose mobilization, rather than training-induced glucose management, distinguishes successful from unsuccessful competitive performance.</w:t>
      </w:r>
    </w:p>
    <w:p w14:paraId="3E000DEE" w14:textId="77777777" w:rsidR="00674279" w:rsidRDefault="00674279" w:rsidP="001E0A4E">
      <w:pPr>
        <w:spacing w:line="480" w:lineRule="auto"/>
        <w:jc w:val="both"/>
      </w:pPr>
    </w:p>
    <w:p w14:paraId="23232E04" w14:textId="6DE254C3" w:rsidR="00674279" w:rsidRDefault="00037E8E" w:rsidP="001E0A4E">
      <w:pPr>
        <w:pStyle w:val="1"/>
        <w:spacing w:before="120" w:after="0"/>
        <w:jc w:val="both"/>
      </w:pPr>
      <w:r>
        <w:br w:type="page"/>
      </w:r>
      <w:r>
        <w:lastRenderedPageBreak/>
        <w:t>DISCUSSION</w:t>
      </w:r>
    </w:p>
    <w:p w14:paraId="17A91F08" w14:textId="77777777" w:rsidR="00674279" w:rsidRDefault="00000000" w:rsidP="001E0A4E">
      <w:pPr>
        <w:spacing w:line="480" w:lineRule="auto"/>
        <w:ind w:firstLine="720"/>
        <w:jc w:val="both"/>
      </w:pPr>
      <w:r>
        <w:rPr>
          <w:rFonts w:eastAsia="Times New Roman"/>
        </w:rPr>
        <w:t>The principal finding of this investigation is a dramatic, competition-induced elevation in interstitial glucose concentration among collegiate distance runners, with successful race performers demonstrating a mean during-exercise glucose 81.4 mg/dL higher than that observed during equivalent-intensity training. The associated effect size (Cohen's d = 2.72) substantially exceeds conventional thresholds for large effects and ranks among the largest physiological differences ever documented between practice and competition in an athletic cohort. Equally noteworthy is the paradoxical reversal of the glucose–performance relationship: in training, lower glucose predicted success, whereas in competition, higher glucose predicted success. These converging findings fundamentally challenge the assumption that training-derived metabolic profiles can predict or explain competitive performance.</w:t>
      </w:r>
    </w:p>
    <w:p w14:paraId="4E1825A3" w14:textId="77777777" w:rsidR="00674279" w:rsidRPr="00227467" w:rsidRDefault="00000000" w:rsidP="001E0A4E">
      <w:pPr>
        <w:pStyle w:val="2"/>
        <w:spacing w:before="120" w:after="0"/>
        <w:jc w:val="both"/>
        <w:rPr>
          <w:i w:val="0"/>
          <w:iCs w:val="0"/>
        </w:rPr>
      </w:pPr>
      <w:r w:rsidRPr="00227467">
        <w:rPr>
          <w:i w:val="0"/>
          <w:iCs w:val="0"/>
        </w:rPr>
        <w:t>Catecholamine-Mediated Hepatic Glucose Mobilization</w:t>
      </w:r>
    </w:p>
    <w:p w14:paraId="0F68ACBE" w14:textId="77777777" w:rsidR="00674279" w:rsidRDefault="00000000" w:rsidP="001E0A4E">
      <w:pPr>
        <w:spacing w:line="480" w:lineRule="auto"/>
        <w:ind w:firstLine="720"/>
        <w:jc w:val="both"/>
      </w:pPr>
      <w:r>
        <w:rPr>
          <w:rFonts w:eastAsia="Times New Roman"/>
        </w:rPr>
        <w:t>The rapid onset, large magnitude, and competition-specific nature of the glucose elevations observed herein strongly implicate catecholamine-driven hepatic glycogenolysis as the primary mechanism. Epinephrine exerts potent stimulatory effects on liver glycogen phosphorylase via β2-adrenergic receptor activation, mobilizing up to 100–150 g of stored glycogen within minutes of acute stress onset (8,9,24). Norepinephrine and cortisol contribute additional, though temporally slower, gluconeogenic drive (25,26). The competitive racing environment — characterized by high perceived stakes, outcome uncertainty, and social evaluation — constitutes a potent activator of the sympathoadrenal axis (10,27,28). By contrast, team practice sessions, even when physiologically demanding, present substantially fewer psychological stressors, thus eliciting a more modest neuroendocrine response.</w:t>
      </w:r>
    </w:p>
    <w:p w14:paraId="3DB7B649" w14:textId="77777777" w:rsidR="00674279" w:rsidRDefault="00000000" w:rsidP="001E0A4E">
      <w:pPr>
        <w:spacing w:line="480" w:lineRule="auto"/>
        <w:ind w:firstLine="720"/>
        <w:jc w:val="both"/>
      </w:pPr>
      <w:r>
        <w:rPr>
          <w:rFonts w:eastAsia="Times New Roman"/>
        </w:rPr>
        <w:t xml:space="preserve">The observation that pre-race glucose was significantly elevated from 2 h prior to </w:t>
      </w:r>
      <w:r>
        <w:rPr>
          <w:rFonts w:eastAsia="Times New Roman"/>
        </w:rPr>
        <w:lastRenderedPageBreak/>
        <w:t>competition among successful athletes (148.7 vs. 111.0 mg/dL in training) suggests that sympathetic activation begins well before the race start. This anticipatory stress response, mediated by amygdala–hypothalamus–brainstem circuits, is consistent with pre-competition catecholamine elevations documented in elite athletes prior to high-stakes events (3,27,29). The progressive amplification of glucose elevation from the pre-exercise window through race completion reflects sustained sympathoadrenal activity under competitive stress, a pattern mechanistically consistent with the known temporal kinetics of epinephrine secretion and hepatic glucose output (8).</w:t>
      </w:r>
    </w:p>
    <w:p w14:paraId="4BD8F060" w14:textId="77777777" w:rsidR="00674279" w:rsidRPr="008947D7" w:rsidRDefault="00000000" w:rsidP="001E0A4E">
      <w:pPr>
        <w:pStyle w:val="2"/>
        <w:spacing w:before="120" w:after="0"/>
        <w:jc w:val="both"/>
        <w:rPr>
          <w:i w:val="0"/>
          <w:iCs w:val="0"/>
        </w:rPr>
      </w:pPr>
      <w:r w:rsidRPr="008947D7">
        <w:rPr>
          <w:i w:val="0"/>
          <w:iCs w:val="0"/>
        </w:rPr>
        <w:t>Paradoxical Glucose–Performance Relationship</w:t>
      </w:r>
    </w:p>
    <w:p w14:paraId="5C8A7541" w14:textId="77777777" w:rsidR="00674279" w:rsidRDefault="00000000" w:rsidP="001E0A4E">
      <w:pPr>
        <w:spacing w:line="480" w:lineRule="auto"/>
        <w:ind w:firstLine="720"/>
        <w:jc w:val="both"/>
      </w:pPr>
      <w:r>
        <w:rPr>
          <w:rFonts w:eastAsia="Times New Roman"/>
        </w:rPr>
        <w:t>The complete directional reversal of the glucose–performance relationship between training and competition is a novel finding with substantial theoretical implications. During training, lower during-exercise glucose was associated with better performance (d = −0.64), consistent with efficient substrate extraction and metabolic economy in well-trained athletes (30,31). Under training conditions, superior performers likely exhibit more refined glucose homeostasis, balancing hepatic output precisely against muscle uptake at high-intensity exercise rates.</w:t>
      </w:r>
    </w:p>
    <w:p w14:paraId="46C12B69" w14:textId="77777777" w:rsidR="00674279" w:rsidRDefault="00000000" w:rsidP="001E0A4E">
      <w:pPr>
        <w:spacing w:line="480" w:lineRule="auto"/>
        <w:ind w:firstLine="720"/>
        <w:jc w:val="both"/>
      </w:pPr>
      <w:r>
        <w:rPr>
          <w:rFonts w:eastAsia="Times New Roman"/>
        </w:rPr>
        <w:t>Competition, however, fundamentally transforms this metabolic landscape. Higher glucose in successful race performers may confer several performance advantages: (</w:t>
      </w:r>
      <w:proofErr w:type="spellStart"/>
      <w:r>
        <w:rPr>
          <w:rFonts w:eastAsia="Times New Roman"/>
        </w:rPr>
        <w:t>i</w:t>
      </w:r>
      <w:proofErr w:type="spellEnd"/>
      <w:r>
        <w:rPr>
          <w:rFonts w:eastAsia="Times New Roman"/>
        </w:rPr>
        <w:t xml:space="preserve">) enhanced substrate availability for sustained high-intensity effort and tactical surges during critical race phases; (ii) maintenance of glucose supply to the central nervous system, supporting attentional focus and executive function under fatigue (32,33); (iii) attenuation of exercise-induced hypoglycemia and associated central fatigue; and (iv) increased substrate availability for anaerobic glycolysis during finishing efforts (31,34). The fourfold greater glucose </w:t>
      </w:r>
      <w:proofErr w:type="gramStart"/>
      <w:r>
        <w:rPr>
          <w:rFonts w:eastAsia="Times New Roman"/>
        </w:rPr>
        <w:t>increase</w:t>
      </w:r>
      <w:proofErr w:type="gramEnd"/>
      <w:r>
        <w:rPr>
          <w:rFonts w:eastAsia="Times New Roman"/>
        </w:rPr>
        <w:t xml:space="preserve"> in successful versus unsuccessful training performers (+57.7 vs. +14.0 mg/dL) suggests that the capacity to mount a robust </w:t>
      </w:r>
      <w:r>
        <w:rPr>
          <w:rFonts w:eastAsia="Times New Roman"/>
        </w:rPr>
        <w:lastRenderedPageBreak/>
        <w:t>competition-induced glucose response may represent an adaptive advantage rather than a pathological stress reaction.</w:t>
      </w:r>
    </w:p>
    <w:p w14:paraId="7BAB2B17" w14:textId="77777777" w:rsidR="00674279" w:rsidRDefault="00000000" w:rsidP="001E0A4E">
      <w:pPr>
        <w:spacing w:line="480" w:lineRule="auto"/>
        <w:ind w:firstLine="720"/>
        <w:jc w:val="both"/>
      </w:pPr>
      <w:r w:rsidRPr="00037E8E">
        <w:rPr>
          <w:color w:val="000000" w:themeColor="text1"/>
          <w:sz w:val="22"/>
        </w:rPr>
        <w:t xml:space="preserve">The pacemaker observation (Figure 4C) provides illustrative support for this interpretation. A male collegiate runner serving as a pacemaker in a women's elite marathon — running at a predetermined pace without personal performance objectives — exhibited substantially lower glucose levels (average ~111 mg/dL) than competitive runners pursuing personal goals. In the absence of competitive psychological pressure, the stress-driven glucose mobilization response was markedly attenuated, despite equivalent physical demands. </w:t>
      </w:r>
      <w:r>
        <w:rPr>
          <w:sz w:val="22"/>
        </w:rPr>
        <w:t>This dissociation of exercise intensity from glucose elevation reinforces the central role of psychological stress, rather than metabolic demand alone, in competition-induced glucose dynamics.</w:t>
      </w:r>
    </w:p>
    <w:p w14:paraId="70A10A49" w14:textId="77777777" w:rsidR="00674279" w:rsidRPr="006344EA" w:rsidRDefault="00000000" w:rsidP="001E0A4E">
      <w:pPr>
        <w:pStyle w:val="2"/>
        <w:spacing w:before="120" w:after="0"/>
        <w:jc w:val="both"/>
        <w:rPr>
          <w:i w:val="0"/>
          <w:iCs w:val="0"/>
        </w:rPr>
      </w:pPr>
      <w:r w:rsidRPr="006344EA">
        <w:rPr>
          <w:i w:val="0"/>
          <w:iCs w:val="0"/>
        </w:rPr>
        <w:t>Clinical Considerations</w:t>
      </w:r>
    </w:p>
    <w:p w14:paraId="6D14992A" w14:textId="77777777" w:rsidR="00674279" w:rsidRDefault="00000000" w:rsidP="001E0A4E">
      <w:pPr>
        <w:spacing w:line="480" w:lineRule="auto"/>
        <w:ind w:firstLine="720"/>
        <w:jc w:val="both"/>
      </w:pPr>
      <w:r>
        <w:rPr>
          <w:rFonts w:eastAsia="Times New Roman"/>
        </w:rPr>
        <w:t>The magnitude of competition-induced glucose elevation observed in this study is clinically notable: average during-exercise concentrations exceeded 200 mg/dL among successful race performers, with individual peaks surpassing 280 mg/dL in some cases. These values approach or exceed thresholds conventionally used to screen for glucose dysregulation in clinical populations (35). However, the acute, exercise-associated context is mechanistically distinct from pathological hyperglycemia: glucose elevations here reflect deliberate hepatic mobilization in response to physiological stress, with rapid clearance expected upon cessation of sympathoadrenal activation. Importantly, these values are measured as interstitial glucose, which may lag blood glucose by 5–15 min during rapid changes (15,19), suggesting that peak blood glucose may be transiently higher still.</w:t>
      </w:r>
    </w:p>
    <w:p w14:paraId="4A44C9D5" w14:textId="77777777" w:rsidR="00674279" w:rsidRDefault="00000000" w:rsidP="001E0A4E">
      <w:pPr>
        <w:spacing w:line="480" w:lineRule="auto"/>
        <w:ind w:firstLine="720"/>
        <w:jc w:val="both"/>
      </w:pPr>
      <w:r>
        <w:rPr>
          <w:rFonts w:eastAsia="Times New Roman"/>
        </w:rPr>
        <w:t xml:space="preserve">Whether repeated exposure to such extreme glucose excursions during competition confers long-term metabolic health risks warrants systematic investigation. Chronic recurrent hyperglycemia is associated with oxidative stress, endothelial dysfunction, and impaired insulin signaling (35). Elite distance runners competing at high frequencies across collegiate careers may </w:t>
      </w:r>
      <w:r>
        <w:rPr>
          <w:rFonts w:eastAsia="Times New Roman"/>
        </w:rPr>
        <w:lastRenderedPageBreak/>
        <w:t>accumulate substantial glycemic exposure, the cumulative implications of which are unknown. Longitudinal CGM studies in this population are needed to address these concerns.</w:t>
      </w:r>
    </w:p>
    <w:p w14:paraId="4BFFC7AC" w14:textId="77777777" w:rsidR="00674279" w:rsidRPr="009D32B8" w:rsidRDefault="00000000" w:rsidP="001E0A4E">
      <w:pPr>
        <w:pStyle w:val="2"/>
        <w:spacing w:before="120" w:after="0"/>
        <w:jc w:val="both"/>
        <w:rPr>
          <w:i w:val="0"/>
          <w:iCs w:val="0"/>
        </w:rPr>
      </w:pPr>
      <w:r w:rsidRPr="009D32B8">
        <w:rPr>
          <w:i w:val="0"/>
          <w:iCs w:val="0"/>
        </w:rPr>
        <w:t>Nutritional Implications</w:t>
      </w:r>
    </w:p>
    <w:p w14:paraId="2E9BDC6A" w14:textId="77777777" w:rsidR="00674279" w:rsidRDefault="00000000" w:rsidP="001E0A4E">
      <w:pPr>
        <w:spacing w:line="480" w:lineRule="auto"/>
        <w:ind w:firstLine="720"/>
        <w:jc w:val="both"/>
      </w:pPr>
      <w:r>
        <w:rPr>
          <w:rFonts w:eastAsia="Times New Roman"/>
        </w:rPr>
        <w:t xml:space="preserve">Current evidence-based guidelines recommend exogenous carbohydrate supplementation during exercise </w:t>
      </w:r>
      <w:proofErr w:type="gramStart"/>
      <w:r>
        <w:rPr>
          <w:rFonts w:eastAsia="Times New Roman"/>
        </w:rPr>
        <w:t>exceeding</w:t>
      </w:r>
      <w:proofErr w:type="gramEnd"/>
      <w:r>
        <w:rPr>
          <w:rFonts w:eastAsia="Times New Roman"/>
        </w:rPr>
        <w:t xml:space="preserve"> approximately 45–60 min to maintain performance (34,36). Our findings suggest that, in the competitive context, endogenous glucose mobilization may be sufficient — and in successful athletes, superabundant — to meet glycolytic demands for events in this duration range without supplementation. Conversely, for athletes with blunted catecholamine responses who fail to mobilize adequate glucose during competition, targeted pre-competition nutritional strategies aimed at augmenting glycogen stores or pre-race glucose availability may be warranted. CGM-guided individual metabolic profiling could assist in distinguishing between these phenotypes to inform personalized nutritional practice (16,17).</w:t>
      </w:r>
    </w:p>
    <w:p w14:paraId="2C639A90" w14:textId="77777777" w:rsidR="00674279" w:rsidRPr="006E60CF" w:rsidRDefault="00000000" w:rsidP="001E0A4E">
      <w:pPr>
        <w:pStyle w:val="2"/>
        <w:spacing w:before="120" w:after="0"/>
        <w:jc w:val="both"/>
        <w:rPr>
          <w:i w:val="0"/>
          <w:iCs w:val="0"/>
        </w:rPr>
      </w:pPr>
      <w:r w:rsidRPr="006E60CF">
        <w:rPr>
          <w:i w:val="0"/>
          <w:iCs w:val="0"/>
        </w:rPr>
        <w:t>Limitations</w:t>
      </w:r>
    </w:p>
    <w:p w14:paraId="042D47CE" w14:textId="133824E0" w:rsidR="00674279" w:rsidRDefault="00000000" w:rsidP="001E0A4E">
      <w:pPr>
        <w:spacing w:line="480" w:lineRule="auto"/>
        <w:ind w:firstLine="720"/>
        <w:jc w:val="both"/>
      </w:pPr>
      <w:r>
        <w:rPr>
          <w:rFonts w:eastAsia="Times New Roman"/>
        </w:rPr>
        <w:t xml:space="preserve">Several limitations should be considered when interpreting these results. First, interstitial fluid glucose, as measured by CGM, lags whole-blood glucose by approximately 5–15 min during rapid changes (15,19), potentially underestimating true peak plasma glucose during and immediately after exercise onset. Second, direct measurement of stress hormones — epinephrine, norepinephrine, and cortisol — was not performed, precluding mechanistic confirmation of the proposed catecholamine-mediated pathway. Third, the observational design prevents definitive causal inference; randomized interventional studies examining the glucose response to manipulated competitive stress are needed. Fourth, the cohort was restricted to collegiate distance runners at a single institution, which may limit generalizability to other competitive levels, sport types, or populations with differing psychological stress profiles. </w:t>
      </w:r>
    </w:p>
    <w:p w14:paraId="582853DF" w14:textId="77777777" w:rsidR="00674279" w:rsidRPr="006E60CF" w:rsidRDefault="00000000" w:rsidP="001E0A4E">
      <w:pPr>
        <w:pStyle w:val="2"/>
        <w:spacing w:before="120" w:after="0"/>
        <w:jc w:val="both"/>
        <w:rPr>
          <w:i w:val="0"/>
          <w:iCs w:val="0"/>
        </w:rPr>
      </w:pPr>
      <w:r w:rsidRPr="006E60CF">
        <w:rPr>
          <w:i w:val="0"/>
          <w:iCs w:val="0"/>
        </w:rPr>
        <w:lastRenderedPageBreak/>
        <w:t>Future Directions</w:t>
      </w:r>
    </w:p>
    <w:p w14:paraId="1E266808" w14:textId="77777777" w:rsidR="00674279" w:rsidRDefault="00000000" w:rsidP="001E0A4E">
      <w:pPr>
        <w:spacing w:line="480" w:lineRule="auto"/>
        <w:ind w:firstLine="720"/>
        <w:jc w:val="both"/>
      </w:pPr>
      <w:r>
        <w:rPr>
          <w:rFonts w:eastAsia="Times New Roman"/>
        </w:rPr>
        <w:t>This study opens several productive lines of inquiry. Interventional trials examining whether psychological stress management techniques (e.g., arousal regulation, cognitive reappraisal) alter competition-induced glucose dynamics and downstream performance would be particularly valuable (1,27). Studies directly coupling CGM with simultaneous hormonal sampling would enable formal mediation analyses of the catecholamine–glucose–performance pathway. Extending CGM-based competition monitoring to other athletic disciplines, varying competitive levels, and different race distances would clarify the boundary conditions of the present findings. Finally, longitudinal follow-up of athletes with high competition-induced glucose exposure should be conducted to evaluate long-term metabolic health outcomes.</w:t>
      </w:r>
    </w:p>
    <w:p w14:paraId="4271C277" w14:textId="77777777" w:rsidR="00674279" w:rsidRDefault="00674279" w:rsidP="001E0A4E">
      <w:pPr>
        <w:spacing w:line="480" w:lineRule="auto"/>
        <w:jc w:val="both"/>
      </w:pPr>
    </w:p>
    <w:p w14:paraId="213E149E" w14:textId="77777777" w:rsidR="00674279" w:rsidRPr="006E60CF" w:rsidRDefault="00000000" w:rsidP="001E0A4E">
      <w:pPr>
        <w:spacing w:before="120" w:line="480" w:lineRule="auto"/>
        <w:jc w:val="both"/>
      </w:pPr>
      <w:r w:rsidRPr="006E60CF">
        <w:rPr>
          <w:rFonts w:eastAsia="Times New Roman"/>
        </w:rPr>
        <w:t>The results of the study are presented clearly, honestly, and without fabrication, falsification, or inappropriate data manipulation. The results of the present study do not constitute endorsement by the American College of Sports Medicine.</w:t>
      </w:r>
    </w:p>
    <w:p w14:paraId="6FC03E51" w14:textId="77777777" w:rsidR="00037E8E" w:rsidRDefault="00037E8E" w:rsidP="001E0A4E">
      <w:pPr>
        <w:pStyle w:val="1"/>
        <w:spacing w:before="120" w:after="0"/>
        <w:jc w:val="both"/>
      </w:pPr>
    </w:p>
    <w:p w14:paraId="65A9AC84" w14:textId="78A8688F" w:rsidR="00674279" w:rsidRDefault="00000000" w:rsidP="001E0A4E">
      <w:pPr>
        <w:pStyle w:val="1"/>
        <w:spacing w:before="120" w:after="0"/>
        <w:jc w:val="both"/>
      </w:pPr>
      <w:r>
        <w:t>CONCLUSIONS</w:t>
      </w:r>
    </w:p>
    <w:p w14:paraId="394C29DB" w14:textId="77777777" w:rsidR="00674279" w:rsidRDefault="00000000" w:rsidP="001E0A4E">
      <w:pPr>
        <w:spacing w:line="480" w:lineRule="auto"/>
        <w:ind w:firstLine="720"/>
        <w:jc w:val="both"/>
      </w:pPr>
      <w:r>
        <w:rPr>
          <w:rFonts w:eastAsia="Times New Roman"/>
        </w:rPr>
        <w:t xml:space="preserve">This study provides the first comprehensive CGM-based documentation of competition-induced glucose dynamics in collegiate distance runners. Competitive racing elicited interstitial glucose concentrations 81.4 mg/dL higher than equivalent-intensity training in successful athletes (d = 2.72), with a paradoxical reversal of the glucose–performance relationship: lower glucose predicted training success, while higher glucose predicted race success. These findings implicate catecholamine-mediated hepatic glycogenolysis as the primary driver and suggest that the capacity to mount a robust metabolic stress response is a meaningful determinant of competitive </w:t>
      </w:r>
      <w:r>
        <w:rPr>
          <w:rFonts w:eastAsia="Times New Roman"/>
        </w:rPr>
        <w:lastRenderedPageBreak/>
        <w:t>performance. CGM technology offers a practical, non-invasive tool for characterizing individual competition-specific metabolic phenotypes, with potential to inform personalized preparation and nutritional strategies in elite athletes.</w:t>
      </w:r>
    </w:p>
    <w:p w14:paraId="39EE9199" w14:textId="77777777" w:rsidR="00674279" w:rsidRDefault="00674279" w:rsidP="001E0A4E">
      <w:pPr>
        <w:spacing w:line="480" w:lineRule="auto"/>
        <w:jc w:val="both"/>
      </w:pPr>
    </w:p>
    <w:p w14:paraId="105468A9" w14:textId="77777777" w:rsidR="00674279" w:rsidRDefault="00000000" w:rsidP="001E0A4E">
      <w:pPr>
        <w:pStyle w:val="1"/>
        <w:spacing w:before="120" w:after="0"/>
        <w:jc w:val="both"/>
      </w:pPr>
      <w:r>
        <w:t>ACKNOWLEDGMENTS</w:t>
      </w:r>
    </w:p>
    <w:p w14:paraId="69F8DC4C" w14:textId="59397AF0" w:rsidR="004069B2" w:rsidRDefault="00F9097F" w:rsidP="00F9097F">
      <w:pPr>
        <w:spacing w:line="480" w:lineRule="auto"/>
        <w:ind w:firstLine="840"/>
        <w:jc w:val="both"/>
      </w:pPr>
      <w:r w:rsidRPr="00F9097F">
        <w:t xml:space="preserve">Part of this work was supported by HAKUJU INSTITUTE FOR HEALTH SCIENCE Co., Ltd., Nisshinbo Holdings Inc., and Japan Keirin </w:t>
      </w:r>
      <w:proofErr w:type="spellStart"/>
      <w:r w:rsidRPr="00F9097F">
        <w:t>Autorace</w:t>
      </w:r>
      <w:proofErr w:type="spellEnd"/>
      <w:r w:rsidRPr="00F9097F">
        <w:t xml:space="preserve"> Foundation. </w:t>
      </w:r>
      <w:r w:rsidR="004069B2">
        <w:t xml:space="preserve">The authors thank the student-athletes and coaching staff of the Toyo University, University of Tsukuba, and Osaka University of Economics </w:t>
      </w:r>
      <w:r w:rsidR="004069B2" w:rsidRPr="004069B2">
        <w:t>the track and field teams</w:t>
      </w:r>
      <w:r w:rsidR="004069B2">
        <w:t xml:space="preserve"> for their participation and cooperation throughout data collection. No external funding was received for this investigation.</w:t>
      </w:r>
    </w:p>
    <w:p w14:paraId="597CC0D6" w14:textId="77777777" w:rsidR="00674279" w:rsidRDefault="00674279" w:rsidP="001E0A4E">
      <w:pPr>
        <w:spacing w:line="480" w:lineRule="auto"/>
        <w:jc w:val="both"/>
      </w:pPr>
    </w:p>
    <w:p w14:paraId="21FEB1E1" w14:textId="77777777" w:rsidR="00674279" w:rsidRDefault="00000000" w:rsidP="001E0A4E">
      <w:pPr>
        <w:pStyle w:val="1"/>
        <w:spacing w:before="120" w:after="0"/>
        <w:jc w:val="both"/>
      </w:pPr>
      <w:r>
        <w:t>CONFLICTS OF INTEREST AND SOURCE OF FUNDING</w:t>
      </w:r>
    </w:p>
    <w:p w14:paraId="42FAB9F0" w14:textId="77777777" w:rsidR="00674279" w:rsidRDefault="00000000" w:rsidP="001E0A4E">
      <w:pPr>
        <w:spacing w:line="480" w:lineRule="auto"/>
        <w:ind w:firstLine="720"/>
        <w:jc w:val="both"/>
      </w:pPr>
      <w:r>
        <w:rPr>
          <w:rFonts w:eastAsia="Times New Roman"/>
        </w:rPr>
        <w:t>For all authors none were declared. No funding was received for this investigation.</w:t>
      </w:r>
    </w:p>
    <w:p w14:paraId="27BC04AE" w14:textId="77777777" w:rsidR="00674279" w:rsidRDefault="00674279" w:rsidP="001E0A4E">
      <w:pPr>
        <w:spacing w:line="480" w:lineRule="auto"/>
        <w:jc w:val="both"/>
      </w:pPr>
    </w:p>
    <w:p w14:paraId="730C4E8A" w14:textId="77777777" w:rsidR="00674279" w:rsidRDefault="00000000" w:rsidP="001E0A4E">
      <w:pPr>
        <w:pStyle w:val="1"/>
        <w:spacing w:before="120" w:after="0"/>
        <w:jc w:val="both"/>
      </w:pPr>
      <w:r>
        <w:t>DATA AVAILABILITY STATEMENT</w:t>
      </w:r>
    </w:p>
    <w:p w14:paraId="3A2E0157" w14:textId="77777777" w:rsidR="00674279" w:rsidRDefault="00000000" w:rsidP="001E0A4E">
      <w:pPr>
        <w:spacing w:line="480" w:lineRule="auto"/>
        <w:ind w:firstLine="720"/>
        <w:jc w:val="both"/>
      </w:pPr>
      <w:r>
        <w:rPr>
          <w:rFonts w:eastAsia="Times New Roman"/>
        </w:rPr>
        <w:t>The raw continuous glucose monitoring data, performance classification records, and statistical analysis outputs that support the findings of this study are available from the corresponding author upon reasonable written request, subject to participant confidentiality agreements. De-identified summary data are presented in full within the tables of this manuscript.</w:t>
      </w:r>
    </w:p>
    <w:p w14:paraId="11F62E2A" w14:textId="77777777" w:rsidR="00674279" w:rsidRDefault="00674279" w:rsidP="001E0A4E">
      <w:pPr>
        <w:spacing w:line="480" w:lineRule="auto"/>
        <w:jc w:val="both"/>
      </w:pPr>
    </w:p>
    <w:p w14:paraId="2C55C6A5" w14:textId="77777777" w:rsidR="00674279" w:rsidRDefault="00000000" w:rsidP="001E0A4E">
      <w:pPr>
        <w:pStyle w:val="1"/>
        <w:spacing w:before="120" w:after="0"/>
        <w:jc w:val="both"/>
      </w:pPr>
      <w:r>
        <w:t>REFERENCES</w:t>
      </w:r>
    </w:p>
    <w:p w14:paraId="71B2630F" w14:textId="77777777" w:rsidR="00674279" w:rsidRDefault="00000000" w:rsidP="006E60CF">
      <w:pPr>
        <w:spacing w:line="480" w:lineRule="auto"/>
        <w:jc w:val="both"/>
      </w:pPr>
      <w:r>
        <w:rPr>
          <w:rFonts w:eastAsia="Times New Roman"/>
        </w:rPr>
        <w:t>1. Woodman T, Hardy L. The relative impact of cognitive anxiety and self-confidence upon sport performance: a meta-analysis. J Sports Sci. 2003;21(6):443–57.</w:t>
      </w:r>
    </w:p>
    <w:p w14:paraId="638F1C5A" w14:textId="77777777" w:rsidR="00674279" w:rsidRDefault="00000000" w:rsidP="006E60CF">
      <w:pPr>
        <w:spacing w:line="480" w:lineRule="auto"/>
        <w:jc w:val="both"/>
      </w:pPr>
      <w:r>
        <w:rPr>
          <w:rFonts w:eastAsia="Times New Roman"/>
        </w:rPr>
        <w:lastRenderedPageBreak/>
        <w:t>2. Raglin JS, Hanin YL. Competitive anxiety. In: Hanin YL, editor. Emotions in Sport. Champaign (IL): Human Kinetics; 2000. p. 93–111.</w:t>
      </w:r>
    </w:p>
    <w:p w14:paraId="043F83BD" w14:textId="77777777" w:rsidR="00674279" w:rsidRDefault="00000000" w:rsidP="006E60CF">
      <w:pPr>
        <w:spacing w:line="480" w:lineRule="auto"/>
        <w:jc w:val="both"/>
      </w:pPr>
      <w:r>
        <w:rPr>
          <w:rFonts w:eastAsia="Times New Roman"/>
        </w:rPr>
        <w:t xml:space="preserve">3. Rohleder N, Nater UM, Wolf JM, Ehlert U, Kirschbaum C. Psychosocial stress-induced activation of salivary alpha-amylase: an indicator of sympathetic activity? Ann N Y </w:t>
      </w:r>
      <w:proofErr w:type="spellStart"/>
      <w:r>
        <w:rPr>
          <w:rFonts w:eastAsia="Times New Roman"/>
        </w:rPr>
        <w:t>Acad</w:t>
      </w:r>
      <w:proofErr w:type="spellEnd"/>
      <w:r>
        <w:rPr>
          <w:rFonts w:eastAsia="Times New Roman"/>
        </w:rPr>
        <w:t xml:space="preserve"> Sci. </w:t>
      </w:r>
      <w:proofErr w:type="gramStart"/>
      <w:r>
        <w:rPr>
          <w:rFonts w:eastAsia="Times New Roman"/>
        </w:rPr>
        <w:t>2004;1032:258</w:t>
      </w:r>
      <w:proofErr w:type="gramEnd"/>
      <w:r>
        <w:rPr>
          <w:rFonts w:eastAsia="Times New Roman"/>
        </w:rPr>
        <w:t>–63.</w:t>
      </w:r>
    </w:p>
    <w:p w14:paraId="13AD9160" w14:textId="77777777" w:rsidR="00674279" w:rsidRDefault="00000000" w:rsidP="006E60CF">
      <w:pPr>
        <w:spacing w:line="480" w:lineRule="auto"/>
        <w:jc w:val="both"/>
      </w:pPr>
      <w:r>
        <w:rPr>
          <w:rFonts w:eastAsia="Times New Roman"/>
        </w:rPr>
        <w:t xml:space="preserve">4. </w:t>
      </w:r>
      <w:proofErr w:type="spellStart"/>
      <w:r>
        <w:rPr>
          <w:rFonts w:eastAsia="Times New Roman"/>
        </w:rPr>
        <w:t>Chrousos</w:t>
      </w:r>
      <w:proofErr w:type="spellEnd"/>
      <w:r>
        <w:rPr>
          <w:rFonts w:eastAsia="Times New Roman"/>
        </w:rPr>
        <w:t xml:space="preserve"> GP. Stress and disorders of the stress system. Nat Rev Endocrinol. 2009;5(7):374–81.</w:t>
      </w:r>
    </w:p>
    <w:p w14:paraId="04AECDB2" w14:textId="77777777" w:rsidR="00674279" w:rsidRDefault="00000000" w:rsidP="006E60CF">
      <w:pPr>
        <w:spacing w:line="480" w:lineRule="auto"/>
        <w:jc w:val="both"/>
      </w:pPr>
      <w:r>
        <w:rPr>
          <w:rFonts w:eastAsia="Times New Roman"/>
        </w:rPr>
        <w:t>5. Hackney AC, Viru A. Twenty-four-hour cortisol response to multiple daily exercise sessions of moderate and high intensity. Clin Physiol. 1999;19(2):178–82.</w:t>
      </w:r>
    </w:p>
    <w:p w14:paraId="4115D385" w14:textId="77777777" w:rsidR="00674279" w:rsidRDefault="00000000" w:rsidP="006E60CF">
      <w:pPr>
        <w:spacing w:line="480" w:lineRule="auto"/>
        <w:jc w:val="both"/>
      </w:pPr>
      <w:r>
        <w:rPr>
          <w:rFonts w:eastAsia="Times New Roman"/>
        </w:rPr>
        <w:t xml:space="preserve">6. Wasserman DH. Four grams of glucose. Am J </w:t>
      </w:r>
      <w:proofErr w:type="spellStart"/>
      <w:r>
        <w:rPr>
          <w:rFonts w:eastAsia="Times New Roman"/>
        </w:rPr>
        <w:t>Physiol</w:t>
      </w:r>
      <w:proofErr w:type="spellEnd"/>
      <w:r>
        <w:rPr>
          <w:rFonts w:eastAsia="Times New Roman"/>
        </w:rPr>
        <w:t xml:space="preserve"> Endocrinol </w:t>
      </w:r>
      <w:proofErr w:type="spellStart"/>
      <w:r>
        <w:rPr>
          <w:rFonts w:eastAsia="Times New Roman"/>
        </w:rPr>
        <w:t>Metab</w:t>
      </w:r>
      <w:proofErr w:type="spellEnd"/>
      <w:r>
        <w:rPr>
          <w:rFonts w:eastAsia="Times New Roman"/>
        </w:rPr>
        <w:t>. 2009;296(1</w:t>
      </w:r>
      <w:proofErr w:type="gramStart"/>
      <w:r>
        <w:rPr>
          <w:rFonts w:eastAsia="Times New Roman"/>
        </w:rPr>
        <w:t>):E</w:t>
      </w:r>
      <w:proofErr w:type="gramEnd"/>
      <w:r>
        <w:rPr>
          <w:rFonts w:eastAsia="Times New Roman"/>
        </w:rPr>
        <w:t>11–21.</w:t>
      </w:r>
    </w:p>
    <w:p w14:paraId="7D607572" w14:textId="77777777" w:rsidR="00674279" w:rsidRDefault="00000000" w:rsidP="006E60CF">
      <w:pPr>
        <w:spacing w:line="480" w:lineRule="auto"/>
        <w:jc w:val="both"/>
      </w:pPr>
      <w:r>
        <w:rPr>
          <w:rFonts w:eastAsia="Times New Roman"/>
        </w:rPr>
        <w:t xml:space="preserve">7. Coker RH, Kjaer M. </w:t>
      </w:r>
      <w:proofErr w:type="spellStart"/>
      <w:r>
        <w:rPr>
          <w:rFonts w:eastAsia="Times New Roman"/>
        </w:rPr>
        <w:t>Glucoregulation</w:t>
      </w:r>
      <w:proofErr w:type="spellEnd"/>
      <w:r>
        <w:rPr>
          <w:rFonts w:eastAsia="Times New Roman"/>
        </w:rPr>
        <w:t xml:space="preserve"> during exercise: the role of the neuroendocrine system. Sports Med. 2005;35(7):575–83.</w:t>
      </w:r>
    </w:p>
    <w:p w14:paraId="78869856" w14:textId="77777777" w:rsidR="00674279" w:rsidRDefault="00000000" w:rsidP="006E60CF">
      <w:pPr>
        <w:spacing w:line="480" w:lineRule="auto"/>
        <w:jc w:val="both"/>
      </w:pPr>
      <w:r>
        <w:rPr>
          <w:rFonts w:eastAsia="Times New Roman"/>
        </w:rPr>
        <w:t xml:space="preserve">8. </w:t>
      </w:r>
      <w:proofErr w:type="spellStart"/>
      <w:r>
        <w:rPr>
          <w:rFonts w:eastAsia="Times New Roman"/>
        </w:rPr>
        <w:t>Nonogaki</w:t>
      </w:r>
      <w:proofErr w:type="spellEnd"/>
      <w:r>
        <w:rPr>
          <w:rFonts w:eastAsia="Times New Roman"/>
        </w:rPr>
        <w:t xml:space="preserve"> K. New insights into sympathetic regulation of glucose and fat metabolism. </w:t>
      </w:r>
      <w:proofErr w:type="spellStart"/>
      <w:r>
        <w:rPr>
          <w:rFonts w:eastAsia="Times New Roman"/>
        </w:rPr>
        <w:t>Diabetologia</w:t>
      </w:r>
      <w:proofErr w:type="spellEnd"/>
      <w:r>
        <w:rPr>
          <w:rFonts w:eastAsia="Times New Roman"/>
        </w:rPr>
        <w:t>. 2000;43(5):533–49.</w:t>
      </w:r>
    </w:p>
    <w:p w14:paraId="5E8F1A18" w14:textId="77777777" w:rsidR="00674279" w:rsidRDefault="00000000" w:rsidP="006E60CF">
      <w:pPr>
        <w:spacing w:line="480" w:lineRule="auto"/>
        <w:jc w:val="both"/>
      </w:pPr>
      <w:r>
        <w:rPr>
          <w:rFonts w:eastAsia="Times New Roman"/>
        </w:rPr>
        <w:t>9. Sherwin RS, Sacca L. Effect of epinephrine on glucose metabolism in humans: contribution of the liver. Am J Physiol. 1984;247(2 Pt 1</w:t>
      </w:r>
      <w:proofErr w:type="gramStart"/>
      <w:r>
        <w:rPr>
          <w:rFonts w:eastAsia="Times New Roman"/>
        </w:rPr>
        <w:t>):E</w:t>
      </w:r>
      <w:proofErr w:type="gramEnd"/>
      <w:r>
        <w:rPr>
          <w:rFonts w:eastAsia="Times New Roman"/>
        </w:rPr>
        <w:t>157–65.</w:t>
      </w:r>
    </w:p>
    <w:p w14:paraId="32E8F87D" w14:textId="77777777" w:rsidR="00674279" w:rsidRDefault="00000000" w:rsidP="006E60CF">
      <w:pPr>
        <w:spacing w:line="480" w:lineRule="auto"/>
        <w:jc w:val="both"/>
      </w:pPr>
      <w:r>
        <w:rPr>
          <w:rFonts w:eastAsia="Times New Roman"/>
        </w:rPr>
        <w:t xml:space="preserve">10. </w:t>
      </w:r>
      <w:proofErr w:type="spellStart"/>
      <w:r>
        <w:rPr>
          <w:rFonts w:eastAsia="Times New Roman"/>
        </w:rPr>
        <w:t>Dienstbier</w:t>
      </w:r>
      <w:proofErr w:type="spellEnd"/>
      <w:r>
        <w:rPr>
          <w:rFonts w:eastAsia="Times New Roman"/>
        </w:rPr>
        <w:t xml:space="preserve"> RA. Arousal and physiological toughness: implications for mental and physical health. Psychol Rev. 1989;96(1):84–100.</w:t>
      </w:r>
    </w:p>
    <w:p w14:paraId="2E91B139" w14:textId="77777777" w:rsidR="00674279" w:rsidRDefault="00000000" w:rsidP="006E60CF">
      <w:pPr>
        <w:spacing w:line="480" w:lineRule="auto"/>
        <w:jc w:val="both"/>
      </w:pPr>
      <w:r>
        <w:rPr>
          <w:rFonts w:eastAsia="Times New Roman"/>
        </w:rPr>
        <w:t xml:space="preserve">11. Kirschbaum C, Pirke KM, </w:t>
      </w:r>
      <w:proofErr w:type="spellStart"/>
      <w:r>
        <w:rPr>
          <w:rFonts w:eastAsia="Times New Roman"/>
        </w:rPr>
        <w:t>Hellhammer</w:t>
      </w:r>
      <w:proofErr w:type="spellEnd"/>
      <w:r>
        <w:rPr>
          <w:rFonts w:eastAsia="Times New Roman"/>
        </w:rPr>
        <w:t xml:space="preserve"> DH. The 'Trier Social Stress Test'—a tool for investigating psychobiological stress responses in a laboratory setting. </w:t>
      </w:r>
      <w:proofErr w:type="spellStart"/>
      <w:r>
        <w:rPr>
          <w:rFonts w:eastAsia="Times New Roman"/>
        </w:rPr>
        <w:t>Neuropsychobiology</w:t>
      </w:r>
      <w:proofErr w:type="spellEnd"/>
      <w:r>
        <w:rPr>
          <w:rFonts w:eastAsia="Times New Roman"/>
        </w:rPr>
        <w:t>. 1993;28(1–2):76–81.</w:t>
      </w:r>
    </w:p>
    <w:p w14:paraId="26489B12" w14:textId="77777777" w:rsidR="00674279" w:rsidRDefault="00000000" w:rsidP="006E60CF">
      <w:pPr>
        <w:spacing w:line="480" w:lineRule="auto"/>
        <w:jc w:val="both"/>
      </w:pPr>
      <w:r>
        <w:rPr>
          <w:rFonts w:eastAsia="Times New Roman"/>
        </w:rPr>
        <w:t xml:space="preserve">12. Steptoe A, Kivimäki M. Stress and cardiovascular disease. Nat Rev </w:t>
      </w:r>
      <w:proofErr w:type="spellStart"/>
      <w:r>
        <w:rPr>
          <w:rFonts w:eastAsia="Times New Roman"/>
        </w:rPr>
        <w:t>Cardiol</w:t>
      </w:r>
      <w:proofErr w:type="spellEnd"/>
      <w:r>
        <w:rPr>
          <w:rFonts w:eastAsia="Times New Roman"/>
        </w:rPr>
        <w:t>. 2012;9(6):360–70.</w:t>
      </w:r>
    </w:p>
    <w:p w14:paraId="4A71C054" w14:textId="77777777" w:rsidR="00674279" w:rsidRDefault="00000000" w:rsidP="006E60CF">
      <w:pPr>
        <w:spacing w:line="480" w:lineRule="auto"/>
        <w:jc w:val="both"/>
      </w:pPr>
      <w:r>
        <w:rPr>
          <w:rFonts w:eastAsia="Times New Roman"/>
        </w:rPr>
        <w:t xml:space="preserve">13. Gleeson M, Nieman DC, Pedersen BK. Exercise, nutrition and immune function. J Sports Sci. </w:t>
      </w:r>
      <w:r>
        <w:rPr>
          <w:rFonts w:eastAsia="Times New Roman"/>
        </w:rPr>
        <w:lastRenderedPageBreak/>
        <w:t>2004;22(1):115–25.</w:t>
      </w:r>
    </w:p>
    <w:p w14:paraId="08EC389A" w14:textId="77777777" w:rsidR="00674279" w:rsidRDefault="00000000" w:rsidP="006E60CF">
      <w:pPr>
        <w:spacing w:line="480" w:lineRule="auto"/>
        <w:jc w:val="both"/>
      </w:pPr>
      <w:r>
        <w:rPr>
          <w:rFonts w:eastAsia="Times New Roman"/>
        </w:rPr>
        <w:t>14. Clarke WL, Cox D, Gonder-Frederick LA, Carter W, Pohl SL. Evaluating clinical accuracy of systems for self-monitoring of blood glucose. Diabetes Care. 1987;10(5):622–8.</w:t>
      </w:r>
    </w:p>
    <w:p w14:paraId="69441681" w14:textId="77777777" w:rsidR="00674279" w:rsidRDefault="00000000" w:rsidP="006E60CF">
      <w:pPr>
        <w:spacing w:line="480" w:lineRule="auto"/>
        <w:jc w:val="both"/>
      </w:pPr>
      <w:r>
        <w:rPr>
          <w:rFonts w:eastAsia="Times New Roman"/>
        </w:rPr>
        <w:t xml:space="preserve">15. Cengiz E, Tamborlane WV. A tale of two compartments: interstitial versus blood glucose monitoring. Diabetes Technol Ther. 2009;11 Suppl </w:t>
      </w:r>
      <w:proofErr w:type="gramStart"/>
      <w:r>
        <w:rPr>
          <w:rFonts w:eastAsia="Times New Roman"/>
        </w:rPr>
        <w:t>1:S</w:t>
      </w:r>
      <w:proofErr w:type="gramEnd"/>
      <w:r>
        <w:rPr>
          <w:rFonts w:eastAsia="Times New Roman"/>
        </w:rPr>
        <w:t>11–6.</w:t>
      </w:r>
    </w:p>
    <w:p w14:paraId="7420334B" w14:textId="77777777" w:rsidR="00674279" w:rsidRDefault="00000000" w:rsidP="006E60CF">
      <w:pPr>
        <w:spacing w:line="480" w:lineRule="auto"/>
        <w:jc w:val="both"/>
      </w:pPr>
      <w:r>
        <w:rPr>
          <w:rFonts w:eastAsia="Times New Roman"/>
        </w:rPr>
        <w:t>16. Riddell MC, Gallen IW, Smart CE, et al. Exercise management in type 1 diabetes: a consensus statement. Lancet Diabetes Endocrinol. 2017;5(5):377–90.</w:t>
      </w:r>
    </w:p>
    <w:p w14:paraId="125CBBAF" w14:textId="77777777" w:rsidR="00674279" w:rsidRDefault="00000000" w:rsidP="006E60CF">
      <w:pPr>
        <w:spacing w:line="480" w:lineRule="auto"/>
        <w:jc w:val="both"/>
      </w:pPr>
      <w:r>
        <w:rPr>
          <w:rFonts w:eastAsia="Times New Roman"/>
        </w:rPr>
        <w:t xml:space="preserve">17. Moser O, Tschakert G, Mueller A, et al. Effects of high-intensity interval exercise versus moderate continuous exercise on glucose homeostasis and hormonal response in patients with type 1 diabetes. </w:t>
      </w:r>
      <w:proofErr w:type="spellStart"/>
      <w:r>
        <w:rPr>
          <w:rFonts w:eastAsia="Times New Roman"/>
        </w:rPr>
        <w:t>PLoS</w:t>
      </w:r>
      <w:proofErr w:type="spellEnd"/>
      <w:r>
        <w:rPr>
          <w:rFonts w:eastAsia="Times New Roman"/>
        </w:rPr>
        <w:t xml:space="preserve"> One. 2015;10(8</w:t>
      </w:r>
      <w:proofErr w:type="gramStart"/>
      <w:r>
        <w:rPr>
          <w:rFonts w:eastAsia="Times New Roman"/>
        </w:rPr>
        <w:t>):e</w:t>
      </w:r>
      <w:proofErr w:type="gramEnd"/>
      <w:r>
        <w:rPr>
          <w:rFonts w:eastAsia="Times New Roman"/>
        </w:rPr>
        <w:t>0136489.</w:t>
      </w:r>
    </w:p>
    <w:p w14:paraId="0A98F095" w14:textId="77777777" w:rsidR="00674279" w:rsidRDefault="00000000" w:rsidP="006E60CF">
      <w:pPr>
        <w:spacing w:line="480" w:lineRule="auto"/>
        <w:jc w:val="both"/>
      </w:pPr>
      <w:r>
        <w:rPr>
          <w:rFonts w:eastAsia="Times New Roman"/>
        </w:rPr>
        <w:t xml:space="preserve">18. Charlot K, Pichon A, </w:t>
      </w:r>
      <w:proofErr w:type="spellStart"/>
      <w:r>
        <w:rPr>
          <w:rFonts w:eastAsia="Times New Roman"/>
        </w:rPr>
        <w:t>Chapelot</w:t>
      </w:r>
      <w:proofErr w:type="spellEnd"/>
      <w:r>
        <w:rPr>
          <w:rFonts w:eastAsia="Times New Roman"/>
        </w:rPr>
        <w:t xml:space="preserve"> D, Cornolo J. Use of a continuous glucose monitor to assess the risk of exercise-induced hypoglycemia in type 1 diabetes. Diabetes </w:t>
      </w:r>
      <w:proofErr w:type="spellStart"/>
      <w:r>
        <w:rPr>
          <w:rFonts w:eastAsia="Times New Roman"/>
        </w:rPr>
        <w:t>Metab</w:t>
      </w:r>
      <w:proofErr w:type="spellEnd"/>
      <w:r>
        <w:rPr>
          <w:rFonts w:eastAsia="Times New Roman"/>
        </w:rPr>
        <w:t xml:space="preserve"> Syndr </w:t>
      </w:r>
      <w:proofErr w:type="spellStart"/>
      <w:r>
        <w:rPr>
          <w:rFonts w:eastAsia="Times New Roman"/>
        </w:rPr>
        <w:t>Obes</w:t>
      </w:r>
      <w:proofErr w:type="spellEnd"/>
      <w:r>
        <w:rPr>
          <w:rFonts w:eastAsia="Times New Roman"/>
        </w:rPr>
        <w:t xml:space="preserve">. </w:t>
      </w:r>
      <w:proofErr w:type="gramStart"/>
      <w:r>
        <w:rPr>
          <w:rFonts w:eastAsia="Times New Roman"/>
        </w:rPr>
        <w:t>2015;8:193</w:t>
      </w:r>
      <w:proofErr w:type="gramEnd"/>
      <w:r>
        <w:rPr>
          <w:rFonts w:eastAsia="Times New Roman"/>
        </w:rPr>
        <w:t>–200.</w:t>
      </w:r>
    </w:p>
    <w:p w14:paraId="28524CF6" w14:textId="77777777" w:rsidR="00674279" w:rsidRDefault="00000000" w:rsidP="006E60CF">
      <w:pPr>
        <w:spacing w:line="480" w:lineRule="auto"/>
        <w:jc w:val="both"/>
      </w:pPr>
      <w:r>
        <w:rPr>
          <w:rFonts w:eastAsia="Times New Roman"/>
        </w:rPr>
        <w:t xml:space="preserve">19. Danne T, Nimri R, </w:t>
      </w:r>
      <w:proofErr w:type="spellStart"/>
      <w:r>
        <w:rPr>
          <w:rFonts w:eastAsia="Times New Roman"/>
        </w:rPr>
        <w:t>Battelino</w:t>
      </w:r>
      <w:proofErr w:type="spellEnd"/>
      <w:r>
        <w:rPr>
          <w:rFonts w:eastAsia="Times New Roman"/>
        </w:rPr>
        <w:t xml:space="preserve"> T, et al. </w:t>
      </w:r>
      <w:proofErr w:type="gramStart"/>
      <w:r>
        <w:rPr>
          <w:rFonts w:eastAsia="Times New Roman"/>
        </w:rPr>
        <w:t>International</w:t>
      </w:r>
      <w:proofErr w:type="gramEnd"/>
      <w:r>
        <w:rPr>
          <w:rFonts w:eastAsia="Times New Roman"/>
        </w:rPr>
        <w:t xml:space="preserve"> consensus on use of continuous glucose monitoring. Diabetes Care. 2017;40(12):1631–40.</w:t>
      </w:r>
    </w:p>
    <w:p w14:paraId="785F421F" w14:textId="77777777" w:rsidR="00674279" w:rsidRDefault="00000000" w:rsidP="006E60CF">
      <w:pPr>
        <w:spacing w:line="480" w:lineRule="auto"/>
        <w:jc w:val="both"/>
      </w:pPr>
      <w:r>
        <w:rPr>
          <w:rFonts w:eastAsia="Times New Roman"/>
        </w:rPr>
        <w:t>20. Joyner MJ, Coyle EF. Endurance exercise performance: the physiology of champions. J Physiol. 2008;586(1):35–44.</w:t>
      </w:r>
    </w:p>
    <w:p w14:paraId="79788769" w14:textId="77777777" w:rsidR="00674279" w:rsidRDefault="00000000" w:rsidP="006E60CF">
      <w:pPr>
        <w:spacing w:line="480" w:lineRule="auto"/>
        <w:jc w:val="both"/>
      </w:pPr>
      <w:r>
        <w:rPr>
          <w:rFonts w:eastAsia="Times New Roman"/>
        </w:rPr>
        <w:t xml:space="preserve">21. Noakes TD. Fatigue is a brain-derived emotion that regulates the exercise behavior to ensure the protection of </w:t>
      </w:r>
      <w:proofErr w:type="gramStart"/>
      <w:r>
        <w:rPr>
          <w:rFonts w:eastAsia="Times New Roman"/>
        </w:rPr>
        <w:t>whole body</w:t>
      </w:r>
      <w:proofErr w:type="gramEnd"/>
      <w:r>
        <w:rPr>
          <w:rFonts w:eastAsia="Times New Roman"/>
        </w:rPr>
        <w:t xml:space="preserve"> homeostasis. Front Physiol. </w:t>
      </w:r>
      <w:proofErr w:type="gramStart"/>
      <w:r>
        <w:rPr>
          <w:rFonts w:eastAsia="Times New Roman"/>
        </w:rPr>
        <w:t>2012;3:82</w:t>
      </w:r>
      <w:proofErr w:type="gramEnd"/>
      <w:r>
        <w:rPr>
          <w:rFonts w:eastAsia="Times New Roman"/>
        </w:rPr>
        <w:t>.</w:t>
      </w:r>
    </w:p>
    <w:p w14:paraId="1FEFB36B" w14:textId="77777777" w:rsidR="00674279" w:rsidRDefault="00000000" w:rsidP="006E60CF">
      <w:pPr>
        <w:spacing w:line="480" w:lineRule="auto"/>
        <w:jc w:val="both"/>
      </w:pPr>
      <w:r>
        <w:rPr>
          <w:rFonts w:eastAsia="Times New Roman"/>
        </w:rPr>
        <w:t>22. von Elm E, Altman DG, Egger M, et al. The Strengthening the Reporting of Observational Studies in Epidemiology (STROBE) statement: guidelines for reporting observational studies. Lancet. 2007;370(9596):1453–7.</w:t>
      </w:r>
    </w:p>
    <w:p w14:paraId="49C2D57B" w14:textId="77777777" w:rsidR="00674279" w:rsidRDefault="00000000" w:rsidP="006E60CF">
      <w:pPr>
        <w:spacing w:line="480" w:lineRule="auto"/>
        <w:jc w:val="both"/>
      </w:pPr>
      <w:r>
        <w:rPr>
          <w:rFonts w:eastAsia="Times New Roman"/>
        </w:rPr>
        <w:t xml:space="preserve">23. Cohen J. Statistical Power Analysis for the Behavioral Sciences. 2nd ed. Hillsdale (NJ): </w:t>
      </w:r>
      <w:r>
        <w:rPr>
          <w:rFonts w:eastAsia="Times New Roman"/>
        </w:rPr>
        <w:lastRenderedPageBreak/>
        <w:t>Lawrence Erlbaum Associates; 1988.</w:t>
      </w:r>
    </w:p>
    <w:p w14:paraId="52849FB5" w14:textId="77777777" w:rsidR="00674279" w:rsidRDefault="00000000" w:rsidP="006E60CF">
      <w:pPr>
        <w:spacing w:line="480" w:lineRule="auto"/>
        <w:jc w:val="both"/>
      </w:pPr>
      <w:r>
        <w:rPr>
          <w:rFonts w:eastAsia="Times New Roman"/>
        </w:rPr>
        <w:t>24. Galbo H. Hormonal and Metabolic Adaptation to Exercise. Stuttgart: Georg Thieme; 1983.</w:t>
      </w:r>
    </w:p>
    <w:p w14:paraId="44EFBC4B" w14:textId="77777777" w:rsidR="00674279" w:rsidRDefault="00000000" w:rsidP="006E60CF">
      <w:pPr>
        <w:spacing w:line="480" w:lineRule="auto"/>
        <w:jc w:val="both"/>
      </w:pPr>
      <w:r>
        <w:rPr>
          <w:rFonts w:eastAsia="Times New Roman"/>
        </w:rPr>
        <w:t>25. Wolfe RR. Metabolic interactions between glucose and fatty acid substrates in vivo. FASEB J. 1987;1(5):382–8.</w:t>
      </w:r>
    </w:p>
    <w:p w14:paraId="3C176569" w14:textId="77777777" w:rsidR="00674279" w:rsidRDefault="00000000" w:rsidP="006E60CF">
      <w:pPr>
        <w:spacing w:line="480" w:lineRule="auto"/>
        <w:jc w:val="both"/>
      </w:pPr>
      <w:r>
        <w:rPr>
          <w:rFonts w:eastAsia="Times New Roman"/>
        </w:rPr>
        <w:t xml:space="preserve">26. Exton JH. Mechanisms of hormonal regulation of hepatic glucose metabolism. Diabetes </w:t>
      </w:r>
      <w:proofErr w:type="spellStart"/>
      <w:r>
        <w:rPr>
          <w:rFonts w:eastAsia="Times New Roman"/>
        </w:rPr>
        <w:t>Metab</w:t>
      </w:r>
      <w:proofErr w:type="spellEnd"/>
      <w:r>
        <w:rPr>
          <w:rFonts w:eastAsia="Times New Roman"/>
        </w:rPr>
        <w:t xml:space="preserve"> Rev. 1987;3(1):163–83.</w:t>
      </w:r>
    </w:p>
    <w:p w14:paraId="689A30A7" w14:textId="77777777" w:rsidR="00674279" w:rsidRDefault="00000000" w:rsidP="006E60CF">
      <w:pPr>
        <w:spacing w:line="480" w:lineRule="auto"/>
        <w:jc w:val="both"/>
      </w:pPr>
      <w:r>
        <w:rPr>
          <w:rFonts w:eastAsia="Times New Roman"/>
        </w:rPr>
        <w:t>27. Hanton S, Fletcher D, Coughlan G. Stress in elite sport performers: a comparative study of competitive and organizational stressors. J Sports Sci. 2005;23(10):1129–41.</w:t>
      </w:r>
    </w:p>
    <w:p w14:paraId="7E4969C1" w14:textId="77777777" w:rsidR="00674279" w:rsidRDefault="00000000" w:rsidP="006E60CF">
      <w:pPr>
        <w:spacing w:line="480" w:lineRule="auto"/>
        <w:jc w:val="both"/>
      </w:pPr>
      <w:r>
        <w:rPr>
          <w:rFonts w:eastAsia="Times New Roman"/>
        </w:rPr>
        <w:t xml:space="preserve">28. Jones MV, </w:t>
      </w:r>
      <w:proofErr w:type="spellStart"/>
      <w:r>
        <w:rPr>
          <w:rFonts w:eastAsia="Times New Roman"/>
        </w:rPr>
        <w:t>Meijen</w:t>
      </w:r>
      <w:proofErr w:type="spellEnd"/>
      <w:r>
        <w:rPr>
          <w:rFonts w:eastAsia="Times New Roman"/>
        </w:rPr>
        <w:t xml:space="preserve"> C, McCarthy PJ, Sheffield D. A theory of challenge and threat states in athletes. Int Rev Sport </w:t>
      </w:r>
      <w:proofErr w:type="spellStart"/>
      <w:r>
        <w:rPr>
          <w:rFonts w:eastAsia="Times New Roman"/>
        </w:rPr>
        <w:t>Exerc</w:t>
      </w:r>
      <w:proofErr w:type="spellEnd"/>
      <w:r>
        <w:rPr>
          <w:rFonts w:eastAsia="Times New Roman"/>
        </w:rPr>
        <w:t xml:space="preserve"> Psychol. 2009;2(2):161–80.</w:t>
      </w:r>
    </w:p>
    <w:p w14:paraId="616B1150" w14:textId="77777777" w:rsidR="00674279" w:rsidRDefault="00000000" w:rsidP="006E60CF">
      <w:pPr>
        <w:spacing w:line="480" w:lineRule="auto"/>
        <w:jc w:val="both"/>
      </w:pPr>
      <w:r>
        <w:rPr>
          <w:rFonts w:eastAsia="Times New Roman"/>
        </w:rPr>
        <w:t xml:space="preserve">29. </w:t>
      </w:r>
      <w:proofErr w:type="spellStart"/>
      <w:r>
        <w:rPr>
          <w:rFonts w:eastAsia="Times New Roman"/>
        </w:rPr>
        <w:t>Bateup</w:t>
      </w:r>
      <w:proofErr w:type="spellEnd"/>
      <w:r>
        <w:rPr>
          <w:rFonts w:eastAsia="Times New Roman"/>
        </w:rPr>
        <w:t xml:space="preserve"> HS, Booth A, Shirtcliff EA, Granger DA. Testosterone, cortisol, and women's competition. Evol Hum </w:t>
      </w:r>
      <w:proofErr w:type="spellStart"/>
      <w:r>
        <w:rPr>
          <w:rFonts w:eastAsia="Times New Roman"/>
        </w:rPr>
        <w:t>Behav</w:t>
      </w:r>
      <w:proofErr w:type="spellEnd"/>
      <w:r>
        <w:rPr>
          <w:rFonts w:eastAsia="Times New Roman"/>
        </w:rPr>
        <w:t>. 2002;23(3):181–92.</w:t>
      </w:r>
    </w:p>
    <w:p w14:paraId="6384222C" w14:textId="77777777" w:rsidR="00674279" w:rsidRDefault="00000000" w:rsidP="006E60CF">
      <w:pPr>
        <w:spacing w:line="480" w:lineRule="auto"/>
        <w:jc w:val="both"/>
      </w:pPr>
      <w:r>
        <w:rPr>
          <w:rFonts w:eastAsia="Times New Roman"/>
        </w:rPr>
        <w:t xml:space="preserve">30. Coggan AR, Coyle EF. Carbohydrate ingestion during prolonged exercise: effects on metabolism and performance. </w:t>
      </w:r>
      <w:proofErr w:type="spellStart"/>
      <w:r>
        <w:rPr>
          <w:rFonts w:eastAsia="Times New Roman"/>
        </w:rPr>
        <w:t>Exerc</w:t>
      </w:r>
      <w:proofErr w:type="spellEnd"/>
      <w:r>
        <w:rPr>
          <w:rFonts w:eastAsia="Times New Roman"/>
        </w:rPr>
        <w:t xml:space="preserve"> Sport Sci Rev. </w:t>
      </w:r>
      <w:proofErr w:type="gramStart"/>
      <w:r>
        <w:rPr>
          <w:rFonts w:eastAsia="Times New Roman"/>
        </w:rPr>
        <w:t>1991;19:1</w:t>
      </w:r>
      <w:proofErr w:type="gramEnd"/>
      <w:r>
        <w:rPr>
          <w:rFonts w:eastAsia="Times New Roman"/>
        </w:rPr>
        <w:t>–40.</w:t>
      </w:r>
    </w:p>
    <w:p w14:paraId="5F1FD257" w14:textId="77777777" w:rsidR="00674279" w:rsidRDefault="00000000" w:rsidP="006E60CF">
      <w:pPr>
        <w:spacing w:line="480" w:lineRule="auto"/>
        <w:jc w:val="both"/>
      </w:pPr>
      <w:r>
        <w:rPr>
          <w:rFonts w:eastAsia="Times New Roman"/>
        </w:rPr>
        <w:t xml:space="preserve">31. Hawley JA, Leckey JJ. Carbohydrate dependence during prolonged, intense endurance exercise. Sports Med. 2015;45 Suppl </w:t>
      </w:r>
      <w:proofErr w:type="gramStart"/>
      <w:r>
        <w:rPr>
          <w:rFonts w:eastAsia="Times New Roman"/>
        </w:rPr>
        <w:t>1:S</w:t>
      </w:r>
      <w:proofErr w:type="gramEnd"/>
      <w:r>
        <w:rPr>
          <w:rFonts w:eastAsia="Times New Roman"/>
        </w:rPr>
        <w:t>5–12.</w:t>
      </w:r>
    </w:p>
    <w:p w14:paraId="62D54412" w14:textId="77777777" w:rsidR="00674279" w:rsidRDefault="00000000" w:rsidP="006E60CF">
      <w:pPr>
        <w:spacing w:line="480" w:lineRule="auto"/>
        <w:jc w:val="both"/>
      </w:pPr>
      <w:r>
        <w:rPr>
          <w:rFonts w:eastAsia="Times New Roman"/>
        </w:rPr>
        <w:t>32. Nybo L, Nielsen B. Hyperthermia and central fatigue during prolonged exercise in humans. J Appl Physiol. 2001;91(3):1055–60.</w:t>
      </w:r>
    </w:p>
    <w:p w14:paraId="2AA15908" w14:textId="77777777" w:rsidR="00674279" w:rsidRDefault="00000000" w:rsidP="006E60CF">
      <w:pPr>
        <w:spacing w:line="480" w:lineRule="auto"/>
        <w:jc w:val="both"/>
      </w:pPr>
      <w:r>
        <w:rPr>
          <w:rFonts w:eastAsia="Times New Roman"/>
        </w:rPr>
        <w:t>33. Dalsgaard MK, Quistorff B, Danielsen ER, Selmer C, Vogelsang T, Secher NH. A reduced cerebral metabolic ratio in exercise reflects metabolism and not accumulation of lactate within the human brain. J Physiol. 2004;554(Pt 2):571–8.</w:t>
      </w:r>
    </w:p>
    <w:p w14:paraId="0AE1505E" w14:textId="77777777" w:rsidR="00674279" w:rsidRDefault="00000000" w:rsidP="006E60CF">
      <w:pPr>
        <w:spacing w:line="480" w:lineRule="auto"/>
        <w:jc w:val="both"/>
      </w:pPr>
      <w:r>
        <w:rPr>
          <w:rFonts w:eastAsia="Times New Roman"/>
        </w:rPr>
        <w:t xml:space="preserve">34. </w:t>
      </w:r>
      <w:proofErr w:type="spellStart"/>
      <w:r>
        <w:rPr>
          <w:rFonts w:eastAsia="Times New Roman"/>
        </w:rPr>
        <w:t>Jeukendrup</w:t>
      </w:r>
      <w:proofErr w:type="spellEnd"/>
      <w:r>
        <w:rPr>
          <w:rFonts w:eastAsia="Times New Roman"/>
        </w:rPr>
        <w:t xml:space="preserve"> AE. Carbohydrate and exercise performance: the role of multiple transportable carbohydrates. Curr </w:t>
      </w:r>
      <w:proofErr w:type="spellStart"/>
      <w:r>
        <w:rPr>
          <w:rFonts w:eastAsia="Times New Roman"/>
        </w:rPr>
        <w:t>Opin</w:t>
      </w:r>
      <w:proofErr w:type="spellEnd"/>
      <w:r>
        <w:rPr>
          <w:rFonts w:eastAsia="Times New Roman"/>
        </w:rPr>
        <w:t xml:space="preserve"> Clin </w:t>
      </w:r>
      <w:proofErr w:type="spellStart"/>
      <w:r>
        <w:rPr>
          <w:rFonts w:eastAsia="Times New Roman"/>
        </w:rPr>
        <w:t>Nutr</w:t>
      </w:r>
      <w:proofErr w:type="spellEnd"/>
      <w:r>
        <w:rPr>
          <w:rFonts w:eastAsia="Times New Roman"/>
        </w:rPr>
        <w:t xml:space="preserve"> </w:t>
      </w:r>
      <w:proofErr w:type="spellStart"/>
      <w:r>
        <w:rPr>
          <w:rFonts w:eastAsia="Times New Roman"/>
        </w:rPr>
        <w:t>Metab</w:t>
      </w:r>
      <w:proofErr w:type="spellEnd"/>
      <w:r>
        <w:rPr>
          <w:rFonts w:eastAsia="Times New Roman"/>
        </w:rPr>
        <w:t xml:space="preserve"> Care. 2010;13(4):452–7.</w:t>
      </w:r>
    </w:p>
    <w:p w14:paraId="00D4CC11" w14:textId="77777777" w:rsidR="00674279" w:rsidRDefault="00000000" w:rsidP="006E60CF">
      <w:pPr>
        <w:spacing w:line="480" w:lineRule="auto"/>
        <w:jc w:val="both"/>
      </w:pPr>
      <w:r>
        <w:rPr>
          <w:rFonts w:eastAsia="Times New Roman"/>
        </w:rPr>
        <w:lastRenderedPageBreak/>
        <w:t xml:space="preserve">35. American Diabetes Association. 2. Classification and diagnosis of diabetes: Standards of Medical Care in Diabetes—2022. Diabetes Care. 2022;45 Suppl </w:t>
      </w:r>
      <w:proofErr w:type="gramStart"/>
      <w:r>
        <w:rPr>
          <w:rFonts w:eastAsia="Times New Roman"/>
        </w:rPr>
        <w:t>1:S</w:t>
      </w:r>
      <w:proofErr w:type="gramEnd"/>
      <w:r>
        <w:rPr>
          <w:rFonts w:eastAsia="Times New Roman"/>
        </w:rPr>
        <w:t>17–38.</w:t>
      </w:r>
    </w:p>
    <w:p w14:paraId="4A3B5357" w14:textId="77777777" w:rsidR="00674279" w:rsidRPr="00037E8E" w:rsidRDefault="00000000" w:rsidP="006E60CF">
      <w:pPr>
        <w:spacing w:line="480" w:lineRule="auto"/>
        <w:jc w:val="both"/>
        <w:rPr>
          <w:color w:val="000000" w:themeColor="text1"/>
        </w:rPr>
      </w:pPr>
      <w:r w:rsidRPr="00037E8E">
        <w:rPr>
          <w:color w:val="000000" w:themeColor="text1"/>
          <w:sz w:val="22"/>
        </w:rPr>
        <w:t xml:space="preserve">36. Thomas DT, Erdman KA, Burke LM. Position of the Academy of Nutrition and Dietetics, Dietitians of Canada, and the American College of Sports Medicine: Nutrition and Athletic Performance. J </w:t>
      </w:r>
      <w:proofErr w:type="spellStart"/>
      <w:r w:rsidRPr="00037E8E">
        <w:rPr>
          <w:color w:val="000000" w:themeColor="text1"/>
          <w:sz w:val="22"/>
        </w:rPr>
        <w:t>Acad</w:t>
      </w:r>
      <w:proofErr w:type="spellEnd"/>
      <w:r w:rsidRPr="00037E8E">
        <w:rPr>
          <w:color w:val="000000" w:themeColor="text1"/>
          <w:sz w:val="22"/>
        </w:rPr>
        <w:t xml:space="preserve"> </w:t>
      </w:r>
      <w:proofErr w:type="spellStart"/>
      <w:r w:rsidRPr="00037E8E">
        <w:rPr>
          <w:color w:val="000000" w:themeColor="text1"/>
          <w:sz w:val="22"/>
        </w:rPr>
        <w:t>Nutr</w:t>
      </w:r>
      <w:proofErr w:type="spellEnd"/>
      <w:r w:rsidRPr="00037E8E">
        <w:rPr>
          <w:color w:val="000000" w:themeColor="text1"/>
          <w:sz w:val="22"/>
        </w:rPr>
        <w:t xml:space="preserve"> Diet. 2016;116(3):501–528.</w:t>
      </w:r>
    </w:p>
    <w:p w14:paraId="7EA55834" w14:textId="77777777" w:rsidR="00674279" w:rsidRPr="00037E8E" w:rsidRDefault="00674279" w:rsidP="001E0A4E">
      <w:pPr>
        <w:spacing w:line="480" w:lineRule="auto"/>
        <w:jc w:val="both"/>
        <w:rPr>
          <w:color w:val="000000" w:themeColor="text1"/>
        </w:rPr>
      </w:pPr>
    </w:p>
    <w:p w14:paraId="2835AD4B" w14:textId="77777777" w:rsidR="00674279" w:rsidRDefault="00000000" w:rsidP="001E0A4E">
      <w:pPr>
        <w:pStyle w:val="1"/>
        <w:spacing w:before="120" w:after="0"/>
        <w:jc w:val="both"/>
      </w:pPr>
      <w:r>
        <w:t>FIGURE LEGENDS</w:t>
      </w:r>
    </w:p>
    <w:p w14:paraId="2E45D291" w14:textId="77777777" w:rsidR="00674279" w:rsidRPr="006E60CF" w:rsidRDefault="00000000" w:rsidP="001E0A4E">
      <w:pPr>
        <w:spacing w:line="480" w:lineRule="auto"/>
        <w:jc w:val="both"/>
      </w:pPr>
      <w:r w:rsidRPr="006E60CF">
        <w:rPr>
          <w:rFonts w:eastAsia="Times New Roman"/>
          <w:b/>
          <w:bCs/>
        </w:rPr>
        <w:t xml:space="preserve">FIGURE 1. </w:t>
      </w:r>
      <w:r w:rsidRPr="006E60CF">
        <w:rPr>
          <w:rFonts w:eastAsia="Times New Roman"/>
        </w:rPr>
        <w:t>Representative continuous glucose monitoring traces across a 24-h period on a competition day. Dark red (thick solid) and light red (thin solid) traces depict two individual athletes on race days; dark blue (thick solid) and light blue (thin solid) traces depict the same athletes on high-intensity training days. Colored arrows denote exercise initiation: orange arrow, training onset for representative athlete; red arrow, race start for representative athlete; blue arrows, training initiation for the second athlete. Note the marked pre-race elevation in glucose from approximately 16:00 and the subsequent high sustained plateau during competition (red traces), contrasting with the modest, transient elevations seen in the training traces (blue). Y-axis: interstitial glucose concentration (mg/dL); X-axis: clock time (</w:t>
      </w:r>
      <w:proofErr w:type="spellStart"/>
      <w:r w:rsidRPr="006E60CF">
        <w:rPr>
          <w:rFonts w:eastAsia="Times New Roman"/>
        </w:rPr>
        <w:t>hh:mm</w:t>
      </w:r>
      <w:proofErr w:type="spellEnd"/>
      <w:r w:rsidRPr="006E60CF">
        <w:rPr>
          <w:rFonts w:eastAsia="Times New Roman"/>
        </w:rPr>
        <w:t>).</w:t>
      </w:r>
    </w:p>
    <w:p w14:paraId="47ABC09E" w14:textId="77777777" w:rsidR="00674279" w:rsidRDefault="00674279" w:rsidP="001E0A4E">
      <w:pPr>
        <w:spacing w:line="480" w:lineRule="auto"/>
        <w:jc w:val="both"/>
      </w:pPr>
    </w:p>
    <w:p w14:paraId="2309533A" w14:textId="77777777" w:rsidR="00674279" w:rsidRDefault="00000000" w:rsidP="001E0A4E">
      <w:pPr>
        <w:spacing w:line="480" w:lineRule="auto"/>
        <w:jc w:val="both"/>
      </w:pPr>
      <w:r>
        <w:rPr>
          <w:rFonts w:eastAsia="Times New Roman"/>
          <w:b/>
          <w:bCs/>
        </w:rPr>
        <w:t xml:space="preserve">FIGURE 2. </w:t>
      </w:r>
      <w:r>
        <w:rPr>
          <w:rFonts w:eastAsia="Times New Roman"/>
        </w:rPr>
        <w:t xml:space="preserve">Box-and-whisker plots comparing average glucose concentrations between successful (y) and unsuccessful (n) performers. Columns represent practice (left) and race (right) conditions; rows represent the 2-h pre-exercise window (top) and during-exercise period (bottom). (A) Practice, 2-h pre-exercise average; (B) Race, 2-h pre-exercise average; (C) Practice, during-exercise average; (D) Race, during-exercise average. Boxes show the interquartile range; horizontal line, median; ×, mean; whiskers, 2.5th–97.5th percentile; open circles, outliers. Significance brackets indicate: *, p &lt; 0.05; **, p &lt; 0.01; ***, p &lt; 0.001. Note the reversed direction </w:t>
      </w:r>
      <w:r>
        <w:rPr>
          <w:rFonts w:eastAsia="Times New Roman"/>
        </w:rPr>
        <w:lastRenderedPageBreak/>
        <w:t>of group differences between training and race conditions.</w:t>
      </w:r>
    </w:p>
    <w:p w14:paraId="37CAAC24" w14:textId="77777777" w:rsidR="00674279" w:rsidRDefault="00674279" w:rsidP="001E0A4E">
      <w:pPr>
        <w:spacing w:line="480" w:lineRule="auto"/>
        <w:jc w:val="both"/>
      </w:pPr>
    </w:p>
    <w:p w14:paraId="753AB346" w14:textId="77777777" w:rsidR="00674279" w:rsidRDefault="00000000" w:rsidP="001E0A4E">
      <w:pPr>
        <w:spacing w:line="480" w:lineRule="auto"/>
        <w:jc w:val="both"/>
      </w:pPr>
      <w:r>
        <w:rPr>
          <w:rFonts w:eastAsia="Times New Roman"/>
          <w:b/>
          <w:bCs/>
        </w:rPr>
        <w:t xml:space="preserve">FIGURE 3. </w:t>
      </w:r>
      <w:r>
        <w:rPr>
          <w:rFonts w:eastAsia="Times New Roman"/>
        </w:rPr>
        <w:t>Box-and-whisker plots comparing maximum glucose concentrations between successful (y) and unsuccessful (n) performers. Panel layout identical to Figure 2. (A) Practice, 2-h pre-exercise maximum; (B) Race, 2-h pre-exercise maximum; (C) Practice, during-exercise maximum; (D) Race, during-exercise maximum. Significance brackets: *, p &lt; 0.05; **, p &lt; 0.01; ***, p &lt; 0.001. The marked elevation in race during-exercise maximum among successful athletes is particularly evident in panel D.</w:t>
      </w:r>
    </w:p>
    <w:p w14:paraId="67FC683B" w14:textId="77777777" w:rsidR="00674279" w:rsidRDefault="00674279" w:rsidP="001E0A4E">
      <w:pPr>
        <w:spacing w:line="480" w:lineRule="auto"/>
        <w:jc w:val="both"/>
      </w:pPr>
    </w:p>
    <w:p w14:paraId="59379D89" w14:textId="72D6B7B6" w:rsidR="00674279" w:rsidRPr="006E60CF" w:rsidRDefault="00000000" w:rsidP="001E0A4E">
      <w:pPr>
        <w:spacing w:line="480" w:lineRule="auto"/>
        <w:jc w:val="both"/>
        <w:rPr>
          <w:rFonts w:eastAsia="Times New Roman"/>
        </w:rPr>
      </w:pPr>
      <w:r w:rsidRPr="004069B2">
        <w:rPr>
          <w:b/>
          <w:bCs/>
          <w:sz w:val="22"/>
        </w:rPr>
        <w:t xml:space="preserve">FIGURE 4. </w:t>
      </w:r>
      <w:r>
        <w:rPr>
          <w:sz w:val="22"/>
        </w:rPr>
        <w:t>Continuous glucose monitoring profiles overlaid with pace and heart rate for three individual marathon runners during a competitive race. In each panel: the red smoothed curve represents smoothed interstitial fluid glucose (mg/dL; left y-axis), while the blue line shows glucose values before and after races or training sessions.; green trace, instantaneous heart rate (bpm; left y-axis); black line, running pace (</w:t>
      </w:r>
      <w:proofErr w:type="spellStart"/>
      <w:proofErr w:type="gramStart"/>
      <w:r>
        <w:rPr>
          <w:sz w:val="22"/>
        </w:rPr>
        <w:t>mm:ss</w:t>
      </w:r>
      <w:proofErr w:type="spellEnd"/>
      <w:proofErr w:type="gramEnd"/>
      <w:r>
        <w:rPr>
          <w:sz w:val="22"/>
        </w:rPr>
        <w:t xml:space="preserve">/km; right y-axis). The vertical line denotes race start. (A) Male competitive marathon runner (finish time 2:10:45): stable glucose averaging 168.1 mg/dL with consistent pacing throughout. (B) Male competitive marathon runner (finish time 2:11:23): progressive glucose elevation to 275 mg/dL peak with sustained pace. </w:t>
      </w:r>
      <w:r w:rsidRPr="00037E8E">
        <w:rPr>
          <w:color w:val="000000" w:themeColor="text1"/>
          <w:sz w:val="22"/>
        </w:rPr>
        <w:t>(C) Male pacemaker in a women's elite marathon (covered 30 km in 1:45:00): blunted glucose response (average 111 mg/dL) consistent with reduced competitive stress in a non-competitive pacing role, despite equivalent physical demands. Ti</w:t>
      </w:r>
      <w:r>
        <w:rPr>
          <w:sz w:val="22"/>
        </w:rPr>
        <w:t>me shown on x-axis (</w:t>
      </w:r>
      <w:proofErr w:type="spellStart"/>
      <w:r>
        <w:rPr>
          <w:sz w:val="22"/>
        </w:rPr>
        <w:t>hh:mm</w:t>
      </w:r>
      <w:proofErr w:type="spellEnd"/>
      <w:r>
        <w:rPr>
          <w:sz w:val="22"/>
        </w:rPr>
        <w:t xml:space="preserve">); start 08:30. For readability, Y-axis scales are fixed across panels (glucose/heart rate: 80–280; pace: 2:40–4:00 </w:t>
      </w:r>
      <w:proofErr w:type="spellStart"/>
      <w:proofErr w:type="gramStart"/>
      <w:r>
        <w:rPr>
          <w:sz w:val="22"/>
        </w:rPr>
        <w:t>mm:ss</w:t>
      </w:r>
      <w:proofErr w:type="spellEnd"/>
      <w:proofErr w:type="gramEnd"/>
      <w:r>
        <w:rPr>
          <w:sz w:val="22"/>
        </w:rPr>
        <w:t>/km).</w:t>
      </w:r>
    </w:p>
    <w:p w14:paraId="45A38582" w14:textId="77777777" w:rsidR="00674279" w:rsidRDefault="00674279" w:rsidP="001E0A4E">
      <w:pPr>
        <w:spacing w:line="480" w:lineRule="auto"/>
        <w:jc w:val="both"/>
      </w:pPr>
    </w:p>
    <w:p w14:paraId="2D45A5EB" w14:textId="77777777" w:rsidR="00674279" w:rsidRPr="00DA0E47" w:rsidRDefault="00000000" w:rsidP="001E0A4E">
      <w:pPr>
        <w:pStyle w:val="2"/>
        <w:spacing w:before="120" w:after="0"/>
        <w:jc w:val="both"/>
        <w:rPr>
          <w:i w:val="0"/>
          <w:iCs w:val="0"/>
        </w:rPr>
      </w:pPr>
      <w:r w:rsidRPr="00DA0E47">
        <w:rPr>
          <w:i w:val="0"/>
          <w:iCs w:val="0"/>
        </w:rPr>
        <w:t>TABLE 1. Sample Characteristics and Performance Outcomes</w:t>
      </w:r>
    </w:p>
    <w:p w14:paraId="63FAEC1B" w14:textId="77777777" w:rsidR="00674279" w:rsidRDefault="00674279" w:rsidP="001E0A4E">
      <w:pPr>
        <w:spacing w:line="48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1"/>
        <w:gridCol w:w="1523"/>
        <w:gridCol w:w="2261"/>
        <w:gridCol w:w="2433"/>
        <w:gridCol w:w="1492"/>
      </w:tblGrid>
      <w:tr w:rsidR="00674279" w14:paraId="3A46B1F4" w14:textId="77777777">
        <w:tc>
          <w:tcPr>
            <w:tcW w:w="0" w:type="auto"/>
            <w:tcBorders>
              <w:top w:val="single" w:sz="6" w:space="0" w:color="000000"/>
              <w:left w:val="nil"/>
              <w:bottom w:val="single" w:sz="6" w:space="0" w:color="000000"/>
              <w:right w:val="nil"/>
            </w:tcBorders>
            <w:tcMar>
              <w:top w:w="60" w:type="dxa"/>
              <w:left w:w="100" w:type="dxa"/>
              <w:bottom w:w="60" w:type="dxa"/>
              <w:right w:w="100" w:type="dxa"/>
            </w:tcMar>
          </w:tcPr>
          <w:p w14:paraId="2C40A971" w14:textId="77777777" w:rsidR="00674279" w:rsidRDefault="00000000" w:rsidP="001E0A4E">
            <w:pPr>
              <w:spacing w:before="60" w:after="60" w:line="320" w:lineRule="auto"/>
              <w:jc w:val="both"/>
            </w:pPr>
            <w:r>
              <w:rPr>
                <w:rFonts w:eastAsia="Times New Roman"/>
                <w:b/>
                <w:bCs/>
                <w:sz w:val="20"/>
                <w:szCs w:val="20"/>
              </w:rPr>
              <w:t>Condition</w:t>
            </w:r>
          </w:p>
        </w:tc>
        <w:tc>
          <w:tcPr>
            <w:tcW w:w="0" w:type="auto"/>
            <w:tcBorders>
              <w:top w:val="single" w:sz="6" w:space="0" w:color="000000"/>
              <w:left w:val="nil"/>
              <w:bottom w:val="single" w:sz="6" w:space="0" w:color="000000"/>
              <w:right w:val="nil"/>
            </w:tcBorders>
            <w:tcMar>
              <w:top w:w="60" w:type="dxa"/>
              <w:left w:w="100" w:type="dxa"/>
              <w:bottom w:w="60" w:type="dxa"/>
              <w:right w:w="100" w:type="dxa"/>
            </w:tcMar>
          </w:tcPr>
          <w:p w14:paraId="47B12187" w14:textId="77777777" w:rsidR="00674279" w:rsidRDefault="00000000" w:rsidP="001E0A4E">
            <w:pPr>
              <w:spacing w:before="60" w:after="60" w:line="320" w:lineRule="auto"/>
              <w:jc w:val="both"/>
            </w:pPr>
            <w:r>
              <w:rPr>
                <w:rFonts w:eastAsia="Times New Roman"/>
                <w:b/>
                <w:bCs/>
                <w:sz w:val="20"/>
                <w:szCs w:val="20"/>
              </w:rPr>
              <w:t xml:space="preserve">Total Sessions </w:t>
            </w:r>
            <w:r>
              <w:rPr>
                <w:rFonts w:eastAsia="Times New Roman"/>
                <w:b/>
                <w:bCs/>
                <w:sz w:val="20"/>
                <w:szCs w:val="20"/>
              </w:rPr>
              <w:lastRenderedPageBreak/>
              <w:t>(n)</w:t>
            </w:r>
          </w:p>
        </w:tc>
        <w:tc>
          <w:tcPr>
            <w:tcW w:w="0" w:type="auto"/>
            <w:tcBorders>
              <w:top w:val="single" w:sz="6" w:space="0" w:color="000000"/>
              <w:left w:val="nil"/>
              <w:bottom w:val="single" w:sz="6" w:space="0" w:color="000000"/>
              <w:right w:val="nil"/>
            </w:tcBorders>
            <w:tcMar>
              <w:top w:w="60" w:type="dxa"/>
              <w:left w:w="100" w:type="dxa"/>
              <w:bottom w:w="60" w:type="dxa"/>
              <w:right w:w="100" w:type="dxa"/>
            </w:tcMar>
          </w:tcPr>
          <w:p w14:paraId="71600AD6" w14:textId="77777777" w:rsidR="00674279" w:rsidRDefault="00000000" w:rsidP="001E0A4E">
            <w:pPr>
              <w:spacing w:before="60" w:after="60" w:line="320" w:lineRule="auto"/>
              <w:jc w:val="both"/>
            </w:pPr>
            <w:r>
              <w:rPr>
                <w:rFonts w:eastAsia="Times New Roman"/>
                <w:b/>
                <w:bCs/>
                <w:sz w:val="20"/>
                <w:szCs w:val="20"/>
              </w:rPr>
              <w:lastRenderedPageBreak/>
              <w:t xml:space="preserve">Successful Performance </w:t>
            </w:r>
            <w:r>
              <w:rPr>
                <w:rFonts w:eastAsia="Times New Roman"/>
                <w:b/>
                <w:bCs/>
                <w:sz w:val="20"/>
                <w:szCs w:val="20"/>
              </w:rPr>
              <w:lastRenderedPageBreak/>
              <w:t>(n)</w:t>
            </w:r>
          </w:p>
        </w:tc>
        <w:tc>
          <w:tcPr>
            <w:tcW w:w="0" w:type="auto"/>
            <w:tcBorders>
              <w:top w:val="single" w:sz="6" w:space="0" w:color="000000"/>
              <w:left w:val="nil"/>
              <w:bottom w:val="single" w:sz="6" w:space="0" w:color="000000"/>
              <w:right w:val="nil"/>
            </w:tcBorders>
            <w:tcMar>
              <w:top w:w="60" w:type="dxa"/>
              <w:left w:w="100" w:type="dxa"/>
              <w:bottom w:w="60" w:type="dxa"/>
              <w:right w:w="100" w:type="dxa"/>
            </w:tcMar>
          </w:tcPr>
          <w:p w14:paraId="0C8CA8EF" w14:textId="77777777" w:rsidR="00674279" w:rsidRDefault="00000000" w:rsidP="001E0A4E">
            <w:pPr>
              <w:spacing w:before="60" w:after="60" w:line="320" w:lineRule="auto"/>
              <w:jc w:val="both"/>
            </w:pPr>
            <w:r>
              <w:rPr>
                <w:rFonts w:eastAsia="Times New Roman"/>
                <w:b/>
                <w:bCs/>
                <w:sz w:val="20"/>
                <w:szCs w:val="20"/>
              </w:rPr>
              <w:lastRenderedPageBreak/>
              <w:t xml:space="preserve">Unsuccessful </w:t>
            </w:r>
            <w:r>
              <w:rPr>
                <w:rFonts w:eastAsia="Times New Roman"/>
                <w:b/>
                <w:bCs/>
                <w:sz w:val="20"/>
                <w:szCs w:val="20"/>
              </w:rPr>
              <w:lastRenderedPageBreak/>
              <w:t>Performance (n)</w:t>
            </w:r>
          </w:p>
        </w:tc>
        <w:tc>
          <w:tcPr>
            <w:tcW w:w="0" w:type="auto"/>
            <w:tcBorders>
              <w:top w:val="single" w:sz="6" w:space="0" w:color="000000"/>
              <w:left w:val="nil"/>
              <w:bottom w:val="single" w:sz="6" w:space="0" w:color="000000"/>
              <w:right w:val="nil"/>
            </w:tcBorders>
            <w:tcMar>
              <w:top w:w="60" w:type="dxa"/>
              <w:left w:w="100" w:type="dxa"/>
              <w:bottom w:w="60" w:type="dxa"/>
              <w:right w:w="100" w:type="dxa"/>
            </w:tcMar>
          </w:tcPr>
          <w:p w14:paraId="0B398F9A" w14:textId="77777777" w:rsidR="00674279" w:rsidRDefault="00000000" w:rsidP="001E0A4E">
            <w:pPr>
              <w:spacing w:before="60" w:after="60" w:line="320" w:lineRule="auto"/>
              <w:jc w:val="both"/>
            </w:pPr>
            <w:r>
              <w:rPr>
                <w:rFonts w:eastAsia="Times New Roman"/>
                <w:b/>
                <w:bCs/>
                <w:sz w:val="20"/>
                <w:szCs w:val="20"/>
              </w:rPr>
              <w:lastRenderedPageBreak/>
              <w:t xml:space="preserve">Success Rate </w:t>
            </w:r>
            <w:r>
              <w:rPr>
                <w:rFonts w:eastAsia="Times New Roman"/>
                <w:b/>
                <w:bCs/>
                <w:sz w:val="20"/>
                <w:szCs w:val="20"/>
              </w:rPr>
              <w:lastRenderedPageBreak/>
              <w:t>(%)</w:t>
            </w:r>
          </w:p>
        </w:tc>
      </w:tr>
      <w:tr w:rsidR="00674279" w14:paraId="6A262B56" w14:textId="77777777">
        <w:tc>
          <w:tcPr>
            <w:tcW w:w="0" w:type="auto"/>
            <w:tcBorders>
              <w:top w:val="nil"/>
              <w:left w:val="nil"/>
              <w:bottom w:val="nil"/>
              <w:right w:val="nil"/>
            </w:tcBorders>
            <w:tcMar>
              <w:top w:w="60" w:type="dxa"/>
              <w:left w:w="100" w:type="dxa"/>
              <w:bottom w:w="60" w:type="dxa"/>
              <w:right w:w="100" w:type="dxa"/>
            </w:tcMar>
          </w:tcPr>
          <w:p w14:paraId="4525C185" w14:textId="77777777" w:rsidR="00674279" w:rsidRDefault="00000000" w:rsidP="001E0A4E">
            <w:pPr>
              <w:spacing w:before="60" w:after="60" w:line="320" w:lineRule="auto"/>
              <w:jc w:val="both"/>
            </w:pPr>
            <w:r>
              <w:rPr>
                <w:rFonts w:eastAsia="Times New Roman"/>
                <w:sz w:val="20"/>
                <w:szCs w:val="20"/>
              </w:rPr>
              <w:lastRenderedPageBreak/>
              <w:t>Race-Pace Training</w:t>
            </w:r>
          </w:p>
        </w:tc>
        <w:tc>
          <w:tcPr>
            <w:tcW w:w="0" w:type="auto"/>
            <w:tcBorders>
              <w:top w:val="nil"/>
              <w:left w:val="nil"/>
              <w:bottom w:val="nil"/>
              <w:right w:val="nil"/>
            </w:tcBorders>
            <w:tcMar>
              <w:top w:w="60" w:type="dxa"/>
              <w:left w:w="100" w:type="dxa"/>
              <w:bottom w:w="60" w:type="dxa"/>
              <w:right w:w="100" w:type="dxa"/>
            </w:tcMar>
          </w:tcPr>
          <w:p w14:paraId="547DEA06" w14:textId="77777777" w:rsidR="00674279" w:rsidRDefault="00000000" w:rsidP="001E0A4E">
            <w:pPr>
              <w:spacing w:before="60" w:after="60" w:line="320" w:lineRule="auto"/>
              <w:jc w:val="both"/>
            </w:pPr>
            <w:r>
              <w:rPr>
                <w:rFonts w:eastAsia="Times New Roman"/>
                <w:sz w:val="20"/>
                <w:szCs w:val="20"/>
              </w:rPr>
              <w:t>203</w:t>
            </w:r>
          </w:p>
        </w:tc>
        <w:tc>
          <w:tcPr>
            <w:tcW w:w="0" w:type="auto"/>
            <w:tcBorders>
              <w:top w:val="nil"/>
              <w:left w:val="nil"/>
              <w:bottom w:val="nil"/>
              <w:right w:val="nil"/>
            </w:tcBorders>
            <w:tcMar>
              <w:top w:w="60" w:type="dxa"/>
              <w:left w:w="100" w:type="dxa"/>
              <w:bottom w:w="60" w:type="dxa"/>
              <w:right w:w="100" w:type="dxa"/>
            </w:tcMar>
          </w:tcPr>
          <w:p w14:paraId="7D87D8CB" w14:textId="77777777" w:rsidR="00674279" w:rsidRDefault="00000000" w:rsidP="001E0A4E">
            <w:pPr>
              <w:spacing w:before="60" w:after="60" w:line="320" w:lineRule="auto"/>
              <w:jc w:val="both"/>
            </w:pPr>
            <w:r>
              <w:rPr>
                <w:rFonts w:eastAsia="Times New Roman"/>
                <w:sz w:val="20"/>
                <w:szCs w:val="20"/>
              </w:rPr>
              <w:t>175</w:t>
            </w:r>
          </w:p>
        </w:tc>
        <w:tc>
          <w:tcPr>
            <w:tcW w:w="0" w:type="auto"/>
            <w:tcBorders>
              <w:top w:val="nil"/>
              <w:left w:val="nil"/>
              <w:bottom w:val="nil"/>
              <w:right w:val="nil"/>
            </w:tcBorders>
            <w:tcMar>
              <w:top w:w="60" w:type="dxa"/>
              <w:left w:w="100" w:type="dxa"/>
              <w:bottom w:w="60" w:type="dxa"/>
              <w:right w:w="100" w:type="dxa"/>
            </w:tcMar>
          </w:tcPr>
          <w:p w14:paraId="5F94E42C" w14:textId="77777777" w:rsidR="00674279" w:rsidRDefault="00000000" w:rsidP="001E0A4E">
            <w:pPr>
              <w:spacing w:before="60" w:after="60" w:line="320" w:lineRule="auto"/>
              <w:jc w:val="both"/>
            </w:pPr>
            <w:r>
              <w:rPr>
                <w:rFonts w:eastAsia="Times New Roman"/>
                <w:sz w:val="20"/>
                <w:szCs w:val="20"/>
              </w:rPr>
              <w:t>28</w:t>
            </w:r>
          </w:p>
        </w:tc>
        <w:tc>
          <w:tcPr>
            <w:tcW w:w="0" w:type="auto"/>
            <w:tcBorders>
              <w:top w:val="nil"/>
              <w:left w:val="nil"/>
              <w:bottom w:val="nil"/>
              <w:right w:val="nil"/>
            </w:tcBorders>
            <w:tcMar>
              <w:top w:w="60" w:type="dxa"/>
              <w:left w:w="100" w:type="dxa"/>
              <w:bottom w:w="60" w:type="dxa"/>
              <w:right w:w="100" w:type="dxa"/>
            </w:tcMar>
          </w:tcPr>
          <w:p w14:paraId="6E02528F" w14:textId="77777777" w:rsidR="00674279" w:rsidRDefault="00000000" w:rsidP="001E0A4E">
            <w:pPr>
              <w:spacing w:before="60" w:after="60" w:line="320" w:lineRule="auto"/>
              <w:jc w:val="both"/>
            </w:pPr>
            <w:r>
              <w:rPr>
                <w:rFonts w:eastAsia="Times New Roman"/>
                <w:sz w:val="20"/>
                <w:szCs w:val="20"/>
              </w:rPr>
              <w:t>86.2</w:t>
            </w:r>
          </w:p>
        </w:tc>
      </w:tr>
      <w:tr w:rsidR="00674279" w14:paraId="2094D9B8" w14:textId="77777777">
        <w:tc>
          <w:tcPr>
            <w:tcW w:w="0" w:type="auto"/>
            <w:tcBorders>
              <w:top w:val="nil"/>
              <w:left w:val="nil"/>
              <w:bottom w:val="nil"/>
              <w:right w:val="nil"/>
            </w:tcBorders>
            <w:tcMar>
              <w:top w:w="60" w:type="dxa"/>
              <w:left w:w="100" w:type="dxa"/>
              <w:bottom w:w="60" w:type="dxa"/>
              <w:right w:w="100" w:type="dxa"/>
            </w:tcMar>
          </w:tcPr>
          <w:p w14:paraId="555977F4" w14:textId="77777777" w:rsidR="00674279" w:rsidRDefault="00000000" w:rsidP="001E0A4E">
            <w:pPr>
              <w:spacing w:before="60" w:after="60" w:line="320" w:lineRule="auto"/>
              <w:jc w:val="both"/>
            </w:pPr>
            <w:r>
              <w:rPr>
                <w:rFonts w:eastAsia="Times New Roman"/>
                <w:sz w:val="20"/>
                <w:szCs w:val="20"/>
              </w:rPr>
              <w:t>Competitive Races</w:t>
            </w:r>
          </w:p>
        </w:tc>
        <w:tc>
          <w:tcPr>
            <w:tcW w:w="0" w:type="auto"/>
            <w:tcBorders>
              <w:top w:val="nil"/>
              <w:left w:val="nil"/>
              <w:bottom w:val="nil"/>
              <w:right w:val="nil"/>
            </w:tcBorders>
            <w:tcMar>
              <w:top w:w="60" w:type="dxa"/>
              <w:left w:w="100" w:type="dxa"/>
              <w:bottom w:w="60" w:type="dxa"/>
              <w:right w:w="100" w:type="dxa"/>
            </w:tcMar>
          </w:tcPr>
          <w:p w14:paraId="645BB331" w14:textId="77777777" w:rsidR="00674279" w:rsidRDefault="00000000" w:rsidP="001E0A4E">
            <w:pPr>
              <w:spacing w:before="60" w:after="60" w:line="320" w:lineRule="auto"/>
              <w:jc w:val="both"/>
            </w:pPr>
            <w:r>
              <w:rPr>
                <w:rFonts w:eastAsia="Times New Roman"/>
                <w:sz w:val="20"/>
                <w:szCs w:val="20"/>
              </w:rPr>
              <w:t>126</w:t>
            </w:r>
          </w:p>
        </w:tc>
        <w:tc>
          <w:tcPr>
            <w:tcW w:w="0" w:type="auto"/>
            <w:tcBorders>
              <w:top w:val="nil"/>
              <w:left w:val="nil"/>
              <w:bottom w:val="nil"/>
              <w:right w:val="nil"/>
            </w:tcBorders>
            <w:tcMar>
              <w:top w:w="60" w:type="dxa"/>
              <w:left w:w="100" w:type="dxa"/>
              <w:bottom w:w="60" w:type="dxa"/>
              <w:right w:w="100" w:type="dxa"/>
            </w:tcMar>
          </w:tcPr>
          <w:p w14:paraId="2CF639B1" w14:textId="77777777" w:rsidR="00674279" w:rsidRDefault="00000000" w:rsidP="001E0A4E">
            <w:pPr>
              <w:spacing w:before="60" w:after="60" w:line="320" w:lineRule="auto"/>
              <w:jc w:val="both"/>
            </w:pPr>
            <w:r>
              <w:rPr>
                <w:rFonts w:eastAsia="Times New Roman"/>
                <w:sz w:val="20"/>
                <w:szCs w:val="20"/>
              </w:rPr>
              <w:t>83</w:t>
            </w:r>
          </w:p>
        </w:tc>
        <w:tc>
          <w:tcPr>
            <w:tcW w:w="0" w:type="auto"/>
            <w:tcBorders>
              <w:top w:val="nil"/>
              <w:left w:val="nil"/>
              <w:bottom w:val="nil"/>
              <w:right w:val="nil"/>
            </w:tcBorders>
            <w:tcMar>
              <w:top w:w="60" w:type="dxa"/>
              <w:left w:w="100" w:type="dxa"/>
              <w:bottom w:w="60" w:type="dxa"/>
              <w:right w:w="100" w:type="dxa"/>
            </w:tcMar>
          </w:tcPr>
          <w:p w14:paraId="7D0FFB70" w14:textId="77777777" w:rsidR="00674279" w:rsidRDefault="00000000" w:rsidP="001E0A4E">
            <w:pPr>
              <w:spacing w:before="60" w:after="60" w:line="320" w:lineRule="auto"/>
              <w:jc w:val="both"/>
            </w:pPr>
            <w:r>
              <w:rPr>
                <w:rFonts w:eastAsia="Times New Roman"/>
                <w:sz w:val="20"/>
                <w:szCs w:val="20"/>
              </w:rPr>
              <w:t>43</w:t>
            </w:r>
          </w:p>
        </w:tc>
        <w:tc>
          <w:tcPr>
            <w:tcW w:w="0" w:type="auto"/>
            <w:tcBorders>
              <w:top w:val="nil"/>
              <w:left w:val="nil"/>
              <w:bottom w:val="nil"/>
              <w:right w:val="nil"/>
            </w:tcBorders>
            <w:tcMar>
              <w:top w:w="60" w:type="dxa"/>
              <w:left w:w="100" w:type="dxa"/>
              <w:bottom w:w="60" w:type="dxa"/>
              <w:right w:w="100" w:type="dxa"/>
            </w:tcMar>
          </w:tcPr>
          <w:p w14:paraId="692DE41B" w14:textId="77777777" w:rsidR="00674279" w:rsidRDefault="00000000" w:rsidP="001E0A4E">
            <w:pPr>
              <w:spacing w:before="60" w:after="60" w:line="320" w:lineRule="auto"/>
              <w:jc w:val="both"/>
            </w:pPr>
            <w:r>
              <w:rPr>
                <w:rFonts w:eastAsia="Times New Roman"/>
                <w:sz w:val="20"/>
                <w:szCs w:val="20"/>
              </w:rPr>
              <w:t>65.9</w:t>
            </w:r>
          </w:p>
        </w:tc>
      </w:tr>
      <w:tr w:rsidR="00674279" w14:paraId="563CE76A" w14:textId="77777777">
        <w:tc>
          <w:tcPr>
            <w:tcW w:w="0" w:type="auto"/>
            <w:gridSpan w:val="5"/>
            <w:tcBorders>
              <w:top w:val="single" w:sz="6" w:space="0" w:color="000000"/>
              <w:left w:val="nil"/>
              <w:bottom w:val="single" w:sz="6" w:space="0" w:color="000000"/>
              <w:right w:val="nil"/>
            </w:tcBorders>
            <w:tcMar>
              <w:top w:w="60" w:type="dxa"/>
              <w:left w:w="100" w:type="dxa"/>
              <w:bottom w:w="60" w:type="dxa"/>
              <w:right w:w="100" w:type="dxa"/>
            </w:tcMar>
          </w:tcPr>
          <w:p w14:paraId="09712FA1" w14:textId="77777777" w:rsidR="00674279" w:rsidRDefault="00000000" w:rsidP="001E0A4E">
            <w:pPr>
              <w:spacing w:before="60" w:after="60" w:line="320" w:lineRule="auto"/>
              <w:jc w:val="both"/>
            </w:pPr>
            <w:r>
              <w:rPr>
                <w:rFonts w:eastAsia="Times New Roman"/>
                <w:b/>
                <w:bCs/>
                <w:sz w:val="20"/>
                <w:szCs w:val="20"/>
              </w:rPr>
              <w:t>Statistical Comparison</w:t>
            </w:r>
          </w:p>
        </w:tc>
      </w:tr>
      <w:tr w:rsidR="00674279" w14:paraId="3D19BB27" w14:textId="77777777">
        <w:tc>
          <w:tcPr>
            <w:tcW w:w="0" w:type="auto"/>
            <w:gridSpan w:val="5"/>
            <w:tcBorders>
              <w:top w:val="nil"/>
              <w:left w:val="nil"/>
              <w:bottom w:val="single" w:sz="6" w:space="0" w:color="000000"/>
              <w:right w:val="nil"/>
            </w:tcBorders>
            <w:tcMar>
              <w:top w:w="60" w:type="dxa"/>
              <w:left w:w="100" w:type="dxa"/>
              <w:bottom w:w="60" w:type="dxa"/>
              <w:right w:w="100" w:type="dxa"/>
            </w:tcMar>
          </w:tcPr>
          <w:p w14:paraId="7986A2A0" w14:textId="77777777" w:rsidR="00674279" w:rsidRPr="00DA0E47" w:rsidRDefault="00000000" w:rsidP="001E0A4E">
            <w:pPr>
              <w:spacing w:before="60" w:after="60" w:line="320" w:lineRule="auto"/>
              <w:jc w:val="both"/>
            </w:pPr>
            <w:r w:rsidRPr="00DA0E47">
              <w:rPr>
                <w:rFonts w:eastAsia="Times New Roman"/>
                <w:sz w:val="20"/>
                <w:szCs w:val="20"/>
              </w:rPr>
              <w:t>χ² = 17.81, p &lt; 0.001</w:t>
            </w:r>
          </w:p>
        </w:tc>
      </w:tr>
    </w:tbl>
    <w:p w14:paraId="1F2D97B8" w14:textId="77777777" w:rsidR="00674279" w:rsidRDefault="00674279" w:rsidP="001E0A4E">
      <w:pPr>
        <w:spacing w:line="480" w:lineRule="auto"/>
        <w:jc w:val="both"/>
      </w:pPr>
    </w:p>
    <w:p w14:paraId="33222B70" w14:textId="77777777" w:rsidR="00674279" w:rsidRPr="00DA0E47" w:rsidRDefault="00000000" w:rsidP="001E0A4E">
      <w:pPr>
        <w:pStyle w:val="2"/>
        <w:spacing w:before="120" w:after="0"/>
        <w:jc w:val="both"/>
        <w:rPr>
          <w:i w:val="0"/>
          <w:iCs w:val="0"/>
        </w:rPr>
      </w:pPr>
      <w:r w:rsidRPr="00DA0E47">
        <w:rPr>
          <w:i w:val="0"/>
          <w:iCs w:val="0"/>
        </w:rPr>
        <w:t>TABLE 2. Glucose Dynamics During Race-Pace Training Sessions</w:t>
      </w:r>
    </w:p>
    <w:p w14:paraId="40E92701" w14:textId="77777777" w:rsidR="00674279" w:rsidRDefault="00674279" w:rsidP="001E0A4E">
      <w:pPr>
        <w:spacing w:line="48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2"/>
        <w:gridCol w:w="2550"/>
        <w:gridCol w:w="2595"/>
        <w:gridCol w:w="905"/>
        <w:gridCol w:w="789"/>
        <w:gridCol w:w="949"/>
      </w:tblGrid>
      <w:tr w:rsidR="00674279" w14:paraId="3F1E17C7" w14:textId="77777777">
        <w:tc>
          <w:tcPr>
            <w:tcW w:w="0" w:type="auto"/>
            <w:tcBorders>
              <w:top w:val="single" w:sz="6" w:space="0" w:color="000000"/>
              <w:left w:val="nil"/>
              <w:bottom w:val="single" w:sz="6" w:space="0" w:color="000000"/>
              <w:right w:val="nil"/>
            </w:tcBorders>
            <w:tcMar>
              <w:top w:w="60" w:type="dxa"/>
              <w:left w:w="100" w:type="dxa"/>
              <w:bottom w:w="60" w:type="dxa"/>
              <w:right w:w="100" w:type="dxa"/>
            </w:tcMar>
          </w:tcPr>
          <w:p w14:paraId="4B8A177F" w14:textId="77777777" w:rsidR="00674279" w:rsidRDefault="00000000" w:rsidP="001E0A4E">
            <w:pPr>
              <w:spacing w:before="60" w:after="60" w:line="320" w:lineRule="auto"/>
              <w:jc w:val="both"/>
            </w:pPr>
            <w:r>
              <w:rPr>
                <w:rFonts w:eastAsia="Times New Roman"/>
                <w:b/>
                <w:bCs/>
                <w:sz w:val="20"/>
                <w:szCs w:val="20"/>
              </w:rPr>
              <w:t>Glucose Metric</w:t>
            </w:r>
          </w:p>
        </w:tc>
        <w:tc>
          <w:tcPr>
            <w:tcW w:w="0" w:type="auto"/>
            <w:tcBorders>
              <w:top w:val="single" w:sz="6" w:space="0" w:color="000000"/>
              <w:left w:val="nil"/>
              <w:bottom w:val="single" w:sz="6" w:space="0" w:color="000000"/>
              <w:right w:val="nil"/>
            </w:tcBorders>
            <w:tcMar>
              <w:top w:w="60" w:type="dxa"/>
              <w:left w:w="100" w:type="dxa"/>
              <w:bottom w:w="60" w:type="dxa"/>
              <w:right w:w="100" w:type="dxa"/>
            </w:tcMar>
          </w:tcPr>
          <w:p w14:paraId="0BB43D94" w14:textId="77777777" w:rsidR="00674279" w:rsidRDefault="00000000" w:rsidP="001E0A4E">
            <w:pPr>
              <w:spacing w:before="60" w:after="60" w:line="320" w:lineRule="auto"/>
              <w:jc w:val="both"/>
            </w:pPr>
            <w:r>
              <w:rPr>
                <w:rFonts w:eastAsia="Times New Roman"/>
                <w:b/>
                <w:bCs/>
                <w:sz w:val="20"/>
                <w:szCs w:val="20"/>
              </w:rPr>
              <w:t>Successful Performance (n=175) Mean ± SD (mg/dL)</w:t>
            </w:r>
          </w:p>
        </w:tc>
        <w:tc>
          <w:tcPr>
            <w:tcW w:w="0" w:type="auto"/>
            <w:tcBorders>
              <w:top w:val="single" w:sz="6" w:space="0" w:color="000000"/>
              <w:left w:val="nil"/>
              <w:bottom w:val="single" w:sz="6" w:space="0" w:color="000000"/>
              <w:right w:val="nil"/>
            </w:tcBorders>
            <w:tcMar>
              <w:top w:w="60" w:type="dxa"/>
              <w:left w:w="100" w:type="dxa"/>
              <w:bottom w:w="60" w:type="dxa"/>
              <w:right w:w="100" w:type="dxa"/>
            </w:tcMar>
          </w:tcPr>
          <w:p w14:paraId="1CAB1376" w14:textId="77777777" w:rsidR="00674279" w:rsidRDefault="00000000" w:rsidP="001E0A4E">
            <w:pPr>
              <w:spacing w:before="60" w:after="60" w:line="320" w:lineRule="auto"/>
              <w:jc w:val="both"/>
            </w:pPr>
            <w:r>
              <w:rPr>
                <w:rFonts w:eastAsia="Times New Roman"/>
                <w:b/>
                <w:bCs/>
                <w:sz w:val="20"/>
                <w:szCs w:val="20"/>
              </w:rPr>
              <w:t>Unsuccessful Performance (n=28) Mean ± SD (mg/dL)</w:t>
            </w:r>
          </w:p>
        </w:tc>
        <w:tc>
          <w:tcPr>
            <w:tcW w:w="0" w:type="auto"/>
            <w:tcBorders>
              <w:top w:val="single" w:sz="6" w:space="0" w:color="000000"/>
              <w:left w:val="nil"/>
              <w:bottom w:val="single" w:sz="6" w:space="0" w:color="000000"/>
              <w:right w:val="nil"/>
            </w:tcBorders>
            <w:tcMar>
              <w:top w:w="60" w:type="dxa"/>
              <w:left w:w="100" w:type="dxa"/>
              <w:bottom w:w="60" w:type="dxa"/>
              <w:right w:w="100" w:type="dxa"/>
            </w:tcMar>
          </w:tcPr>
          <w:p w14:paraId="6A164E49" w14:textId="77777777" w:rsidR="00674279" w:rsidRDefault="00000000" w:rsidP="001E0A4E">
            <w:pPr>
              <w:spacing w:before="60" w:after="60" w:line="320" w:lineRule="auto"/>
              <w:jc w:val="both"/>
            </w:pPr>
            <w:r>
              <w:rPr>
                <w:rFonts w:eastAsia="Times New Roman"/>
                <w:b/>
                <w:bCs/>
                <w:sz w:val="20"/>
                <w:szCs w:val="20"/>
              </w:rPr>
              <w:t>t-statistic</w:t>
            </w:r>
          </w:p>
        </w:tc>
        <w:tc>
          <w:tcPr>
            <w:tcW w:w="0" w:type="auto"/>
            <w:tcBorders>
              <w:top w:val="single" w:sz="6" w:space="0" w:color="000000"/>
              <w:left w:val="nil"/>
              <w:bottom w:val="single" w:sz="6" w:space="0" w:color="000000"/>
              <w:right w:val="nil"/>
            </w:tcBorders>
            <w:tcMar>
              <w:top w:w="60" w:type="dxa"/>
              <w:left w:w="100" w:type="dxa"/>
              <w:bottom w:w="60" w:type="dxa"/>
              <w:right w:w="100" w:type="dxa"/>
            </w:tcMar>
          </w:tcPr>
          <w:p w14:paraId="74C63E1A" w14:textId="77777777" w:rsidR="00674279" w:rsidRDefault="00000000" w:rsidP="001E0A4E">
            <w:pPr>
              <w:spacing w:before="60" w:after="60" w:line="320" w:lineRule="auto"/>
              <w:jc w:val="both"/>
            </w:pPr>
            <w:r>
              <w:rPr>
                <w:rFonts w:eastAsia="Times New Roman"/>
                <w:b/>
                <w:bCs/>
                <w:sz w:val="20"/>
                <w:szCs w:val="20"/>
              </w:rPr>
              <w:t>p-value</w:t>
            </w:r>
          </w:p>
        </w:tc>
        <w:tc>
          <w:tcPr>
            <w:tcW w:w="0" w:type="auto"/>
            <w:tcBorders>
              <w:top w:val="single" w:sz="6" w:space="0" w:color="000000"/>
              <w:left w:val="nil"/>
              <w:bottom w:val="single" w:sz="6" w:space="0" w:color="000000"/>
              <w:right w:val="nil"/>
            </w:tcBorders>
            <w:tcMar>
              <w:top w:w="60" w:type="dxa"/>
              <w:left w:w="100" w:type="dxa"/>
              <w:bottom w:w="60" w:type="dxa"/>
              <w:right w:w="100" w:type="dxa"/>
            </w:tcMar>
          </w:tcPr>
          <w:p w14:paraId="744967C0" w14:textId="77777777" w:rsidR="00674279" w:rsidRDefault="00000000" w:rsidP="001E0A4E">
            <w:pPr>
              <w:spacing w:before="60" w:after="60" w:line="320" w:lineRule="auto"/>
              <w:jc w:val="both"/>
            </w:pPr>
            <w:r>
              <w:rPr>
                <w:rFonts w:eastAsia="Times New Roman"/>
                <w:b/>
                <w:bCs/>
                <w:sz w:val="20"/>
                <w:szCs w:val="20"/>
              </w:rPr>
              <w:t>Cohen's d</w:t>
            </w:r>
          </w:p>
        </w:tc>
      </w:tr>
      <w:tr w:rsidR="00674279" w14:paraId="55A3366F" w14:textId="77777777">
        <w:tc>
          <w:tcPr>
            <w:tcW w:w="0" w:type="auto"/>
            <w:tcBorders>
              <w:top w:val="nil"/>
              <w:left w:val="nil"/>
              <w:bottom w:val="nil"/>
              <w:right w:val="nil"/>
            </w:tcBorders>
            <w:tcMar>
              <w:top w:w="60" w:type="dxa"/>
              <w:left w:w="100" w:type="dxa"/>
              <w:bottom w:w="60" w:type="dxa"/>
              <w:right w:w="100" w:type="dxa"/>
            </w:tcMar>
          </w:tcPr>
          <w:p w14:paraId="0082FDD8" w14:textId="77777777" w:rsidR="00674279" w:rsidRDefault="00000000" w:rsidP="001E0A4E">
            <w:pPr>
              <w:spacing w:before="60" w:after="60" w:line="320" w:lineRule="auto"/>
              <w:jc w:val="both"/>
            </w:pPr>
            <w:r>
              <w:rPr>
                <w:rFonts w:eastAsia="Times New Roman"/>
                <w:sz w:val="20"/>
                <w:szCs w:val="20"/>
              </w:rPr>
              <w:t>Pre-exercise Average (2 h)</w:t>
            </w:r>
          </w:p>
        </w:tc>
        <w:tc>
          <w:tcPr>
            <w:tcW w:w="0" w:type="auto"/>
            <w:tcBorders>
              <w:top w:val="nil"/>
              <w:left w:val="nil"/>
              <w:bottom w:val="nil"/>
              <w:right w:val="nil"/>
            </w:tcBorders>
            <w:tcMar>
              <w:top w:w="60" w:type="dxa"/>
              <w:left w:w="100" w:type="dxa"/>
              <w:bottom w:w="60" w:type="dxa"/>
              <w:right w:w="100" w:type="dxa"/>
            </w:tcMar>
          </w:tcPr>
          <w:p w14:paraId="3C51050F" w14:textId="77777777" w:rsidR="00674279" w:rsidRDefault="00000000" w:rsidP="001E0A4E">
            <w:pPr>
              <w:spacing w:before="60" w:after="60" w:line="320" w:lineRule="auto"/>
              <w:jc w:val="both"/>
            </w:pPr>
            <w:r>
              <w:rPr>
                <w:rFonts w:eastAsia="Times New Roman"/>
                <w:sz w:val="20"/>
                <w:szCs w:val="20"/>
              </w:rPr>
              <w:t>111.0 ± 15.9</w:t>
            </w:r>
          </w:p>
        </w:tc>
        <w:tc>
          <w:tcPr>
            <w:tcW w:w="0" w:type="auto"/>
            <w:tcBorders>
              <w:top w:val="nil"/>
              <w:left w:val="nil"/>
              <w:bottom w:val="nil"/>
              <w:right w:val="nil"/>
            </w:tcBorders>
            <w:tcMar>
              <w:top w:w="60" w:type="dxa"/>
              <w:left w:w="100" w:type="dxa"/>
              <w:bottom w:w="60" w:type="dxa"/>
              <w:right w:w="100" w:type="dxa"/>
            </w:tcMar>
          </w:tcPr>
          <w:p w14:paraId="0B3BF622" w14:textId="77777777" w:rsidR="00674279" w:rsidRDefault="00000000" w:rsidP="001E0A4E">
            <w:pPr>
              <w:spacing w:before="60" w:after="60" w:line="320" w:lineRule="auto"/>
              <w:jc w:val="both"/>
            </w:pPr>
            <w:r>
              <w:rPr>
                <w:rFonts w:eastAsia="Times New Roman"/>
                <w:sz w:val="20"/>
                <w:szCs w:val="20"/>
              </w:rPr>
              <w:t>119.1 ± 20.1</w:t>
            </w:r>
          </w:p>
        </w:tc>
        <w:tc>
          <w:tcPr>
            <w:tcW w:w="0" w:type="auto"/>
            <w:tcBorders>
              <w:top w:val="nil"/>
              <w:left w:val="nil"/>
              <w:bottom w:val="nil"/>
              <w:right w:val="nil"/>
            </w:tcBorders>
            <w:tcMar>
              <w:top w:w="60" w:type="dxa"/>
              <w:left w:w="100" w:type="dxa"/>
              <w:bottom w:w="60" w:type="dxa"/>
              <w:right w:w="100" w:type="dxa"/>
            </w:tcMar>
          </w:tcPr>
          <w:p w14:paraId="165E2197" w14:textId="77777777" w:rsidR="00674279" w:rsidRDefault="00000000" w:rsidP="001E0A4E">
            <w:pPr>
              <w:spacing w:before="60" w:after="60" w:line="320" w:lineRule="auto"/>
              <w:jc w:val="both"/>
            </w:pPr>
            <w:r>
              <w:rPr>
                <w:rFonts w:eastAsia="Times New Roman"/>
                <w:sz w:val="20"/>
                <w:szCs w:val="20"/>
              </w:rPr>
              <w:t>−2.68</w:t>
            </w:r>
          </w:p>
        </w:tc>
        <w:tc>
          <w:tcPr>
            <w:tcW w:w="0" w:type="auto"/>
            <w:tcBorders>
              <w:top w:val="nil"/>
              <w:left w:val="nil"/>
              <w:bottom w:val="nil"/>
              <w:right w:val="nil"/>
            </w:tcBorders>
            <w:tcMar>
              <w:top w:w="60" w:type="dxa"/>
              <w:left w:w="100" w:type="dxa"/>
              <w:bottom w:w="60" w:type="dxa"/>
              <w:right w:w="100" w:type="dxa"/>
            </w:tcMar>
          </w:tcPr>
          <w:p w14:paraId="343B49EA" w14:textId="77777777" w:rsidR="00674279" w:rsidRDefault="00000000" w:rsidP="001E0A4E">
            <w:pPr>
              <w:spacing w:before="60" w:after="60" w:line="320" w:lineRule="auto"/>
              <w:jc w:val="both"/>
            </w:pPr>
            <w:r>
              <w:rPr>
                <w:rFonts w:eastAsia="Times New Roman"/>
                <w:sz w:val="20"/>
                <w:szCs w:val="20"/>
              </w:rPr>
              <w:t>0.008</w:t>
            </w:r>
          </w:p>
        </w:tc>
        <w:tc>
          <w:tcPr>
            <w:tcW w:w="0" w:type="auto"/>
            <w:tcBorders>
              <w:top w:val="nil"/>
              <w:left w:val="nil"/>
              <w:bottom w:val="nil"/>
              <w:right w:val="nil"/>
            </w:tcBorders>
            <w:tcMar>
              <w:top w:w="60" w:type="dxa"/>
              <w:left w:w="100" w:type="dxa"/>
              <w:bottom w:w="60" w:type="dxa"/>
              <w:right w:w="100" w:type="dxa"/>
            </w:tcMar>
          </w:tcPr>
          <w:p w14:paraId="618F685A" w14:textId="77777777" w:rsidR="00674279" w:rsidRDefault="00000000" w:rsidP="001E0A4E">
            <w:pPr>
              <w:spacing w:before="60" w:after="60" w:line="320" w:lineRule="auto"/>
              <w:jc w:val="both"/>
            </w:pPr>
            <w:r>
              <w:rPr>
                <w:rFonts w:eastAsia="Times New Roman"/>
                <w:sz w:val="20"/>
                <w:szCs w:val="20"/>
              </w:rPr>
              <w:t>−0.50</w:t>
            </w:r>
          </w:p>
        </w:tc>
      </w:tr>
      <w:tr w:rsidR="00674279" w14:paraId="74C6701C" w14:textId="77777777">
        <w:tc>
          <w:tcPr>
            <w:tcW w:w="0" w:type="auto"/>
            <w:tcBorders>
              <w:top w:val="nil"/>
              <w:left w:val="nil"/>
              <w:bottom w:val="nil"/>
              <w:right w:val="nil"/>
            </w:tcBorders>
            <w:tcMar>
              <w:top w:w="60" w:type="dxa"/>
              <w:left w:w="100" w:type="dxa"/>
              <w:bottom w:w="60" w:type="dxa"/>
              <w:right w:w="100" w:type="dxa"/>
            </w:tcMar>
          </w:tcPr>
          <w:p w14:paraId="716C362F" w14:textId="77777777" w:rsidR="00674279" w:rsidRDefault="00000000" w:rsidP="001E0A4E">
            <w:pPr>
              <w:spacing w:before="60" w:after="60" w:line="320" w:lineRule="auto"/>
              <w:jc w:val="both"/>
            </w:pPr>
            <w:r>
              <w:rPr>
                <w:rFonts w:eastAsia="Times New Roman"/>
                <w:sz w:val="20"/>
                <w:szCs w:val="20"/>
              </w:rPr>
              <w:t>Pre-exercise Maximum (2 h)</w:t>
            </w:r>
          </w:p>
        </w:tc>
        <w:tc>
          <w:tcPr>
            <w:tcW w:w="0" w:type="auto"/>
            <w:tcBorders>
              <w:top w:val="nil"/>
              <w:left w:val="nil"/>
              <w:bottom w:val="nil"/>
              <w:right w:val="nil"/>
            </w:tcBorders>
            <w:tcMar>
              <w:top w:w="60" w:type="dxa"/>
              <w:left w:w="100" w:type="dxa"/>
              <w:bottom w:w="60" w:type="dxa"/>
              <w:right w:w="100" w:type="dxa"/>
            </w:tcMar>
          </w:tcPr>
          <w:p w14:paraId="5F679E8F" w14:textId="77777777" w:rsidR="00674279" w:rsidRDefault="00000000" w:rsidP="001E0A4E">
            <w:pPr>
              <w:spacing w:before="60" w:after="60" w:line="320" w:lineRule="auto"/>
              <w:jc w:val="both"/>
            </w:pPr>
            <w:r>
              <w:rPr>
                <w:rFonts w:eastAsia="Times New Roman"/>
                <w:sz w:val="20"/>
                <w:szCs w:val="20"/>
              </w:rPr>
              <w:t>128.8 ± 19.5</w:t>
            </w:r>
          </w:p>
        </w:tc>
        <w:tc>
          <w:tcPr>
            <w:tcW w:w="0" w:type="auto"/>
            <w:tcBorders>
              <w:top w:val="nil"/>
              <w:left w:val="nil"/>
              <w:bottom w:val="nil"/>
              <w:right w:val="nil"/>
            </w:tcBorders>
            <w:tcMar>
              <w:top w:w="60" w:type="dxa"/>
              <w:left w:w="100" w:type="dxa"/>
              <w:bottom w:w="60" w:type="dxa"/>
              <w:right w:w="100" w:type="dxa"/>
            </w:tcMar>
          </w:tcPr>
          <w:p w14:paraId="253ACCF6" w14:textId="77777777" w:rsidR="00674279" w:rsidRDefault="00000000" w:rsidP="001E0A4E">
            <w:pPr>
              <w:spacing w:before="60" w:after="60" w:line="320" w:lineRule="auto"/>
              <w:jc w:val="both"/>
            </w:pPr>
            <w:r>
              <w:rPr>
                <w:rFonts w:eastAsia="Times New Roman"/>
                <w:sz w:val="20"/>
                <w:szCs w:val="20"/>
              </w:rPr>
              <w:t>140.7 ± 27.1</w:t>
            </w:r>
          </w:p>
        </w:tc>
        <w:tc>
          <w:tcPr>
            <w:tcW w:w="0" w:type="auto"/>
            <w:tcBorders>
              <w:top w:val="nil"/>
              <w:left w:val="nil"/>
              <w:bottom w:val="nil"/>
              <w:right w:val="nil"/>
            </w:tcBorders>
            <w:tcMar>
              <w:top w:w="60" w:type="dxa"/>
              <w:left w:w="100" w:type="dxa"/>
              <w:bottom w:w="60" w:type="dxa"/>
              <w:right w:w="100" w:type="dxa"/>
            </w:tcMar>
          </w:tcPr>
          <w:p w14:paraId="5BD5BA41" w14:textId="77777777" w:rsidR="00674279" w:rsidRDefault="00000000" w:rsidP="001E0A4E">
            <w:pPr>
              <w:spacing w:before="60" w:after="60" w:line="320" w:lineRule="auto"/>
              <w:jc w:val="both"/>
            </w:pPr>
            <w:r>
              <w:rPr>
                <w:rFonts w:eastAsia="Times New Roman"/>
                <w:sz w:val="20"/>
                <w:szCs w:val="20"/>
              </w:rPr>
              <w:t>−3.07</w:t>
            </w:r>
          </w:p>
        </w:tc>
        <w:tc>
          <w:tcPr>
            <w:tcW w:w="0" w:type="auto"/>
            <w:tcBorders>
              <w:top w:val="nil"/>
              <w:left w:val="nil"/>
              <w:bottom w:val="nil"/>
              <w:right w:val="nil"/>
            </w:tcBorders>
            <w:tcMar>
              <w:top w:w="60" w:type="dxa"/>
              <w:left w:w="100" w:type="dxa"/>
              <w:bottom w:w="60" w:type="dxa"/>
              <w:right w:w="100" w:type="dxa"/>
            </w:tcMar>
          </w:tcPr>
          <w:p w14:paraId="315734FE" w14:textId="77777777" w:rsidR="00674279" w:rsidRDefault="00000000" w:rsidP="001E0A4E">
            <w:pPr>
              <w:spacing w:before="60" w:after="60" w:line="320" w:lineRule="auto"/>
              <w:jc w:val="both"/>
            </w:pPr>
            <w:r>
              <w:rPr>
                <w:rFonts w:eastAsia="Times New Roman"/>
                <w:sz w:val="20"/>
                <w:szCs w:val="20"/>
              </w:rPr>
              <w:t>0.002</w:t>
            </w:r>
          </w:p>
        </w:tc>
        <w:tc>
          <w:tcPr>
            <w:tcW w:w="0" w:type="auto"/>
            <w:tcBorders>
              <w:top w:val="nil"/>
              <w:left w:val="nil"/>
              <w:bottom w:val="nil"/>
              <w:right w:val="nil"/>
            </w:tcBorders>
            <w:tcMar>
              <w:top w:w="60" w:type="dxa"/>
              <w:left w:w="100" w:type="dxa"/>
              <w:bottom w:w="60" w:type="dxa"/>
              <w:right w:w="100" w:type="dxa"/>
            </w:tcMar>
          </w:tcPr>
          <w:p w14:paraId="7998C4E5" w14:textId="77777777" w:rsidR="00674279" w:rsidRDefault="00000000" w:rsidP="001E0A4E">
            <w:pPr>
              <w:spacing w:before="60" w:after="60" w:line="320" w:lineRule="auto"/>
              <w:jc w:val="both"/>
            </w:pPr>
            <w:r>
              <w:rPr>
                <w:rFonts w:eastAsia="Times New Roman"/>
                <w:sz w:val="20"/>
                <w:szCs w:val="20"/>
              </w:rPr>
              <w:t>−0.55</w:t>
            </w:r>
          </w:p>
        </w:tc>
      </w:tr>
      <w:tr w:rsidR="00674279" w14:paraId="159B4DF6" w14:textId="77777777">
        <w:tc>
          <w:tcPr>
            <w:tcW w:w="0" w:type="auto"/>
            <w:tcBorders>
              <w:top w:val="nil"/>
              <w:left w:val="nil"/>
              <w:bottom w:val="nil"/>
              <w:right w:val="nil"/>
            </w:tcBorders>
            <w:tcMar>
              <w:top w:w="60" w:type="dxa"/>
              <w:left w:w="100" w:type="dxa"/>
              <w:bottom w:w="60" w:type="dxa"/>
              <w:right w:w="100" w:type="dxa"/>
            </w:tcMar>
          </w:tcPr>
          <w:p w14:paraId="7BC7EA2A" w14:textId="77777777" w:rsidR="00674279" w:rsidRDefault="00000000" w:rsidP="001E0A4E">
            <w:pPr>
              <w:spacing w:before="60" w:after="60" w:line="320" w:lineRule="auto"/>
              <w:jc w:val="both"/>
            </w:pPr>
            <w:r>
              <w:rPr>
                <w:rFonts w:eastAsia="Times New Roman"/>
                <w:sz w:val="20"/>
                <w:szCs w:val="20"/>
              </w:rPr>
              <w:t>During-exercise Average</w:t>
            </w:r>
          </w:p>
        </w:tc>
        <w:tc>
          <w:tcPr>
            <w:tcW w:w="0" w:type="auto"/>
            <w:tcBorders>
              <w:top w:val="nil"/>
              <w:left w:val="nil"/>
              <w:bottom w:val="nil"/>
              <w:right w:val="nil"/>
            </w:tcBorders>
            <w:tcMar>
              <w:top w:w="60" w:type="dxa"/>
              <w:left w:w="100" w:type="dxa"/>
              <w:bottom w:w="60" w:type="dxa"/>
              <w:right w:w="100" w:type="dxa"/>
            </w:tcMar>
          </w:tcPr>
          <w:p w14:paraId="3F6F412C" w14:textId="77777777" w:rsidR="00674279" w:rsidRDefault="00000000" w:rsidP="001E0A4E">
            <w:pPr>
              <w:spacing w:before="60" w:after="60" w:line="320" w:lineRule="auto"/>
              <w:jc w:val="both"/>
            </w:pPr>
            <w:r>
              <w:rPr>
                <w:rFonts w:eastAsia="Times New Roman"/>
                <w:sz w:val="20"/>
                <w:szCs w:val="20"/>
              </w:rPr>
              <w:t>125.0 ± 24.5</w:t>
            </w:r>
          </w:p>
        </w:tc>
        <w:tc>
          <w:tcPr>
            <w:tcW w:w="0" w:type="auto"/>
            <w:tcBorders>
              <w:top w:val="nil"/>
              <w:left w:val="nil"/>
              <w:bottom w:val="nil"/>
              <w:right w:val="nil"/>
            </w:tcBorders>
            <w:tcMar>
              <w:top w:w="60" w:type="dxa"/>
              <w:left w:w="100" w:type="dxa"/>
              <w:bottom w:w="60" w:type="dxa"/>
              <w:right w:w="100" w:type="dxa"/>
            </w:tcMar>
          </w:tcPr>
          <w:p w14:paraId="2A240ED3" w14:textId="77777777" w:rsidR="00674279" w:rsidRDefault="00000000" w:rsidP="001E0A4E">
            <w:pPr>
              <w:spacing w:before="60" w:after="60" w:line="320" w:lineRule="auto"/>
              <w:jc w:val="both"/>
            </w:pPr>
            <w:r>
              <w:rPr>
                <w:rFonts w:eastAsia="Times New Roman"/>
                <w:sz w:val="20"/>
                <w:szCs w:val="20"/>
              </w:rPr>
              <w:t>145.0 ± 36.8</w:t>
            </w:r>
          </w:p>
        </w:tc>
        <w:tc>
          <w:tcPr>
            <w:tcW w:w="0" w:type="auto"/>
            <w:tcBorders>
              <w:top w:val="nil"/>
              <w:left w:val="nil"/>
              <w:bottom w:val="nil"/>
              <w:right w:val="nil"/>
            </w:tcBorders>
            <w:tcMar>
              <w:top w:w="60" w:type="dxa"/>
              <w:left w:w="100" w:type="dxa"/>
              <w:bottom w:w="60" w:type="dxa"/>
              <w:right w:w="100" w:type="dxa"/>
            </w:tcMar>
          </w:tcPr>
          <w:p w14:paraId="44598653" w14:textId="77777777" w:rsidR="00674279" w:rsidRDefault="00000000" w:rsidP="001E0A4E">
            <w:pPr>
              <w:spacing w:before="60" w:after="60" w:line="320" w:lineRule="auto"/>
              <w:jc w:val="both"/>
            </w:pPr>
            <w:r>
              <w:rPr>
                <w:rFonts w:eastAsia="Times New Roman"/>
                <w:sz w:val="20"/>
                <w:szCs w:val="20"/>
              </w:rPr>
              <w:t>−3.70</w:t>
            </w:r>
          </w:p>
        </w:tc>
        <w:tc>
          <w:tcPr>
            <w:tcW w:w="0" w:type="auto"/>
            <w:tcBorders>
              <w:top w:val="nil"/>
              <w:left w:val="nil"/>
              <w:bottom w:val="nil"/>
              <w:right w:val="nil"/>
            </w:tcBorders>
            <w:tcMar>
              <w:top w:w="60" w:type="dxa"/>
              <w:left w:w="100" w:type="dxa"/>
              <w:bottom w:w="60" w:type="dxa"/>
              <w:right w:w="100" w:type="dxa"/>
            </w:tcMar>
          </w:tcPr>
          <w:p w14:paraId="3982F78B" w14:textId="77777777" w:rsidR="00674279" w:rsidRDefault="00000000" w:rsidP="001E0A4E">
            <w:pPr>
              <w:spacing w:before="60" w:after="60" w:line="320" w:lineRule="auto"/>
              <w:jc w:val="both"/>
            </w:pPr>
            <w:r>
              <w:rPr>
                <w:rFonts w:eastAsia="Times New Roman"/>
                <w:sz w:val="20"/>
                <w:szCs w:val="20"/>
              </w:rPr>
              <w:t>&lt;0.001</w:t>
            </w:r>
          </w:p>
        </w:tc>
        <w:tc>
          <w:tcPr>
            <w:tcW w:w="0" w:type="auto"/>
            <w:tcBorders>
              <w:top w:val="nil"/>
              <w:left w:val="nil"/>
              <w:bottom w:val="nil"/>
              <w:right w:val="nil"/>
            </w:tcBorders>
            <w:tcMar>
              <w:top w:w="60" w:type="dxa"/>
              <w:left w:w="100" w:type="dxa"/>
              <w:bottom w:w="60" w:type="dxa"/>
              <w:right w:w="100" w:type="dxa"/>
            </w:tcMar>
          </w:tcPr>
          <w:p w14:paraId="705F5DB8" w14:textId="77777777" w:rsidR="00674279" w:rsidRDefault="00000000" w:rsidP="001E0A4E">
            <w:pPr>
              <w:spacing w:before="60" w:after="60" w:line="320" w:lineRule="auto"/>
              <w:jc w:val="both"/>
            </w:pPr>
            <w:r>
              <w:rPr>
                <w:rFonts w:eastAsia="Times New Roman"/>
                <w:sz w:val="20"/>
                <w:szCs w:val="20"/>
              </w:rPr>
              <w:t>−0.64</w:t>
            </w:r>
          </w:p>
        </w:tc>
      </w:tr>
      <w:tr w:rsidR="00674279" w14:paraId="532C5F53" w14:textId="77777777">
        <w:tc>
          <w:tcPr>
            <w:tcW w:w="0" w:type="auto"/>
            <w:tcBorders>
              <w:top w:val="single" w:sz="6" w:space="0" w:color="000000"/>
              <w:left w:val="nil"/>
              <w:bottom w:val="single" w:sz="6" w:space="0" w:color="000000"/>
              <w:right w:val="nil"/>
            </w:tcBorders>
            <w:tcMar>
              <w:top w:w="60" w:type="dxa"/>
              <w:left w:w="100" w:type="dxa"/>
              <w:bottom w:w="60" w:type="dxa"/>
              <w:right w:w="100" w:type="dxa"/>
            </w:tcMar>
          </w:tcPr>
          <w:p w14:paraId="020AA26C" w14:textId="77777777" w:rsidR="00674279" w:rsidRDefault="00000000" w:rsidP="001E0A4E">
            <w:pPr>
              <w:spacing w:before="60" w:after="60" w:line="320" w:lineRule="auto"/>
              <w:jc w:val="both"/>
            </w:pPr>
            <w:r>
              <w:rPr>
                <w:rFonts w:eastAsia="Times New Roman"/>
                <w:sz w:val="20"/>
                <w:szCs w:val="20"/>
              </w:rPr>
              <w:t>During-exercise Maximum</w:t>
            </w:r>
          </w:p>
        </w:tc>
        <w:tc>
          <w:tcPr>
            <w:tcW w:w="0" w:type="auto"/>
            <w:tcBorders>
              <w:top w:val="single" w:sz="6" w:space="0" w:color="000000"/>
              <w:left w:val="nil"/>
              <w:bottom w:val="single" w:sz="6" w:space="0" w:color="000000"/>
              <w:right w:val="nil"/>
            </w:tcBorders>
            <w:tcMar>
              <w:top w:w="60" w:type="dxa"/>
              <w:left w:w="100" w:type="dxa"/>
              <w:bottom w:w="60" w:type="dxa"/>
              <w:right w:w="100" w:type="dxa"/>
            </w:tcMar>
          </w:tcPr>
          <w:p w14:paraId="6D05CAB8" w14:textId="77777777" w:rsidR="00674279" w:rsidRDefault="00000000" w:rsidP="001E0A4E">
            <w:pPr>
              <w:spacing w:before="60" w:after="60" w:line="320" w:lineRule="auto"/>
              <w:jc w:val="both"/>
            </w:pPr>
            <w:r>
              <w:rPr>
                <w:rFonts w:eastAsia="Times New Roman"/>
                <w:sz w:val="20"/>
                <w:szCs w:val="20"/>
              </w:rPr>
              <w:t>138.0 ± 26.0</w:t>
            </w:r>
          </w:p>
        </w:tc>
        <w:tc>
          <w:tcPr>
            <w:tcW w:w="0" w:type="auto"/>
            <w:tcBorders>
              <w:top w:val="single" w:sz="6" w:space="0" w:color="000000"/>
              <w:left w:val="nil"/>
              <w:bottom w:val="single" w:sz="6" w:space="0" w:color="000000"/>
              <w:right w:val="nil"/>
            </w:tcBorders>
            <w:tcMar>
              <w:top w:w="60" w:type="dxa"/>
              <w:left w:w="100" w:type="dxa"/>
              <w:bottom w:w="60" w:type="dxa"/>
              <w:right w:w="100" w:type="dxa"/>
            </w:tcMar>
          </w:tcPr>
          <w:p w14:paraId="123EEB9C" w14:textId="77777777" w:rsidR="00674279" w:rsidRDefault="00000000" w:rsidP="001E0A4E">
            <w:pPr>
              <w:spacing w:before="60" w:after="60" w:line="320" w:lineRule="auto"/>
              <w:jc w:val="both"/>
            </w:pPr>
            <w:r>
              <w:rPr>
                <w:rFonts w:eastAsia="Times New Roman"/>
                <w:sz w:val="20"/>
                <w:szCs w:val="20"/>
              </w:rPr>
              <w:t>173.1 ± 45.9</w:t>
            </w:r>
          </w:p>
        </w:tc>
        <w:tc>
          <w:tcPr>
            <w:tcW w:w="0" w:type="auto"/>
            <w:tcBorders>
              <w:top w:val="single" w:sz="6" w:space="0" w:color="000000"/>
              <w:left w:val="nil"/>
              <w:bottom w:val="single" w:sz="6" w:space="0" w:color="000000"/>
              <w:right w:val="nil"/>
            </w:tcBorders>
            <w:tcMar>
              <w:top w:w="60" w:type="dxa"/>
              <w:left w:w="100" w:type="dxa"/>
              <w:bottom w:w="60" w:type="dxa"/>
              <w:right w:w="100" w:type="dxa"/>
            </w:tcMar>
          </w:tcPr>
          <w:p w14:paraId="12E18655" w14:textId="77777777" w:rsidR="00674279" w:rsidRDefault="00000000" w:rsidP="001E0A4E">
            <w:pPr>
              <w:spacing w:before="60" w:after="60" w:line="320" w:lineRule="auto"/>
              <w:jc w:val="both"/>
            </w:pPr>
            <w:r>
              <w:rPr>
                <w:rFonts w:eastAsia="Times New Roman"/>
                <w:sz w:val="20"/>
                <w:szCs w:val="20"/>
              </w:rPr>
              <w:t>−5.85</w:t>
            </w:r>
          </w:p>
        </w:tc>
        <w:tc>
          <w:tcPr>
            <w:tcW w:w="0" w:type="auto"/>
            <w:tcBorders>
              <w:top w:val="single" w:sz="6" w:space="0" w:color="000000"/>
              <w:left w:val="nil"/>
              <w:bottom w:val="single" w:sz="6" w:space="0" w:color="000000"/>
              <w:right w:val="nil"/>
            </w:tcBorders>
            <w:tcMar>
              <w:top w:w="60" w:type="dxa"/>
              <w:left w:w="100" w:type="dxa"/>
              <w:bottom w:w="60" w:type="dxa"/>
              <w:right w:w="100" w:type="dxa"/>
            </w:tcMar>
          </w:tcPr>
          <w:p w14:paraId="70EB295E" w14:textId="77777777" w:rsidR="00674279" w:rsidRDefault="00000000" w:rsidP="001E0A4E">
            <w:pPr>
              <w:spacing w:before="60" w:after="60" w:line="320" w:lineRule="auto"/>
              <w:jc w:val="both"/>
            </w:pPr>
            <w:r>
              <w:rPr>
                <w:rFonts w:eastAsia="Times New Roman"/>
                <w:sz w:val="20"/>
                <w:szCs w:val="20"/>
              </w:rPr>
              <w:t>&lt;0.001</w:t>
            </w:r>
          </w:p>
        </w:tc>
        <w:tc>
          <w:tcPr>
            <w:tcW w:w="0" w:type="auto"/>
            <w:tcBorders>
              <w:top w:val="single" w:sz="6" w:space="0" w:color="000000"/>
              <w:left w:val="nil"/>
              <w:bottom w:val="single" w:sz="6" w:space="0" w:color="000000"/>
              <w:right w:val="nil"/>
            </w:tcBorders>
            <w:tcMar>
              <w:top w:w="60" w:type="dxa"/>
              <w:left w:w="100" w:type="dxa"/>
              <w:bottom w:w="60" w:type="dxa"/>
              <w:right w:w="100" w:type="dxa"/>
            </w:tcMar>
          </w:tcPr>
          <w:p w14:paraId="089EE7B9" w14:textId="77777777" w:rsidR="00674279" w:rsidRDefault="00000000" w:rsidP="001E0A4E">
            <w:pPr>
              <w:spacing w:before="60" w:after="60" w:line="320" w:lineRule="auto"/>
              <w:jc w:val="both"/>
            </w:pPr>
            <w:r>
              <w:rPr>
                <w:rFonts w:eastAsia="Times New Roman"/>
                <w:sz w:val="20"/>
                <w:szCs w:val="20"/>
              </w:rPr>
              <w:t>−0.94</w:t>
            </w:r>
          </w:p>
        </w:tc>
      </w:tr>
    </w:tbl>
    <w:p w14:paraId="6851D90D" w14:textId="77777777" w:rsidR="00674279" w:rsidRDefault="00674279" w:rsidP="001E0A4E">
      <w:pPr>
        <w:spacing w:line="480" w:lineRule="auto"/>
        <w:jc w:val="both"/>
      </w:pPr>
    </w:p>
    <w:p w14:paraId="2700C920" w14:textId="77777777" w:rsidR="00674279" w:rsidRPr="00DA0E47" w:rsidRDefault="00000000" w:rsidP="001E0A4E">
      <w:pPr>
        <w:pStyle w:val="2"/>
        <w:spacing w:before="120" w:after="0"/>
        <w:jc w:val="both"/>
        <w:rPr>
          <w:i w:val="0"/>
          <w:iCs w:val="0"/>
        </w:rPr>
      </w:pPr>
      <w:r w:rsidRPr="00DA0E47">
        <w:rPr>
          <w:i w:val="0"/>
          <w:iCs w:val="0"/>
        </w:rPr>
        <w:t>TABLE 3. Glucose Dynamics During Competitive Races</w:t>
      </w:r>
    </w:p>
    <w:p w14:paraId="64309EB3" w14:textId="77777777" w:rsidR="00674279" w:rsidRDefault="00674279" w:rsidP="001E0A4E">
      <w:pPr>
        <w:spacing w:line="48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8"/>
        <w:gridCol w:w="2528"/>
        <w:gridCol w:w="2610"/>
        <w:gridCol w:w="905"/>
        <w:gridCol w:w="789"/>
        <w:gridCol w:w="950"/>
      </w:tblGrid>
      <w:tr w:rsidR="00674279" w14:paraId="586BD53D" w14:textId="77777777">
        <w:tc>
          <w:tcPr>
            <w:tcW w:w="0" w:type="auto"/>
            <w:tcBorders>
              <w:top w:val="single" w:sz="6" w:space="0" w:color="000000"/>
              <w:left w:val="nil"/>
              <w:bottom w:val="single" w:sz="6" w:space="0" w:color="000000"/>
              <w:right w:val="nil"/>
            </w:tcBorders>
            <w:tcMar>
              <w:top w:w="60" w:type="dxa"/>
              <w:left w:w="100" w:type="dxa"/>
              <w:bottom w:w="60" w:type="dxa"/>
              <w:right w:w="100" w:type="dxa"/>
            </w:tcMar>
          </w:tcPr>
          <w:p w14:paraId="38451D35" w14:textId="77777777" w:rsidR="00674279" w:rsidRDefault="00000000" w:rsidP="001E0A4E">
            <w:pPr>
              <w:spacing w:before="60" w:after="60" w:line="320" w:lineRule="auto"/>
              <w:jc w:val="both"/>
            </w:pPr>
            <w:r>
              <w:rPr>
                <w:rFonts w:eastAsia="Times New Roman"/>
                <w:b/>
                <w:bCs/>
                <w:sz w:val="20"/>
                <w:szCs w:val="20"/>
              </w:rPr>
              <w:t>Glucose Metric</w:t>
            </w:r>
          </w:p>
        </w:tc>
        <w:tc>
          <w:tcPr>
            <w:tcW w:w="0" w:type="auto"/>
            <w:tcBorders>
              <w:top w:val="single" w:sz="6" w:space="0" w:color="000000"/>
              <w:left w:val="nil"/>
              <w:bottom w:val="single" w:sz="6" w:space="0" w:color="000000"/>
              <w:right w:val="nil"/>
            </w:tcBorders>
            <w:tcMar>
              <w:top w:w="60" w:type="dxa"/>
              <w:left w:w="100" w:type="dxa"/>
              <w:bottom w:w="60" w:type="dxa"/>
              <w:right w:w="100" w:type="dxa"/>
            </w:tcMar>
          </w:tcPr>
          <w:p w14:paraId="4E7E4E79" w14:textId="77777777" w:rsidR="00674279" w:rsidRDefault="00000000" w:rsidP="001E0A4E">
            <w:pPr>
              <w:spacing w:before="60" w:after="60" w:line="320" w:lineRule="auto"/>
              <w:jc w:val="both"/>
            </w:pPr>
            <w:r>
              <w:rPr>
                <w:rFonts w:eastAsia="Times New Roman"/>
                <w:b/>
                <w:bCs/>
                <w:sz w:val="20"/>
                <w:szCs w:val="20"/>
              </w:rPr>
              <w:t>Successful Performance (n=83) Mean ± SD (mg/dL)</w:t>
            </w:r>
          </w:p>
        </w:tc>
        <w:tc>
          <w:tcPr>
            <w:tcW w:w="0" w:type="auto"/>
            <w:tcBorders>
              <w:top w:val="single" w:sz="6" w:space="0" w:color="000000"/>
              <w:left w:val="nil"/>
              <w:bottom w:val="single" w:sz="6" w:space="0" w:color="000000"/>
              <w:right w:val="nil"/>
            </w:tcBorders>
            <w:tcMar>
              <w:top w:w="60" w:type="dxa"/>
              <w:left w:w="100" w:type="dxa"/>
              <w:bottom w:w="60" w:type="dxa"/>
              <w:right w:w="100" w:type="dxa"/>
            </w:tcMar>
          </w:tcPr>
          <w:p w14:paraId="5E955817" w14:textId="77777777" w:rsidR="00674279" w:rsidRDefault="00000000" w:rsidP="001E0A4E">
            <w:pPr>
              <w:spacing w:before="60" w:after="60" w:line="320" w:lineRule="auto"/>
              <w:jc w:val="both"/>
            </w:pPr>
            <w:r>
              <w:rPr>
                <w:rFonts w:eastAsia="Times New Roman"/>
                <w:b/>
                <w:bCs/>
                <w:sz w:val="20"/>
                <w:szCs w:val="20"/>
              </w:rPr>
              <w:t>Unsuccessful Performance (n=43) Mean ± SD (mg/dL)</w:t>
            </w:r>
          </w:p>
        </w:tc>
        <w:tc>
          <w:tcPr>
            <w:tcW w:w="0" w:type="auto"/>
            <w:tcBorders>
              <w:top w:val="single" w:sz="6" w:space="0" w:color="000000"/>
              <w:left w:val="nil"/>
              <w:bottom w:val="single" w:sz="6" w:space="0" w:color="000000"/>
              <w:right w:val="nil"/>
            </w:tcBorders>
            <w:tcMar>
              <w:top w:w="60" w:type="dxa"/>
              <w:left w:w="100" w:type="dxa"/>
              <w:bottom w:w="60" w:type="dxa"/>
              <w:right w:w="100" w:type="dxa"/>
            </w:tcMar>
          </w:tcPr>
          <w:p w14:paraId="226145EC" w14:textId="77777777" w:rsidR="00674279" w:rsidRDefault="00000000" w:rsidP="001E0A4E">
            <w:pPr>
              <w:spacing w:before="60" w:after="60" w:line="320" w:lineRule="auto"/>
              <w:jc w:val="both"/>
            </w:pPr>
            <w:r>
              <w:rPr>
                <w:rFonts w:eastAsia="Times New Roman"/>
                <w:b/>
                <w:bCs/>
                <w:sz w:val="20"/>
                <w:szCs w:val="20"/>
              </w:rPr>
              <w:t>t-statistic</w:t>
            </w:r>
          </w:p>
        </w:tc>
        <w:tc>
          <w:tcPr>
            <w:tcW w:w="0" w:type="auto"/>
            <w:tcBorders>
              <w:top w:val="single" w:sz="6" w:space="0" w:color="000000"/>
              <w:left w:val="nil"/>
              <w:bottom w:val="single" w:sz="6" w:space="0" w:color="000000"/>
              <w:right w:val="nil"/>
            </w:tcBorders>
            <w:tcMar>
              <w:top w:w="60" w:type="dxa"/>
              <w:left w:w="100" w:type="dxa"/>
              <w:bottom w:w="60" w:type="dxa"/>
              <w:right w:w="100" w:type="dxa"/>
            </w:tcMar>
          </w:tcPr>
          <w:p w14:paraId="08C420DD" w14:textId="77777777" w:rsidR="00674279" w:rsidRDefault="00000000" w:rsidP="001E0A4E">
            <w:pPr>
              <w:spacing w:before="60" w:after="60" w:line="320" w:lineRule="auto"/>
              <w:jc w:val="both"/>
            </w:pPr>
            <w:r>
              <w:rPr>
                <w:rFonts w:eastAsia="Times New Roman"/>
                <w:b/>
                <w:bCs/>
                <w:sz w:val="20"/>
                <w:szCs w:val="20"/>
              </w:rPr>
              <w:t>p-value</w:t>
            </w:r>
          </w:p>
        </w:tc>
        <w:tc>
          <w:tcPr>
            <w:tcW w:w="0" w:type="auto"/>
            <w:tcBorders>
              <w:top w:val="single" w:sz="6" w:space="0" w:color="000000"/>
              <w:left w:val="nil"/>
              <w:bottom w:val="single" w:sz="6" w:space="0" w:color="000000"/>
              <w:right w:val="nil"/>
            </w:tcBorders>
            <w:tcMar>
              <w:top w:w="60" w:type="dxa"/>
              <w:left w:w="100" w:type="dxa"/>
              <w:bottom w:w="60" w:type="dxa"/>
              <w:right w:w="100" w:type="dxa"/>
            </w:tcMar>
          </w:tcPr>
          <w:p w14:paraId="672D859D" w14:textId="77777777" w:rsidR="00674279" w:rsidRDefault="00000000" w:rsidP="001E0A4E">
            <w:pPr>
              <w:spacing w:before="60" w:after="60" w:line="320" w:lineRule="auto"/>
              <w:jc w:val="both"/>
            </w:pPr>
            <w:r>
              <w:rPr>
                <w:rFonts w:eastAsia="Times New Roman"/>
                <w:b/>
                <w:bCs/>
                <w:sz w:val="20"/>
                <w:szCs w:val="20"/>
              </w:rPr>
              <w:t>Cohen's d</w:t>
            </w:r>
          </w:p>
        </w:tc>
      </w:tr>
      <w:tr w:rsidR="00674279" w14:paraId="0B90B87D" w14:textId="77777777">
        <w:tc>
          <w:tcPr>
            <w:tcW w:w="0" w:type="auto"/>
            <w:tcBorders>
              <w:top w:val="nil"/>
              <w:left w:val="nil"/>
              <w:bottom w:val="nil"/>
              <w:right w:val="nil"/>
            </w:tcBorders>
            <w:tcMar>
              <w:top w:w="60" w:type="dxa"/>
              <w:left w:w="100" w:type="dxa"/>
              <w:bottom w:w="60" w:type="dxa"/>
              <w:right w:w="100" w:type="dxa"/>
            </w:tcMar>
          </w:tcPr>
          <w:p w14:paraId="3BE07301" w14:textId="77777777" w:rsidR="00674279" w:rsidRDefault="00000000" w:rsidP="001E0A4E">
            <w:pPr>
              <w:spacing w:before="60" w:after="60" w:line="320" w:lineRule="auto"/>
              <w:jc w:val="both"/>
            </w:pPr>
            <w:r>
              <w:rPr>
                <w:rFonts w:eastAsia="Times New Roman"/>
                <w:sz w:val="20"/>
                <w:szCs w:val="20"/>
              </w:rPr>
              <w:t xml:space="preserve">Pre-exercise </w:t>
            </w:r>
            <w:r>
              <w:rPr>
                <w:rFonts w:eastAsia="Times New Roman"/>
                <w:sz w:val="20"/>
                <w:szCs w:val="20"/>
              </w:rPr>
              <w:lastRenderedPageBreak/>
              <w:t>Average (2 h)</w:t>
            </w:r>
          </w:p>
        </w:tc>
        <w:tc>
          <w:tcPr>
            <w:tcW w:w="0" w:type="auto"/>
            <w:tcBorders>
              <w:top w:val="nil"/>
              <w:left w:val="nil"/>
              <w:bottom w:val="nil"/>
              <w:right w:val="nil"/>
            </w:tcBorders>
            <w:tcMar>
              <w:top w:w="60" w:type="dxa"/>
              <w:left w:w="100" w:type="dxa"/>
              <w:bottom w:w="60" w:type="dxa"/>
              <w:right w:w="100" w:type="dxa"/>
            </w:tcMar>
          </w:tcPr>
          <w:p w14:paraId="2CA8D225" w14:textId="77777777" w:rsidR="00674279" w:rsidRDefault="00000000" w:rsidP="001E0A4E">
            <w:pPr>
              <w:spacing w:before="60" w:after="60" w:line="320" w:lineRule="auto"/>
              <w:jc w:val="both"/>
            </w:pPr>
            <w:r>
              <w:rPr>
                <w:rFonts w:eastAsia="Times New Roman"/>
                <w:sz w:val="20"/>
                <w:szCs w:val="20"/>
              </w:rPr>
              <w:lastRenderedPageBreak/>
              <w:t>148.7 ± 18.5</w:t>
            </w:r>
          </w:p>
        </w:tc>
        <w:tc>
          <w:tcPr>
            <w:tcW w:w="0" w:type="auto"/>
            <w:tcBorders>
              <w:top w:val="nil"/>
              <w:left w:val="nil"/>
              <w:bottom w:val="nil"/>
              <w:right w:val="nil"/>
            </w:tcBorders>
            <w:tcMar>
              <w:top w:w="60" w:type="dxa"/>
              <w:left w:w="100" w:type="dxa"/>
              <w:bottom w:w="60" w:type="dxa"/>
              <w:right w:w="100" w:type="dxa"/>
            </w:tcMar>
          </w:tcPr>
          <w:p w14:paraId="639294AE" w14:textId="77777777" w:rsidR="00674279" w:rsidRDefault="00000000" w:rsidP="001E0A4E">
            <w:pPr>
              <w:spacing w:before="60" w:after="60" w:line="320" w:lineRule="auto"/>
              <w:jc w:val="both"/>
            </w:pPr>
            <w:r>
              <w:rPr>
                <w:rFonts w:eastAsia="Times New Roman"/>
                <w:sz w:val="20"/>
                <w:szCs w:val="20"/>
              </w:rPr>
              <w:t>136.1 ± 20.0</w:t>
            </w:r>
          </w:p>
        </w:tc>
        <w:tc>
          <w:tcPr>
            <w:tcW w:w="0" w:type="auto"/>
            <w:tcBorders>
              <w:top w:val="nil"/>
              <w:left w:val="nil"/>
              <w:bottom w:val="nil"/>
              <w:right w:val="nil"/>
            </w:tcBorders>
            <w:tcMar>
              <w:top w:w="60" w:type="dxa"/>
              <w:left w:w="100" w:type="dxa"/>
              <w:bottom w:w="60" w:type="dxa"/>
              <w:right w:w="100" w:type="dxa"/>
            </w:tcMar>
          </w:tcPr>
          <w:p w14:paraId="095EBCBE" w14:textId="77777777" w:rsidR="00674279" w:rsidRDefault="00000000" w:rsidP="001E0A4E">
            <w:pPr>
              <w:spacing w:before="60" w:after="60" w:line="320" w:lineRule="auto"/>
              <w:jc w:val="both"/>
            </w:pPr>
            <w:r>
              <w:rPr>
                <w:rFonts w:eastAsia="Times New Roman"/>
                <w:sz w:val="20"/>
                <w:szCs w:val="20"/>
              </w:rPr>
              <w:t>3.51</w:t>
            </w:r>
          </w:p>
        </w:tc>
        <w:tc>
          <w:tcPr>
            <w:tcW w:w="0" w:type="auto"/>
            <w:tcBorders>
              <w:top w:val="nil"/>
              <w:left w:val="nil"/>
              <w:bottom w:val="nil"/>
              <w:right w:val="nil"/>
            </w:tcBorders>
            <w:tcMar>
              <w:top w:w="60" w:type="dxa"/>
              <w:left w:w="100" w:type="dxa"/>
              <w:bottom w:w="60" w:type="dxa"/>
              <w:right w:w="100" w:type="dxa"/>
            </w:tcMar>
          </w:tcPr>
          <w:p w14:paraId="127B7D39" w14:textId="77777777" w:rsidR="00674279" w:rsidRDefault="00000000" w:rsidP="001E0A4E">
            <w:pPr>
              <w:spacing w:before="60" w:after="60" w:line="320" w:lineRule="auto"/>
              <w:jc w:val="both"/>
            </w:pPr>
            <w:r>
              <w:rPr>
                <w:rFonts w:eastAsia="Times New Roman"/>
                <w:sz w:val="20"/>
                <w:szCs w:val="20"/>
              </w:rPr>
              <w:t>&lt;0.001</w:t>
            </w:r>
          </w:p>
        </w:tc>
        <w:tc>
          <w:tcPr>
            <w:tcW w:w="0" w:type="auto"/>
            <w:tcBorders>
              <w:top w:val="nil"/>
              <w:left w:val="nil"/>
              <w:bottom w:val="nil"/>
              <w:right w:val="nil"/>
            </w:tcBorders>
            <w:tcMar>
              <w:top w:w="60" w:type="dxa"/>
              <w:left w:w="100" w:type="dxa"/>
              <w:bottom w:w="60" w:type="dxa"/>
              <w:right w:w="100" w:type="dxa"/>
            </w:tcMar>
          </w:tcPr>
          <w:p w14:paraId="267FB007" w14:textId="77777777" w:rsidR="00674279" w:rsidRDefault="00000000" w:rsidP="001E0A4E">
            <w:pPr>
              <w:spacing w:before="60" w:after="60" w:line="320" w:lineRule="auto"/>
              <w:jc w:val="both"/>
            </w:pPr>
            <w:r>
              <w:rPr>
                <w:rFonts w:eastAsia="Times New Roman"/>
                <w:sz w:val="20"/>
                <w:szCs w:val="20"/>
              </w:rPr>
              <w:t>0.65</w:t>
            </w:r>
          </w:p>
        </w:tc>
      </w:tr>
      <w:tr w:rsidR="00674279" w14:paraId="648B7D20" w14:textId="77777777">
        <w:tc>
          <w:tcPr>
            <w:tcW w:w="0" w:type="auto"/>
            <w:tcBorders>
              <w:top w:val="nil"/>
              <w:left w:val="nil"/>
              <w:bottom w:val="nil"/>
              <w:right w:val="nil"/>
            </w:tcBorders>
            <w:tcMar>
              <w:top w:w="60" w:type="dxa"/>
              <w:left w:w="100" w:type="dxa"/>
              <w:bottom w:w="60" w:type="dxa"/>
              <w:right w:w="100" w:type="dxa"/>
            </w:tcMar>
          </w:tcPr>
          <w:p w14:paraId="4A0252E0" w14:textId="77777777" w:rsidR="00674279" w:rsidRDefault="00000000" w:rsidP="001E0A4E">
            <w:pPr>
              <w:spacing w:before="60" w:after="60" w:line="320" w:lineRule="auto"/>
              <w:jc w:val="both"/>
            </w:pPr>
            <w:r>
              <w:rPr>
                <w:rFonts w:eastAsia="Times New Roman"/>
                <w:sz w:val="20"/>
                <w:szCs w:val="20"/>
              </w:rPr>
              <w:t>Pre-exercise Maximum (2 h)</w:t>
            </w:r>
          </w:p>
        </w:tc>
        <w:tc>
          <w:tcPr>
            <w:tcW w:w="0" w:type="auto"/>
            <w:tcBorders>
              <w:top w:val="nil"/>
              <w:left w:val="nil"/>
              <w:bottom w:val="nil"/>
              <w:right w:val="nil"/>
            </w:tcBorders>
            <w:tcMar>
              <w:top w:w="60" w:type="dxa"/>
              <w:left w:w="100" w:type="dxa"/>
              <w:bottom w:w="60" w:type="dxa"/>
              <w:right w:w="100" w:type="dxa"/>
            </w:tcMar>
          </w:tcPr>
          <w:p w14:paraId="56322F72" w14:textId="77777777" w:rsidR="00674279" w:rsidRDefault="00000000" w:rsidP="001E0A4E">
            <w:pPr>
              <w:spacing w:before="60" w:after="60" w:line="320" w:lineRule="auto"/>
              <w:jc w:val="both"/>
            </w:pPr>
            <w:r>
              <w:rPr>
                <w:rFonts w:eastAsia="Times New Roman"/>
                <w:sz w:val="20"/>
                <w:szCs w:val="20"/>
              </w:rPr>
              <w:t>174.0 ± 25.9</w:t>
            </w:r>
          </w:p>
        </w:tc>
        <w:tc>
          <w:tcPr>
            <w:tcW w:w="0" w:type="auto"/>
            <w:tcBorders>
              <w:top w:val="nil"/>
              <w:left w:val="nil"/>
              <w:bottom w:val="nil"/>
              <w:right w:val="nil"/>
            </w:tcBorders>
            <w:tcMar>
              <w:top w:w="60" w:type="dxa"/>
              <w:left w:w="100" w:type="dxa"/>
              <w:bottom w:w="60" w:type="dxa"/>
              <w:right w:w="100" w:type="dxa"/>
            </w:tcMar>
          </w:tcPr>
          <w:p w14:paraId="5E52FA9C" w14:textId="77777777" w:rsidR="00674279" w:rsidRDefault="00000000" w:rsidP="001E0A4E">
            <w:pPr>
              <w:spacing w:before="60" w:after="60" w:line="320" w:lineRule="auto"/>
              <w:jc w:val="both"/>
            </w:pPr>
            <w:r>
              <w:rPr>
                <w:rFonts w:eastAsia="Times New Roman"/>
                <w:sz w:val="20"/>
                <w:szCs w:val="20"/>
              </w:rPr>
              <w:t>161.4 ± 27.5</w:t>
            </w:r>
          </w:p>
        </w:tc>
        <w:tc>
          <w:tcPr>
            <w:tcW w:w="0" w:type="auto"/>
            <w:tcBorders>
              <w:top w:val="nil"/>
              <w:left w:val="nil"/>
              <w:bottom w:val="nil"/>
              <w:right w:val="nil"/>
            </w:tcBorders>
            <w:tcMar>
              <w:top w:w="60" w:type="dxa"/>
              <w:left w:w="100" w:type="dxa"/>
              <w:bottom w:w="60" w:type="dxa"/>
              <w:right w:w="100" w:type="dxa"/>
            </w:tcMar>
          </w:tcPr>
          <w:p w14:paraId="3065167A" w14:textId="77777777" w:rsidR="00674279" w:rsidRDefault="00000000" w:rsidP="001E0A4E">
            <w:pPr>
              <w:spacing w:before="60" w:after="60" w:line="320" w:lineRule="auto"/>
              <w:jc w:val="both"/>
            </w:pPr>
            <w:r>
              <w:rPr>
                <w:rFonts w:eastAsia="Times New Roman"/>
                <w:sz w:val="20"/>
                <w:szCs w:val="20"/>
              </w:rPr>
              <w:t>2.52</w:t>
            </w:r>
          </w:p>
        </w:tc>
        <w:tc>
          <w:tcPr>
            <w:tcW w:w="0" w:type="auto"/>
            <w:tcBorders>
              <w:top w:val="nil"/>
              <w:left w:val="nil"/>
              <w:bottom w:val="nil"/>
              <w:right w:val="nil"/>
            </w:tcBorders>
            <w:tcMar>
              <w:top w:w="60" w:type="dxa"/>
              <w:left w:w="100" w:type="dxa"/>
              <w:bottom w:w="60" w:type="dxa"/>
              <w:right w:w="100" w:type="dxa"/>
            </w:tcMar>
          </w:tcPr>
          <w:p w14:paraId="311C1E10" w14:textId="77777777" w:rsidR="00674279" w:rsidRDefault="00000000" w:rsidP="001E0A4E">
            <w:pPr>
              <w:spacing w:before="60" w:after="60" w:line="320" w:lineRule="auto"/>
              <w:jc w:val="both"/>
            </w:pPr>
            <w:r>
              <w:rPr>
                <w:rFonts w:eastAsia="Times New Roman"/>
                <w:sz w:val="20"/>
                <w:szCs w:val="20"/>
              </w:rPr>
              <w:t>0.013</w:t>
            </w:r>
          </w:p>
        </w:tc>
        <w:tc>
          <w:tcPr>
            <w:tcW w:w="0" w:type="auto"/>
            <w:tcBorders>
              <w:top w:val="nil"/>
              <w:left w:val="nil"/>
              <w:bottom w:val="nil"/>
              <w:right w:val="nil"/>
            </w:tcBorders>
            <w:tcMar>
              <w:top w:w="60" w:type="dxa"/>
              <w:left w:w="100" w:type="dxa"/>
              <w:bottom w:w="60" w:type="dxa"/>
              <w:right w:w="100" w:type="dxa"/>
            </w:tcMar>
          </w:tcPr>
          <w:p w14:paraId="1EBA1A31" w14:textId="77777777" w:rsidR="00674279" w:rsidRDefault="00000000" w:rsidP="001E0A4E">
            <w:pPr>
              <w:spacing w:before="60" w:after="60" w:line="320" w:lineRule="auto"/>
              <w:jc w:val="both"/>
            </w:pPr>
            <w:r>
              <w:rPr>
                <w:rFonts w:eastAsia="Times New Roman"/>
                <w:sz w:val="20"/>
                <w:szCs w:val="20"/>
              </w:rPr>
              <w:t>0.47</w:t>
            </w:r>
          </w:p>
        </w:tc>
      </w:tr>
      <w:tr w:rsidR="00674279" w14:paraId="116B0376" w14:textId="77777777">
        <w:tc>
          <w:tcPr>
            <w:tcW w:w="0" w:type="auto"/>
            <w:tcBorders>
              <w:top w:val="nil"/>
              <w:left w:val="nil"/>
              <w:bottom w:val="nil"/>
              <w:right w:val="nil"/>
            </w:tcBorders>
            <w:tcMar>
              <w:top w:w="60" w:type="dxa"/>
              <w:left w:w="100" w:type="dxa"/>
              <w:bottom w:w="60" w:type="dxa"/>
              <w:right w:w="100" w:type="dxa"/>
            </w:tcMar>
          </w:tcPr>
          <w:p w14:paraId="564C1EB9" w14:textId="77777777" w:rsidR="00674279" w:rsidRDefault="00000000" w:rsidP="001E0A4E">
            <w:pPr>
              <w:spacing w:before="60" w:after="60" w:line="320" w:lineRule="auto"/>
              <w:jc w:val="both"/>
            </w:pPr>
            <w:r>
              <w:rPr>
                <w:rFonts w:eastAsia="Times New Roman"/>
                <w:sz w:val="20"/>
                <w:szCs w:val="20"/>
              </w:rPr>
              <w:t>During-exercise Average</w:t>
            </w:r>
          </w:p>
        </w:tc>
        <w:tc>
          <w:tcPr>
            <w:tcW w:w="0" w:type="auto"/>
            <w:tcBorders>
              <w:top w:val="nil"/>
              <w:left w:val="nil"/>
              <w:bottom w:val="nil"/>
              <w:right w:val="nil"/>
            </w:tcBorders>
            <w:tcMar>
              <w:top w:w="60" w:type="dxa"/>
              <w:left w:w="100" w:type="dxa"/>
              <w:bottom w:w="60" w:type="dxa"/>
              <w:right w:w="100" w:type="dxa"/>
            </w:tcMar>
          </w:tcPr>
          <w:p w14:paraId="414380D7" w14:textId="77777777" w:rsidR="00674279" w:rsidRDefault="00000000" w:rsidP="001E0A4E">
            <w:pPr>
              <w:spacing w:before="60" w:after="60" w:line="320" w:lineRule="auto"/>
              <w:jc w:val="both"/>
            </w:pPr>
            <w:r>
              <w:rPr>
                <w:rFonts w:eastAsia="Times New Roman"/>
                <w:sz w:val="20"/>
                <w:szCs w:val="20"/>
              </w:rPr>
              <w:t>206.4 ± 34.5</w:t>
            </w:r>
          </w:p>
        </w:tc>
        <w:tc>
          <w:tcPr>
            <w:tcW w:w="0" w:type="auto"/>
            <w:tcBorders>
              <w:top w:val="nil"/>
              <w:left w:val="nil"/>
              <w:bottom w:val="nil"/>
              <w:right w:val="nil"/>
            </w:tcBorders>
            <w:tcMar>
              <w:top w:w="60" w:type="dxa"/>
              <w:left w:w="100" w:type="dxa"/>
              <w:bottom w:w="60" w:type="dxa"/>
              <w:right w:w="100" w:type="dxa"/>
            </w:tcMar>
          </w:tcPr>
          <w:p w14:paraId="55B28595" w14:textId="77777777" w:rsidR="00674279" w:rsidRDefault="00000000" w:rsidP="001E0A4E">
            <w:pPr>
              <w:spacing w:before="60" w:after="60" w:line="320" w:lineRule="auto"/>
              <w:jc w:val="both"/>
            </w:pPr>
            <w:r>
              <w:rPr>
                <w:rFonts w:eastAsia="Times New Roman"/>
                <w:sz w:val="20"/>
                <w:szCs w:val="20"/>
              </w:rPr>
              <w:t>166.9 ± 33.2</w:t>
            </w:r>
          </w:p>
        </w:tc>
        <w:tc>
          <w:tcPr>
            <w:tcW w:w="0" w:type="auto"/>
            <w:tcBorders>
              <w:top w:val="nil"/>
              <w:left w:val="nil"/>
              <w:bottom w:val="nil"/>
              <w:right w:val="nil"/>
            </w:tcBorders>
            <w:tcMar>
              <w:top w:w="60" w:type="dxa"/>
              <w:left w:w="100" w:type="dxa"/>
              <w:bottom w:w="60" w:type="dxa"/>
              <w:right w:w="100" w:type="dxa"/>
            </w:tcMar>
          </w:tcPr>
          <w:p w14:paraId="3CBB77ED" w14:textId="77777777" w:rsidR="00674279" w:rsidRDefault="00000000" w:rsidP="001E0A4E">
            <w:pPr>
              <w:spacing w:before="60" w:after="60" w:line="320" w:lineRule="auto"/>
              <w:jc w:val="both"/>
            </w:pPr>
            <w:r>
              <w:rPr>
                <w:rFonts w:eastAsia="Times New Roman"/>
                <w:sz w:val="20"/>
                <w:szCs w:val="20"/>
              </w:rPr>
              <w:t>6.17</w:t>
            </w:r>
          </w:p>
        </w:tc>
        <w:tc>
          <w:tcPr>
            <w:tcW w:w="0" w:type="auto"/>
            <w:tcBorders>
              <w:top w:val="nil"/>
              <w:left w:val="nil"/>
              <w:bottom w:val="nil"/>
              <w:right w:val="nil"/>
            </w:tcBorders>
            <w:tcMar>
              <w:top w:w="60" w:type="dxa"/>
              <w:left w:w="100" w:type="dxa"/>
              <w:bottom w:w="60" w:type="dxa"/>
              <w:right w:w="100" w:type="dxa"/>
            </w:tcMar>
          </w:tcPr>
          <w:p w14:paraId="7EF48DEB" w14:textId="77777777" w:rsidR="00674279" w:rsidRDefault="00000000" w:rsidP="001E0A4E">
            <w:pPr>
              <w:spacing w:before="60" w:after="60" w:line="320" w:lineRule="auto"/>
              <w:jc w:val="both"/>
            </w:pPr>
            <w:r>
              <w:rPr>
                <w:rFonts w:eastAsia="Times New Roman"/>
                <w:sz w:val="20"/>
                <w:szCs w:val="20"/>
              </w:rPr>
              <w:t>&lt;0.001</w:t>
            </w:r>
          </w:p>
        </w:tc>
        <w:tc>
          <w:tcPr>
            <w:tcW w:w="0" w:type="auto"/>
            <w:tcBorders>
              <w:top w:val="nil"/>
              <w:left w:val="nil"/>
              <w:bottom w:val="nil"/>
              <w:right w:val="nil"/>
            </w:tcBorders>
            <w:tcMar>
              <w:top w:w="60" w:type="dxa"/>
              <w:left w:w="100" w:type="dxa"/>
              <w:bottom w:w="60" w:type="dxa"/>
              <w:right w:w="100" w:type="dxa"/>
            </w:tcMar>
          </w:tcPr>
          <w:p w14:paraId="06F573E0" w14:textId="77777777" w:rsidR="00674279" w:rsidRDefault="00000000" w:rsidP="001E0A4E">
            <w:pPr>
              <w:spacing w:before="60" w:after="60" w:line="320" w:lineRule="auto"/>
              <w:jc w:val="both"/>
            </w:pPr>
            <w:r>
              <w:rPr>
                <w:rFonts w:eastAsia="Times New Roman"/>
                <w:sz w:val="20"/>
                <w:szCs w:val="20"/>
              </w:rPr>
              <w:t>1.17</w:t>
            </w:r>
          </w:p>
        </w:tc>
      </w:tr>
      <w:tr w:rsidR="00674279" w14:paraId="5084C4E6" w14:textId="77777777">
        <w:tc>
          <w:tcPr>
            <w:tcW w:w="0" w:type="auto"/>
            <w:tcBorders>
              <w:top w:val="single" w:sz="6" w:space="0" w:color="000000"/>
              <w:left w:val="nil"/>
              <w:bottom w:val="single" w:sz="6" w:space="0" w:color="000000"/>
              <w:right w:val="nil"/>
            </w:tcBorders>
            <w:tcMar>
              <w:top w:w="60" w:type="dxa"/>
              <w:left w:w="100" w:type="dxa"/>
              <w:bottom w:w="60" w:type="dxa"/>
              <w:right w:w="100" w:type="dxa"/>
            </w:tcMar>
          </w:tcPr>
          <w:p w14:paraId="51708A5A" w14:textId="77777777" w:rsidR="00674279" w:rsidRDefault="00000000" w:rsidP="001E0A4E">
            <w:pPr>
              <w:spacing w:before="60" w:after="60" w:line="320" w:lineRule="auto"/>
              <w:jc w:val="both"/>
            </w:pPr>
            <w:r>
              <w:rPr>
                <w:rFonts w:eastAsia="Times New Roman"/>
                <w:sz w:val="20"/>
                <w:szCs w:val="20"/>
              </w:rPr>
              <w:t>During-exercise Maximum</w:t>
            </w:r>
          </w:p>
        </w:tc>
        <w:tc>
          <w:tcPr>
            <w:tcW w:w="0" w:type="auto"/>
            <w:tcBorders>
              <w:top w:val="single" w:sz="6" w:space="0" w:color="000000"/>
              <w:left w:val="nil"/>
              <w:bottom w:val="single" w:sz="6" w:space="0" w:color="000000"/>
              <w:right w:val="nil"/>
            </w:tcBorders>
            <w:tcMar>
              <w:top w:w="60" w:type="dxa"/>
              <w:left w:w="100" w:type="dxa"/>
              <w:bottom w:w="60" w:type="dxa"/>
              <w:right w:w="100" w:type="dxa"/>
            </w:tcMar>
          </w:tcPr>
          <w:p w14:paraId="65787948" w14:textId="77777777" w:rsidR="00674279" w:rsidRDefault="00000000" w:rsidP="001E0A4E">
            <w:pPr>
              <w:spacing w:before="60" w:after="60" w:line="320" w:lineRule="auto"/>
              <w:jc w:val="both"/>
            </w:pPr>
            <w:r>
              <w:rPr>
                <w:rFonts w:eastAsia="Times New Roman"/>
                <w:sz w:val="20"/>
                <w:szCs w:val="20"/>
              </w:rPr>
              <w:t>241.1 ± 43.3</w:t>
            </w:r>
          </w:p>
        </w:tc>
        <w:tc>
          <w:tcPr>
            <w:tcW w:w="0" w:type="auto"/>
            <w:tcBorders>
              <w:top w:val="single" w:sz="6" w:space="0" w:color="000000"/>
              <w:left w:val="nil"/>
              <w:bottom w:val="single" w:sz="6" w:space="0" w:color="000000"/>
              <w:right w:val="nil"/>
            </w:tcBorders>
            <w:tcMar>
              <w:top w:w="60" w:type="dxa"/>
              <w:left w:w="100" w:type="dxa"/>
              <w:bottom w:w="60" w:type="dxa"/>
              <w:right w:w="100" w:type="dxa"/>
            </w:tcMar>
          </w:tcPr>
          <w:p w14:paraId="59D1B026" w14:textId="77777777" w:rsidR="00674279" w:rsidRDefault="00000000" w:rsidP="001E0A4E">
            <w:pPr>
              <w:spacing w:before="60" w:after="60" w:line="320" w:lineRule="auto"/>
              <w:jc w:val="both"/>
            </w:pPr>
            <w:r>
              <w:rPr>
                <w:rFonts w:eastAsia="Times New Roman"/>
                <w:sz w:val="20"/>
                <w:szCs w:val="20"/>
              </w:rPr>
              <w:t>195.5 ± 38.5</w:t>
            </w:r>
          </w:p>
        </w:tc>
        <w:tc>
          <w:tcPr>
            <w:tcW w:w="0" w:type="auto"/>
            <w:tcBorders>
              <w:top w:val="single" w:sz="6" w:space="0" w:color="000000"/>
              <w:left w:val="nil"/>
              <w:bottom w:val="single" w:sz="6" w:space="0" w:color="000000"/>
              <w:right w:val="nil"/>
            </w:tcBorders>
            <w:tcMar>
              <w:top w:w="60" w:type="dxa"/>
              <w:left w:w="100" w:type="dxa"/>
              <w:bottom w:w="60" w:type="dxa"/>
              <w:right w:w="100" w:type="dxa"/>
            </w:tcMar>
          </w:tcPr>
          <w:p w14:paraId="5C5F7858" w14:textId="77777777" w:rsidR="00674279" w:rsidRDefault="00000000" w:rsidP="001E0A4E">
            <w:pPr>
              <w:spacing w:before="60" w:after="60" w:line="320" w:lineRule="auto"/>
              <w:jc w:val="both"/>
            </w:pPr>
            <w:r>
              <w:rPr>
                <w:rFonts w:eastAsia="Times New Roman"/>
                <w:sz w:val="20"/>
                <w:szCs w:val="20"/>
              </w:rPr>
              <w:t>5.81</w:t>
            </w:r>
          </w:p>
        </w:tc>
        <w:tc>
          <w:tcPr>
            <w:tcW w:w="0" w:type="auto"/>
            <w:tcBorders>
              <w:top w:val="single" w:sz="6" w:space="0" w:color="000000"/>
              <w:left w:val="nil"/>
              <w:bottom w:val="single" w:sz="6" w:space="0" w:color="000000"/>
              <w:right w:val="nil"/>
            </w:tcBorders>
            <w:tcMar>
              <w:top w:w="60" w:type="dxa"/>
              <w:left w:w="100" w:type="dxa"/>
              <w:bottom w:w="60" w:type="dxa"/>
              <w:right w:w="100" w:type="dxa"/>
            </w:tcMar>
          </w:tcPr>
          <w:p w14:paraId="5598C04D" w14:textId="77777777" w:rsidR="00674279" w:rsidRDefault="00000000" w:rsidP="001E0A4E">
            <w:pPr>
              <w:spacing w:before="60" w:after="60" w:line="320" w:lineRule="auto"/>
              <w:jc w:val="both"/>
            </w:pPr>
            <w:r>
              <w:rPr>
                <w:rFonts w:eastAsia="Times New Roman"/>
                <w:sz w:val="20"/>
                <w:szCs w:val="20"/>
              </w:rPr>
              <w:t>&lt;0.001</w:t>
            </w:r>
          </w:p>
        </w:tc>
        <w:tc>
          <w:tcPr>
            <w:tcW w:w="0" w:type="auto"/>
            <w:tcBorders>
              <w:top w:val="single" w:sz="6" w:space="0" w:color="000000"/>
              <w:left w:val="nil"/>
              <w:bottom w:val="single" w:sz="6" w:space="0" w:color="000000"/>
              <w:right w:val="nil"/>
            </w:tcBorders>
            <w:tcMar>
              <w:top w:w="60" w:type="dxa"/>
              <w:left w:w="100" w:type="dxa"/>
              <w:bottom w:w="60" w:type="dxa"/>
              <w:right w:w="100" w:type="dxa"/>
            </w:tcMar>
          </w:tcPr>
          <w:p w14:paraId="60163F3C" w14:textId="77777777" w:rsidR="00674279" w:rsidRDefault="00000000" w:rsidP="001E0A4E">
            <w:pPr>
              <w:spacing w:before="60" w:after="60" w:line="320" w:lineRule="auto"/>
              <w:jc w:val="both"/>
            </w:pPr>
            <w:r>
              <w:rPr>
                <w:rFonts w:eastAsia="Times New Roman"/>
                <w:sz w:val="20"/>
                <w:szCs w:val="20"/>
              </w:rPr>
              <w:t>1.11</w:t>
            </w:r>
          </w:p>
        </w:tc>
      </w:tr>
    </w:tbl>
    <w:p w14:paraId="10829F2C" w14:textId="77777777" w:rsidR="00674279" w:rsidRDefault="00674279" w:rsidP="001E0A4E">
      <w:pPr>
        <w:spacing w:line="480" w:lineRule="auto"/>
        <w:jc w:val="both"/>
      </w:pPr>
    </w:p>
    <w:p w14:paraId="7E2118DF" w14:textId="77777777" w:rsidR="00674279" w:rsidRPr="00DA0E47" w:rsidRDefault="00000000" w:rsidP="001E0A4E">
      <w:pPr>
        <w:pStyle w:val="2"/>
        <w:spacing w:before="120" w:after="0"/>
        <w:jc w:val="both"/>
        <w:rPr>
          <w:i w:val="0"/>
          <w:iCs w:val="0"/>
        </w:rPr>
      </w:pPr>
      <w:r w:rsidRPr="00DA0E47">
        <w:rPr>
          <w:i w:val="0"/>
          <w:iCs w:val="0"/>
        </w:rPr>
        <w:t>TABLE 4. Direct Comparison of Glucose Metrics: Race vs. Training by Performance Outcome</w:t>
      </w:r>
    </w:p>
    <w:p w14:paraId="56C42490" w14:textId="77777777" w:rsidR="00674279" w:rsidRPr="00DA0E47" w:rsidRDefault="00000000" w:rsidP="001E0A4E">
      <w:pPr>
        <w:spacing w:line="480" w:lineRule="auto"/>
        <w:jc w:val="both"/>
      </w:pPr>
      <w:r w:rsidRPr="00DA0E47">
        <w:rPr>
          <w:rFonts w:eastAsia="Times New Roman"/>
        </w:rPr>
        <w:t>Δ = race minus training mean. Positive values indicate higher glucose during race. Bold values indicate exceptionally large effects (d ≥ 2.5).</w:t>
      </w:r>
    </w:p>
    <w:p w14:paraId="3DBB8466" w14:textId="77777777" w:rsidR="00674279" w:rsidRDefault="00674279" w:rsidP="001E0A4E">
      <w:pPr>
        <w:spacing w:line="48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8"/>
        <w:gridCol w:w="1038"/>
        <w:gridCol w:w="763"/>
        <w:gridCol w:w="819"/>
        <w:gridCol w:w="1016"/>
        <w:gridCol w:w="1038"/>
        <w:gridCol w:w="663"/>
        <w:gridCol w:w="819"/>
        <w:gridCol w:w="1016"/>
      </w:tblGrid>
      <w:tr w:rsidR="00674279" w14:paraId="3F007E9C" w14:textId="77777777">
        <w:tc>
          <w:tcPr>
            <w:tcW w:w="0" w:type="auto"/>
            <w:tcBorders>
              <w:top w:val="single" w:sz="6" w:space="0" w:color="000000"/>
              <w:left w:val="nil"/>
              <w:bottom w:val="single" w:sz="6" w:space="0" w:color="000000"/>
              <w:right w:val="nil"/>
            </w:tcBorders>
            <w:tcMar>
              <w:top w:w="60" w:type="dxa"/>
              <w:left w:w="100" w:type="dxa"/>
              <w:bottom w:w="60" w:type="dxa"/>
              <w:right w:w="100" w:type="dxa"/>
            </w:tcMar>
          </w:tcPr>
          <w:p w14:paraId="5DD31FF5" w14:textId="77777777" w:rsidR="00674279" w:rsidRDefault="00674279" w:rsidP="001E0A4E">
            <w:pPr>
              <w:spacing w:before="60" w:after="60" w:line="320" w:lineRule="auto"/>
              <w:jc w:val="both"/>
            </w:pPr>
          </w:p>
        </w:tc>
        <w:tc>
          <w:tcPr>
            <w:tcW w:w="0" w:type="auto"/>
            <w:gridSpan w:val="4"/>
            <w:tcBorders>
              <w:top w:val="single" w:sz="6" w:space="0" w:color="000000"/>
              <w:left w:val="nil"/>
              <w:bottom w:val="single" w:sz="6" w:space="0" w:color="000000"/>
              <w:right w:val="nil"/>
            </w:tcBorders>
            <w:tcMar>
              <w:top w:w="60" w:type="dxa"/>
              <w:left w:w="100" w:type="dxa"/>
              <w:bottom w:w="60" w:type="dxa"/>
              <w:right w:w="100" w:type="dxa"/>
            </w:tcMar>
          </w:tcPr>
          <w:p w14:paraId="077DF138" w14:textId="77777777" w:rsidR="00674279" w:rsidRDefault="00000000" w:rsidP="001E0A4E">
            <w:pPr>
              <w:spacing w:before="60" w:after="60" w:line="320" w:lineRule="auto"/>
              <w:jc w:val="both"/>
            </w:pPr>
            <w:r>
              <w:rPr>
                <w:rFonts w:eastAsia="Times New Roman"/>
                <w:b/>
                <w:bCs/>
                <w:sz w:val="20"/>
                <w:szCs w:val="20"/>
              </w:rPr>
              <w:t>Successful Performance</w:t>
            </w:r>
          </w:p>
        </w:tc>
        <w:tc>
          <w:tcPr>
            <w:tcW w:w="0" w:type="auto"/>
            <w:gridSpan w:val="4"/>
            <w:tcBorders>
              <w:top w:val="single" w:sz="6" w:space="0" w:color="000000"/>
              <w:left w:val="nil"/>
              <w:bottom w:val="single" w:sz="6" w:space="0" w:color="000000"/>
              <w:right w:val="nil"/>
            </w:tcBorders>
            <w:tcMar>
              <w:top w:w="60" w:type="dxa"/>
              <w:left w:w="100" w:type="dxa"/>
              <w:bottom w:w="60" w:type="dxa"/>
              <w:right w:w="100" w:type="dxa"/>
            </w:tcMar>
          </w:tcPr>
          <w:p w14:paraId="059BA473" w14:textId="77777777" w:rsidR="00674279" w:rsidRDefault="00000000" w:rsidP="001E0A4E">
            <w:pPr>
              <w:spacing w:before="60" w:after="60" w:line="320" w:lineRule="auto"/>
              <w:jc w:val="both"/>
            </w:pPr>
            <w:r>
              <w:rPr>
                <w:rFonts w:eastAsia="Times New Roman"/>
                <w:b/>
                <w:bCs/>
                <w:sz w:val="20"/>
                <w:szCs w:val="20"/>
              </w:rPr>
              <w:t>Unsuccessful Performance</w:t>
            </w:r>
          </w:p>
        </w:tc>
      </w:tr>
      <w:tr w:rsidR="00674279" w14:paraId="1798451E" w14:textId="77777777">
        <w:tc>
          <w:tcPr>
            <w:tcW w:w="0" w:type="auto"/>
            <w:tcBorders>
              <w:top w:val="single" w:sz="6" w:space="0" w:color="000000"/>
              <w:left w:val="nil"/>
              <w:bottom w:val="single" w:sz="6" w:space="0" w:color="000000"/>
              <w:right w:val="nil"/>
            </w:tcBorders>
            <w:tcMar>
              <w:top w:w="60" w:type="dxa"/>
              <w:left w:w="100" w:type="dxa"/>
              <w:bottom w:w="60" w:type="dxa"/>
              <w:right w:w="100" w:type="dxa"/>
            </w:tcMar>
          </w:tcPr>
          <w:p w14:paraId="1105EE4E" w14:textId="77777777" w:rsidR="00674279" w:rsidRDefault="00000000" w:rsidP="001E0A4E">
            <w:pPr>
              <w:spacing w:before="60" w:after="60" w:line="320" w:lineRule="auto"/>
              <w:jc w:val="both"/>
            </w:pPr>
            <w:r>
              <w:rPr>
                <w:rFonts w:eastAsia="Times New Roman"/>
                <w:b/>
                <w:bCs/>
                <w:sz w:val="20"/>
                <w:szCs w:val="20"/>
              </w:rPr>
              <w:t>Glucose Metric</w:t>
            </w:r>
          </w:p>
        </w:tc>
        <w:tc>
          <w:tcPr>
            <w:tcW w:w="0" w:type="auto"/>
            <w:tcBorders>
              <w:top w:val="single" w:sz="6" w:space="0" w:color="000000"/>
              <w:left w:val="nil"/>
              <w:bottom w:val="single" w:sz="6" w:space="0" w:color="000000"/>
              <w:right w:val="nil"/>
            </w:tcBorders>
            <w:tcMar>
              <w:top w:w="60" w:type="dxa"/>
              <w:left w:w="100" w:type="dxa"/>
              <w:bottom w:w="60" w:type="dxa"/>
              <w:right w:w="100" w:type="dxa"/>
            </w:tcMar>
          </w:tcPr>
          <w:p w14:paraId="2B93F2B0" w14:textId="77777777" w:rsidR="00674279" w:rsidRDefault="00000000" w:rsidP="001E0A4E">
            <w:pPr>
              <w:spacing w:before="60" w:after="60" w:line="320" w:lineRule="auto"/>
              <w:jc w:val="both"/>
            </w:pPr>
            <w:r>
              <w:rPr>
                <w:rFonts w:eastAsia="Times New Roman"/>
                <w:b/>
                <w:bCs/>
                <w:sz w:val="20"/>
                <w:szCs w:val="20"/>
              </w:rPr>
              <w:t>Δ (mg/dL)</w:t>
            </w:r>
          </w:p>
        </w:tc>
        <w:tc>
          <w:tcPr>
            <w:tcW w:w="0" w:type="auto"/>
            <w:tcBorders>
              <w:top w:val="single" w:sz="6" w:space="0" w:color="000000"/>
              <w:left w:val="nil"/>
              <w:bottom w:val="single" w:sz="6" w:space="0" w:color="000000"/>
              <w:right w:val="nil"/>
            </w:tcBorders>
            <w:tcMar>
              <w:top w:w="60" w:type="dxa"/>
              <w:left w:w="100" w:type="dxa"/>
              <w:bottom w:w="60" w:type="dxa"/>
              <w:right w:w="100" w:type="dxa"/>
            </w:tcMar>
          </w:tcPr>
          <w:p w14:paraId="65D2274C" w14:textId="77777777" w:rsidR="00674279" w:rsidRDefault="00000000" w:rsidP="001E0A4E">
            <w:pPr>
              <w:spacing w:before="60" w:after="60" w:line="320" w:lineRule="auto"/>
              <w:jc w:val="both"/>
            </w:pPr>
            <w:r>
              <w:rPr>
                <w:rFonts w:eastAsia="Times New Roman"/>
                <w:b/>
                <w:bCs/>
                <w:sz w:val="20"/>
                <w:szCs w:val="20"/>
              </w:rPr>
              <w:t>t-stat</w:t>
            </w:r>
          </w:p>
        </w:tc>
        <w:tc>
          <w:tcPr>
            <w:tcW w:w="0" w:type="auto"/>
            <w:tcBorders>
              <w:top w:val="single" w:sz="6" w:space="0" w:color="000000"/>
              <w:left w:val="nil"/>
              <w:bottom w:val="single" w:sz="6" w:space="0" w:color="000000"/>
              <w:right w:val="nil"/>
            </w:tcBorders>
            <w:tcMar>
              <w:top w:w="60" w:type="dxa"/>
              <w:left w:w="100" w:type="dxa"/>
              <w:bottom w:w="60" w:type="dxa"/>
              <w:right w:w="100" w:type="dxa"/>
            </w:tcMar>
          </w:tcPr>
          <w:p w14:paraId="4A3A74E3" w14:textId="77777777" w:rsidR="00674279" w:rsidRDefault="00000000" w:rsidP="001E0A4E">
            <w:pPr>
              <w:spacing w:before="60" w:after="60" w:line="320" w:lineRule="auto"/>
              <w:jc w:val="both"/>
            </w:pPr>
            <w:r>
              <w:rPr>
                <w:rFonts w:eastAsia="Times New Roman"/>
                <w:b/>
                <w:bCs/>
                <w:sz w:val="20"/>
                <w:szCs w:val="20"/>
              </w:rPr>
              <w:t>p-value</w:t>
            </w:r>
          </w:p>
        </w:tc>
        <w:tc>
          <w:tcPr>
            <w:tcW w:w="0" w:type="auto"/>
            <w:tcBorders>
              <w:top w:val="single" w:sz="6" w:space="0" w:color="000000"/>
              <w:left w:val="nil"/>
              <w:bottom w:val="single" w:sz="6" w:space="0" w:color="000000"/>
              <w:right w:val="nil"/>
            </w:tcBorders>
            <w:tcMar>
              <w:top w:w="60" w:type="dxa"/>
              <w:left w:w="100" w:type="dxa"/>
              <w:bottom w:w="60" w:type="dxa"/>
              <w:right w:w="100" w:type="dxa"/>
            </w:tcMar>
          </w:tcPr>
          <w:p w14:paraId="3FA2FFFB" w14:textId="77777777" w:rsidR="00674279" w:rsidRDefault="00000000" w:rsidP="001E0A4E">
            <w:pPr>
              <w:spacing w:before="60" w:after="60" w:line="320" w:lineRule="auto"/>
              <w:jc w:val="both"/>
            </w:pPr>
            <w:r>
              <w:rPr>
                <w:rFonts w:eastAsia="Times New Roman"/>
                <w:b/>
                <w:bCs/>
                <w:sz w:val="20"/>
                <w:szCs w:val="20"/>
              </w:rPr>
              <w:t>Cohen's d</w:t>
            </w:r>
          </w:p>
        </w:tc>
        <w:tc>
          <w:tcPr>
            <w:tcW w:w="0" w:type="auto"/>
            <w:tcBorders>
              <w:top w:val="single" w:sz="6" w:space="0" w:color="000000"/>
              <w:left w:val="nil"/>
              <w:bottom w:val="single" w:sz="6" w:space="0" w:color="000000"/>
              <w:right w:val="nil"/>
            </w:tcBorders>
            <w:tcMar>
              <w:top w:w="60" w:type="dxa"/>
              <w:left w:w="100" w:type="dxa"/>
              <w:bottom w:w="60" w:type="dxa"/>
              <w:right w:w="100" w:type="dxa"/>
            </w:tcMar>
          </w:tcPr>
          <w:p w14:paraId="6B432004" w14:textId="77777777" w:rsidR="00674279" w:rsidRDefault="00000000" w:rsidP="001E0A4E">
            <w:pPr>
              <w:spacing w:before="60" w:after="60" w:line="320" w:lineRule="auto"/>
              <w:jc w:val="both"/>
            </w:pPr>
            <w:r>
              <w:rPr>
                <w:rFonts w:eastAsia="Times New Roman"/>
                <w:b/>
                <w:bCs/>
                <w:sz w:val="20"/>
                <w:szCs w:val="20"/>
              </w:rPr>
              <w:t>Δ (mg/dL)</w:t>
            </w:r>
          </w:p>
        </w:tc>
        <w:tc>
          <w:tcPr>
            <w:tcW w:w="0" w:type="auto"/>
            <w:tcBorders>
              <w:top w:val="single" w:sz="6" w:space="0" w:color="000000"/>
              <w:left w:val="nil"/>
              <w:bottom w:val="single" w:sz="6" w:space="0" w:color="000000"/>
              <w:right w:val="nil"/>
            </w:tcBorders>
            <w:tcMar>
              <w:top w:w="60" w:type="dxa"/>
              <w:left w:w="100" w:type="dxa"/>
              <w:bottom w:w="60" w:type="dxa"/>
              <w:right w:w="100" w:type="dxa"/>
            </w:tcMar>
          </w:tcPr>
          <w:p w14:paraId="09301F82" w14:textId="77777777" w:rsidR="00674279" w:rsidRDefault="00000000" w:rsidP="001E0A4E">
            <w:pPr>
              <w:spacing w:before="60" w:after="60" w:line="320" w:lineRule="auto"/>
              <w:jc w:val="both"/>
            </w:pPr>
            <w:r>
              <w:rPr>
                <w:rFonts w:eastAsia="Times New Roman"/>
                <w:b/>
                <w:bCs/>
                <w:sz w:val="20"/>
                <w:szCs w:val="20"/>
              </w:rPr>
              <w:t>t-stat</w:t>
            </w:r>
          </w:p>
        </w:tc>
        <w:tc>
          <w:tcPr>
            <w:tcW w:w="0" w:type="auto"/>
            <w:tcBorders>
              <w:top w:val="single" w:sz="6" w:space="0" w:color="000000"/>
              <w:left w:val="nil"/>
              <w:bottom w:val="single" w:sz="6" w:space="0" w:color="000000"/>
              <w:right w:val="nil"/>
            </w:tcBorders>
            <w:tcMar>
              <w:top w:w="60" w:type="dxa"/>
              <w:left w:w="100" w:type="dxa"/>
              <w:bottom w:w="60" w:type="dxa"/>
              <w:right w:w="100" w:type="dxa"/>
            </w:tcMar>
          </w:tcPr>
          <w:p w14:paraId="163580D7" w14:textId="77777777" w:rsidR="00674279" w:rsidRDefault="00000000" w:rsidP="001E0A4E">
            <w:pPr>
              <w:spacing w:before="60" w:after="60" w:line="320" w:lineRule="auto"/>
              <w:jc w:val="both"/>
            </w:pPr>
            <w:r>
              <w:rPr>
                <w:rFonts w:eastAsia="Times New Roman"/>
                <w:b/>
                <w:bCs/>
                <w:sz w:val="20"/>
                <w:szCs w:val="20"/>
              </w:rPr>
              <w:t>p-value</w:t>
            </w:r>
          </w:p>
        </w:tc>
        <w:tc>
          <w:tcPr>
            <w:tcW w:w="0" w:type="auto"/>
            <w:tcBorders>
              <w:top w:val="single" w:sz="6" w:space="0" w:color="000000"/>
              <w:left w:val="nil"/>
              <w:bottom w:val="single" w:sz="6" w:space="0" w:color="000000"/>
              <w:right w:val="nil"/>
            </w:tcBorders>
            <w:tcMar>
              <w:top w:w="60" w:type="dxa"/>
              <w:left w:w="100" w:type="dxa"/>
              <w:bottom w:w="60" w:type="dxa"/>
              <w:right w:w="100" w:type="dxa"/>
            </w:tcMar>
          </w:tcPr>
          <w:p w14:paraId="1D9C7DF1" w14:textId="77777777" w:rsidR="00674279" w:rsidRDefault="00000000" w:rsidP="001E0A4E">
            <w:pPr>
              <w:spacing w:before="60" w:after="60" w:line="320" w:lineRule="auto"/>
              <w:jc w:val="both"/>
            </w:pPr>
            <w:r>
              <w:rPr>
                <w:rFonts w:eastAsia="Times New Roman"/>
                <w:b/>
                <w:bCs/>
                <w:sz w:val="20"/>
                <w:szCs w:val="20"/>
              </w:rPr>
              <w:t>Cohen's d</w:t>
            </w:r>
          </w:p>
        </w:tc>
      </w:tr>
      <w:tr w:rsidR="00674279" w14:paraId="27FF319E" w14:textId="77777777">
        <w:tc>
          <w:tcPr>
            <w:tcW w:w="0" w:type="auto"/>
            <w:tcBorders>
              <w:top w:val="nil"/>
              <w:left w:val="nil"/>
              <w:bottom w:val="nil"/>
              <w:right w:val="nil"/>
            </w:tcBorders>
            <w:tcMar>
              <w:top w:w="60" w:type="dxa"/>
              <w:left w:w="100" w:type="dxa"/>
              <w:bottom w:w="60" w:type="dxa"/>
              <w:right w:w="100" w:type="dxa"/>
            </w:tcMar>
          </w:tcPr>
          <w:p w14:paraId="47A05D13" w14:textId="77777777" w:rsidR="00674279" w:rsidRDefault="00000000" w:rsidP="001E0A4E">
            <w:pPr>
              <w:spacing w:before="60" w:after="60" w:line="320" w:lineRule="auto"/>
              <w:jc w:val="both"/>
            </w:pPr>
            <w:r>
              <w:rPr>
                <w:rFonts w:eastAsia="Times New Roman"/>
                <w:sz w:val="20"/>
                <w:szCs w:val="20"/>
              </w:rPr>
              <w:t>Pre-exercise Average (2 h)</w:t>
            </w:r>
          </w:p>
        </w:tc>
        <w:tc>
          <w:tcPr>
            <w:tcW w:w="0" w:type="auto"/>
            <w:tcBorders>
              <w:top w:val="nil"/>
              <w:left w:val="nil"/>
              <w:bottom w:val="nil"/>
              <w:right w:val="nil"/>
            </w:tcBorders>
            <w:tcMar>
              <w:top w:w="60" w:type="dxa"/>
              <w:left w:w="100" w:type="dxa"/>
              <w:bottom w:w="60" w:type="dxa"/>
              <w:right w:w="100" w:type="dxa"/>
            </w:tcMar>
          </w:tcPr>
          <w:p w14:paraId="6E1F7F30" w14:textId="77777777" w:rsidR="00674279" w:rsidRDefault="00000000" w:rsidP="001E0A4E">
            <w:pPr>
              <w:spacing w:before="60" w:after="60" w:line="320" w:lineRule="auto"/>
              <w:jc w:val="both"/>
            </w:pPr>
            <w:r>
              <w:rPr>
                <w:rFonts w:eastAsia="Times New Roman"/>
                <w:sz w:val="20"/>
                <w:szCs w:val="20"/>
              </w:rPr>
              <w:t>+37.7</w:t>
            </w:r>
          </w:p>
        </w:tc>
        <w:tc>
          <w:tcPr>
            <w:tcW w:w="0" w:type="auto"/>
            <w:tcBorders>
              <w:top w:val="nil"/>
              <w:left w:val="nil"/>
              <w:bottom w:val="nil"/>
              <w:right w:val="nil"/>
            </w:tcBorders>
            <w:tcMar>
              <w:top w:w="60" w:type="dxa"/>
              <w:left w:w="100" w:type="dxa"/>
              <w:bottom w:w="60" w:type="dxa"/>
              <w:right w:w="100" w:type="dxa"/>
            </w:tcMar>
          </w:tcPr>
          <w:p w14:paraId="495F33BF" w14:textId="77777777" w:rsidR="00674279" w:rsidRDefault="00000000" w:rsidP="001E0A4E">
            <w:pPr>
              <w:spacing w:before="60" w:after="60" w:line="320" w:lineRule="auto"/>
              <w:jc w:val="both"/>
            </w:pPr>
            <w:r>
              <w:rPr>
                <w:rFonts w:eastAsia="Times New Roman"/>
                <w:sz w:val="20"/>
                <w:szCs w:val="20"/>
              </w:rPr>
              <w:t>−16.82</w:t>
            </w:r>
          </w:p>
        </w:tc>
        <w:tc>
          <w:tcPr>
            <w:tcW w:w="0" w:type="auto"/>
            <w:tcBorders>
              <w:top w:val="nil"/>
              <w:left w:val="nil"/>
              <w:bottom w:val="nil"/>
              <w:right w:val="nil"/>
            </w:tcBorders>
            <w:tcMar>
              <w:top w:w="60" w:type="dxa"/>
              <w:left w:w="100" w:type="dxa"/>
              <w:bottom w:w="60" w:type="dxa"/>
              <w:right w:w="100" w:type="dxa"/>
            </w:tcMar>
          </w:tcPr>
          <w:p w14:paraId="64510206" w14:textId="77777777" w:rsidR="00674279" w:rsidRDefault="00000000" w:rsidP="001E0A4E">
            <w:pPr>
              <w:spacing w:before="60" w:after="60" w:line="320" w:lineRule="auto"/>
              <w:jc w:val="both"/>
            </w:pPr>
            <w:r>
              <w:rPr>
                <w:rFonts w:eastAsia="Times New Roman"/>
                <w:sz w:val="20"/>
                <w:szCs w:val="20"/>
              </w:rPr>
              <w:t>&lt;0.001</w:t>
            </w:r>
          </w:p>
        </w:tc>
        <w:tc>
          <w:tcPr>
            <w:tcW w:w="0" w:type="auto"/>
            <w:tcBorders>
              <w:top w:val="nil"/>
              <w:left w:val="nil"/>
              <w:bottom w:val="nil"/>
              <w:right w:val="nil"/>
            </w:tcBorders>
            <w:tcMar>
              <w:top w:w="60" w:type="dxa"/>
              <w:left w:w="100" w:type="dxa"/>
              <w:bottom w:w="60" w:type="dxa"/>
              <w:right w:w="100" w:type="dxa"/>
            </w:tcMar>
          </w:tcPr>
          <w:p w14:paraId="12C77FA4" w14:textId="77777777" w:rsidR="00674279" w:rsidRDefault="00000000" w:rsidP="001E0A4E">
            <w:pPr>
              <w:spacing w:before="60" w:after="60" w:line="320" w:lineRule="auto"/>
              <w:jc w:val="both"/>
            </w:pPr>
            <w:r>
              <w:rPr>
                <w:rFonts w:eastAsia="Times New Roman"/>
                <w:sz w:val="20"/>
                <w:szCs w:val="20"/>
              </w:rPr>
              <w:t>2.18</w:t>
            </w:r>
          </w:p>
        </w:tc>
        <w:tc>
          <w:tcPr>
            <w:tcW w:w="0" w:type="auto"/>
            <w:tcBorders>
              <w:top w:val="nil"/>
              <w:left w:val="nil"/>
              <w:bottom w:val="nil"/>
              <w:right w:val="nil"/>
            </w:tcBorders>
            <w:tcMar>
              <w:top w:w="60" w:type="dxa"/>
              <w:left w:w="100" w:type="dxa"/>
              <w:bottom w:w="60" w:type="dxa"/>
              <w:right w:w="100" w:type="dxa"/>
            </w:tcMar>
          </w:tcPr>
          <w:p w14:paraId="0A7879CB" w14:textId="77777777" w:rsidR="00674279" w:rsidRDefault="00000000" w:rsidP="001E0A4E">
            <w:pPr>
              <w:spacing w:before="60" w:after="60" w:line="320" w:lineRule="auto"/>
              <w:jc w:val="both"/>
            </w:pPr>
            <w:r>
              <w:rPr>
                <w:rFonts w:eastAsia="Times New Roman"/>
                <w:sz w:val="20"/>
                <w:szCs w:val="20"/>
              </w:rPr>
              <w:t>+16.1</w:t>
            </w:r>
          </w:p>
        </w:tc>
        <w:tc>
          <w:tcPr>
            <w:tcW w:w="0" w:type="auto"/>
            <w:tcBorders>
              <w:top w:val="nil"/>
              <w:left w:val="nil"/>
              <w:bottom w:val="nil"/>
              <w:right w:val="nil"/>
            </w:tcBorders>
            <w:tcMar>
              <w:top w:w="60" w:type="dxa"/>
              <w:left w:w="100" w:type="dxa"/>
              <w:bottom w:w="60" w:type="dxa"/>
              <w:right w:w="100" w:type="dxa"/>
            </w:tcMar>
          </w:tcPr>
          <w:p w14:paraId="4AE51199" w14:textId="77777777" w:rsidR="00674279" w:rsidRDefault="00000000" w:rsidP="001E0A4E">
            <w:pPr>
              <w:spacing w:before="60" w:after="60" w:line="320" w:lineRule="auto"/>
              <w:jc w:val="both"/>
            </w:pPr>
            <w:r>
              <w:rPr>
                <w:rFonts w:eastAsia="Times New Roman"/>
                <w:sz w:val="20"/>
                <w:szCs w:val="20"/>
              </w:rPr>
              <w:t>−3.33</w:t>
            </w:r>
          </w:p>
        </w:tc>
        <w:tc>
          <w:tcPr>
            <w:tcW w:w="0" w:type="auto"/>
            <w:tcBorders>
              <w:top w:val="nil"/>
              <w:left w:val="nil"/>
              <w:bottom w:val="nil"/>
              <w:right w:val="nil"/>
            </w:tcBorders>
            <w:tcMar>
              <w:top w:w="60" w:type="dxa"/>
              <w:left w:w="100" w:type="dxa"/>
              <w:bottom w:w="60" w:type="dxa"/>
              <w:right w:w="100" w:type="dxa"/>
            </w:tcMar>
          </w:tcPr>
          <w:p w14:paraId="50E104E8" w14:textId="77777777" w:rsidR="00674279" w:rsidRDefault="00000000" w:rsidP="001E0A4E">
            <w:pPr>
              <w:spacing w:before="60" w:after="60" w:line="320" w:lineRule="auto"/>
              <w:jc w:val="both"/>
            </w:pPr>
            <w:r>
              <w:rPr>
                <w:rFonts w:eastAsia="Times New Roman"/>
                <w:sz w:val="20"/>
                <w:szCs w:val="20"/>
              </w:rPr>
              <w:t>&lt;0.001</w:t>
            </w:r>
          </w:p>
        </w:tc>
        <w:tc>
          <w:tcPr>
            <w:tcW w:w="0" w:type="auto"/>
            <w:tcBorders>
              <w:top w:val="nil"/>
              <w:left w:val="nil"/>
              <w:bottom w:val="nil"/>
              <w:right w:val="nil"/>
            </w:tcBorders>
            <w:tcMar>
              <w:top w:w="60" w:type="dxa"/>
              <w:left w:w="100" w:type="dxa"/>
              <w:bottom w:w="60" w:type="dxa"/>
              <w:right w:w="100" w:type="dxa"/>
            </w:tcMar>
          </w:tcPr>
          <w:p w14:paraId="63860874" w14:textId="77777777" w:rsidR="00674279" w:rsidRDefault="00000000" w:rsidP="001E0A4E">
            <w:pPr>
              <w:spacing w:before="60" w:after="60" w:line="320" w:lineRule="auto"/>
              <w:jc w:val="both"/>
            </w:pPr>
            <w:r>
              <w:rPr>
                <w:rFonts w:eastAsia="Times New Roman"/>
                <w:sz w:val="20"/>
                <w:szCs w:val="20"/>
              </w:rPr>
              <w:t>0.81</w:t>
            </w:r>
          </w:p>
        </w:tc>
      </w:tr>
      <w:tr w:rsidR="00674279" w14:paraId="1F45E51C" w14:textId="77777777">
        <w:tc>
          <w:tcPr>
            <w:tcW w:w="0" w:type="auto"/>
            <w:tcBorders>
              <w:top w:val="nil"/>
              <w:left w:val="nil"/>
              <w:bottom w:val="nil"/>
              <w:right w:val="nil"/>
            </w:tcBorders>
            <w:tcMar>
              <w:top w:w="60" w:type="dxa"/>
              <w:left w:w="100" w:type="dxa"/>
              <w:bottom w:w="60" w:type="dxa"/>
              <w:right w:w="100" w:type="dxa"/>
            </w:tcMar>
          </w:tcPr>
          <w:p w14:paraId="041F4E52" w14:textId="77777777" w:rsidR="00674279" w:rsidRDefault="00000000" w:rsidP="001E0A4E">
            <w:pPr>
              <w:spacing w:before="60" w:after="60" w:line="320" w:lineRule="auto"/>
              <w:jc w:val="both"/>
            </w:pPr>
            <w:r>
              <w:rPr>
                <w:rFonts w:eastAsia="Times New Roman"/>
                <w:sz w:val="20"/>
                <w:szCs w:val="20"/>
              </w:rPr>
              <w:t>Pre-exercise Maximum (2 h)</w:t>
            </w:r>
          </w:p>
        </w:tc>
        <w:tc>
          <w:tcPr>
            <w:tcW w:w="0" w:type="auto"/>
            <w:tcBorders>
              <w:top w:val="nil"/>
              <w:left w:val="nil"/>
              <w:bottom w:val="nil"/>
              <w:right w:val="nil"/>
            </w:tcBorders>
            <w:tcMar>
              <w:top w:w="60" w:type="dxa"/>
              <w:left w:w="100" w:type="dxa"/>
              <w:bottom w:w="60" w:type="dxa"/>
              <w:right w:w="100" w:type="dxa"/>
            </w:tcMar>
          </w:tcPr>
          <w:p w14:paraId="400C640D" w14:textId="77777777" w:rsidR="00674279" w:rsidRDefault="00000000" w:rsidP="001E0A4E">
            <w:pPr>
              <w:spacing w:before="60" w:after="60" w:line="320" w:lineRule="auto"/>
              <w:jc w:val="both"/>
            </w:pPr>
            <w:r>
              <w:rPr>
                <w:rFonts w:eastAsia="Times New Roman"/>
                <w:sz w:val="20"/>
                <w:szCs w:val="20"/>
              </w:rPr>
              <w:t>+45.1</w:t>
            </w:r>
          </w:p>
        </w:tc>
        <w:tc>
          <w:tcPr>
            <w:tcW w:w="0" w:type="auto"/>
            <w:tcBorders>
              <w:top w:val="nil"/>
              <w:left w:val="nil"/>
              <w:bottom w:val="nil"/>
              <w:right w:val="nil"/>
            </w:tcBorders>
            <w:tcMar>
              <w:top w:w="60" w:type="dxa"/>
              <w:left w:w="100" w:type="dxa"/>
              <w:bottom w:w="60" w:type="dxa"/>
              <w:right w:w="100" w:type="dxa"/>
            </w:tcMar>
          </w:tcPr>
          <w:p w14:paraId="36670C68" w14:textId="77777777" w:rsidR="00674279" w:rsidRDefault="00000000" w:rsidP="001E0A4E">
            <w:pPr>
              <w:spacing w:before="60" w:after="60" w:line="320" w:lineRule="auto"/>
              <w:jc w:val="both"/>
            </w:pPr>
            <w:r>
              <w:rPr>
                <w:rFonts w:eastAsia="Times New Roman"/>
                <w:sz w:val="20"/>
                <w:szCs w:val="20"/>
              </w:rPr>
              <w:t>−15.58</w:t>
            </w:r>
          </w:p>
        </w:tc>
        <w:tc>
          <w:tcPr>
            <w:tcW w:w="0" w:type="auto"/>
            <w:tcBorders>
              <w:top w:val="nil"/>
              <w:left w:val="nil"/>
              <w:bottom w:val="nil"/>
              <w:right w:val="nil"/>
            </w:tcBorders>
            <w:tcMar>
              <w:top w:w="60" w:type="dxa"/>
              <w:left w:w="100" w:type="dxa"/>
              <w:bottom w:w="60" w:type="dxa"/>
              <w:right w:w="100" w:type="dxa"/>
            </w:tcMar>
          </w:tcPr>
          <w:p w14:paraId="2A53C8C6" w14:textId="77777777" w:rsidR="00674279" w:rsidRDefault="00000000" w:rsidP="001E0A4E">
            <w:pPr>
              <w:spacing w:before="60" w:after="60" w:line="320" w:lineRule="auto"/>
              <w:jc w:val="both"/>
            </w:pPr>
            <w:r>
              <w:rPr>
                <w:rFonts w:eastAsia="Times New Roman"/>
                <w:sz w:val="20"/>
                <w:szCs w:val="20"/>
              </w:rPr>
              <w:t>&lt;0.001</w:t>
            </w:r>
          </w:p>
        </w:tc>
        <w:tc>
          <w:tcPr>
            <w:tcW w:w="0" w:type="auto"/>
            <w:tcBorders>
              <w:top w:val="nil"/>
              <w:left w:val="nil"/>
              <w:bottom w:val="nil"/>
              <w:right w:val="nil"/>
            </w:tcBorders>
            <w:tcMar>
              <w:top w:w="60" w:type="dxa"/>
              <w:left w:w="100" w:type="dxa"/>
              <w:bottom w:w="60" w:type="dxa"/>
              <w:right w:w="100" w:type="dxa"/>
            </w:tcMar>
          </w:tcPr>
          <w:p w14:paraId="6B4A2958" w14:textId="77777777" w:rsidR="00674279" w:rsidRDefault="00000000" w:rsidP="001E0A4E">
            <w:pPr>
              <w:spacing w:before="60" w:after="60" w:line="320" w:lineRule="auto"/>
              <w:jc w:val="both"/>
            </w:pPr>
            <w:r>
              <w:rPr>
                <w:rFonts w:eastAsia="Times New Roman"/>
                <w:sz w:val="20"/>
                <w:szCs w:val="20"/>
              </w:rPr>
              <w:t>1.97</w:t>
            </w:r>
          </w:p>
        </w:tc>
        <w:tc>
          <w:tcPr>
            <w:tcW w:w="0" w:type="auto"/>
            <w:tcBorders>
              <w:top w:val="nil"/>
              <w:left w:val="nil"/>
              <w:bottom w:val="nil"/>
              <w:right w:val="nil"/>
            </w:tcBorders>
            <w:tcMar>
              <w:top w:w="60" w:type="dxa"/>
              <w:left w:w="100" w:type="dxa"/>
              <w:bottom w:w="60" w:type="dxa"/>
              <w:right w:w="100" w:type="dxa"/>
            </w:tcMar>
          </w:tcPr>
          <w:p w14:paraId="172117DF" w14:textId="77777777" w:rsidR="00674279" w:rsidRDefault="00000000" w:rsidP="001E0A4E">
            <w:pPr>
              <w:spacing w:before="60" w:after="60" w:line="320" w:lineRule="auto"/>
              <w:jc w:val="both"/>
            </w:pPr>
            <w:r>
              <w:rPr>
                <w:rFonts w:eastAsia="Times New Roman"/>
                <w:sz w:val="20"/>
                <w:szCs w:val="20"/>
              </w:rPr>
              <w:t>+19.7</w:t>
            </w:r>
          </w:p>
        </w:tc>
        <w:tc>
          <w:tcPr>
            <w:tcW w:w="0" w:type="auto"/>
            <w:tcBorders>
              <w:top w:val="nil"/>
              <w:left w:val="nil"/>
              <w:bottom w:val="nil"/>
              <w:right w:val="nil"/>
            </w:tcBorders>
            <w:tcMar>
              <w:top w:w="60" w:type="dxa"/>
              <w:left w:w="100" w:type="dxa"/>
              <w:bottom w:w="60" w:type="dxa"/>
              <w:right w:w="100" w:type="dxa"/>
            </w:tcMar>
          </w:tcPr>
          <w:p w14:paraId="6B9D8613" w14:textId="77777777" w:rsidR="00674279" w:rsidRDefault="00000000" w:rsidP="001E0A4E">
            <w:pPr>
              <w:spacing w:before="60" w:after="60" w:line="320" w:lineRule="auto"/>
              <w:jc w:val="both"/>
            </w:pPr>
            <w:r>
              <w:rPr>
                <w:rFonts w:eastAsia="Times New Roman"/>
                <w:sz w:val="20"/>
                <w:szCs w:val="20"/>
              </w:rPr>
              <w:t>−2.97</w:t>
            </w:r>
          </w:p>
        </w:tc>
        <w:tc>
          <w:tcPr>
            <w:tcW w:w="0" w:type="auto"/>
            <w:tcBorders>
              <w:top w:val="nil"/>
              <w:left w:val="nil"/>
              <w:bottom w:val="nil"/>
              <w:right w:val="nil"/>
            </w:tcBorders>
            <w:tcMar>
              <w:top w:w="60" w:type="dxa"/>
              <w:left w:w="100" w:type="dxa"/>
              <w:bottom w:w="60" w:type="dxa"/>
              <w:right w:w="100" w:type="dxa"/>
            </w:tcMar>
          </w:tcPr>
          <w:p w14:paraId="152D6C5C" w14:textId="77777777" w:rsidR="00674279" w:rsidRDefault="00000000" w:rsidP="001E0A4E">
            <w:pPr>
              <w:spacing w:before="60" w:after="60" w:line="320" w:lineRule="auto"/>
              <w:jc w:val="both"/>
            </w:pPr>
            <w:r>
              <w:rPr>
                <w:rFonts w:eastAsia="Times New Roman"/>
                <w:sz w:val="20"/>
                <w:szCs w:val="20"/>
              </w:rPr>
              <w:t>0.004</w:t>
            </w:r>
          </w:p>
        </w:tc>
        <w:tc>
          <w:tcPr>
            <w:tcW w:w="0" w:type="auto"/>
            <w:tcBorders>
              <w:top w:val="nil"/>
              <w:left w:val="nil"/>
              <w:bottom w:val="nil"/>
              <w:right w:val="nil"/>
            </w:tcBorders>
            <w:tcMar>
              <w:top w:w="60" w:type="dxa"/>
              <w:left w:w="100" w:type="dxa"/>
              <w:bottom w:w="60" w:type="dxa"/>
              <w:right w:w="100" w:type="dxa"/>
            </w:tcMar>
          </w:tcPr>
          <w:p w14:paraId="0AA2B6A7" w14:textId="77777777" w:rsidR="00674279" w:rsidRDefault="00000000" w:rsidP="001E0A4E">
            <w:pPr>
              <w:spacing w:before="60" w:after="60" w:line="320" w:lineRule="auto"/>
              <w:jc w:val="both"/>
            </w:pPr>
            <w:r>
              <w:rPr>
                <w:rFonts w:eastAsia="Times New Roman"/>
                <w:sz w:val="20"/>
                <w:szCs w:val="20"/>
              </w:rPr>
              <w:t>0.72</w:t>
            </w:r>
          </w:p>
        </w:tc>
      </w:tr>
      <w:tr w:rsidR="00674279" w14:paraId="3E33F73B" w14:textId="77777777">
        <w:tc>
          <w:tcPr>
            <w:tcW w:w="0" w:type="auto"/>
            <w:tcBorders>
              <w:top w:val="nil"/>
              <w:left w:val="nil"/>
              <w:bottom w:val="nil"/>
              <w:right w:val="nil"/>
            </w:tcBorders>
            <w:tcMar>
              <w:top w:w="60" w:type="dxa"/>
              <w:left w:w="100" w:type="dxa"/>
              <w:bottom w:w="60" w:type="dxa"/>
              <w:right w:w="100" w:type="dxa"/>
            </w:tcMar>
          </w:tcPr>
          <w:p w14:paraId="57731EBD" w14:textId="77777777" w:rsidR="00674279" w:rsidRDefault="00000000" w:rsidP="001E0A4E">
            <w:pPr>
              <w:spacing w:before="60" w:after="60" w:line="320" w:lineRule="auto"/>
              <w:jc w:val="both"/>
            </w:pPr>
            <w:r>
              <w:rPr>
                <w:rFonts w:eastAsia="Times New Roman"/>
                <w:sz w:val="20"/>
                <w:szCs w:val="20"/>
              </w:rPr>
              <w:t>During-exercise Average</w:t>
            </w:r>
          </w:p>
        </w:tc>
        <w:tc>
          <w:tcPr>
            <w:tcW w:w="0" w:type="auto"/>
            <w:tcBorders>
              <w:top w:val="nil"/>
              <w:left w:val="nil"/>
              <w:bottom w:val="nil"/>
              <w:right w:val="nil"/>
            </w:tcBorders>
            <w:tcMar>
              <w:top w:w="60" w:type="dxa"/>
              <w:left w:w="100" w:type="dxa"/>
              <w:bottom w:w="60" w:type="dxa"/>
              <w:right w:w="100" w:type="dxa"/>
            </w:tcMar>
          </w:tcPr>
          <w:p w14:paraId="766F2202" w14:textId="77777777" w:rsidR="00674279" w:rsidRDefault="00000000" w:rsidP="001E0A4E">
            <w:pPr>
              <w:spacing w:before="60" w:after="60" w:line="320" w:lineRule="auto"/>
              <w:jc w:val="both"/>
            </w:pPr>
            <w:r>
              <w:rPr>
                <w:rFonts w:eastAsia="Times New Roman"/>
                <w:b/>
                <w:bCs/>
                <w:sz w:val="20"/>
                <w:szCs w:val="20"/>
              </w:rPr>
              <w:t>+81.4</w:t>
            </w:r>
          </w:p>
        </w:tc>
        <w:tc>
          <w:tcPr>
            <w:tcW w:w="0" w:type="auto"/>
            <w:tcBorders>
              <w:top w:val="nil"/>
              <w:left w:val="nil"/>
              <w:bottom w:val="nil"/>
              <w:right w:val="nil"/>
            </w:tcBorders>
            <w:tcMar>
              <w:top w:w="60" w:type="dxa"/>
              <w:left w:w="100" w:type="dxa"/>
              <w:bottom w:w="60" w:type="dxa"/>
              <w:right w:w="100" w:type="dxa"/>
            </w:tcMar>
          </w:tcPr>
          <w:p w14:paraId="20788F67" w14:textId="77777777" w:rsidR="00674279" w:rsidRDefault="00000000" w:rsidP="001E0A4E">
            <w:pPr>
              <w:spacing w:before="60" w:after="60" w:line="320" w:lineRule="auto"/>
              <w:jc w:val="both"/>
            </w:pPr>
            <w:r>
              <w:rPr>
                <w:rFonts w:eastAsia="Times New Roman"/>
                <w:sz w:val="20"/>
                <w:szCs w:val="20"/>
              </w:rPr>
              <w:t>−21.71</w:t>
            </w:r>
          </w:p>
        </w:tc>
        <w:tc>
          <w:tcPr>
            <w:tcW w:w="0" w:type="auto"/>
            <w:tcBorders>
              <w:top w:val="nil"/>
              <w:left w:val="nil"/>
              <w:bottom w:val="nil"/>
              <w:right w:val="nil"/>
            </w:tcBorders>
            <w:tcMar>
              <w:top w:w="60" w:type="dxa"/>
              <w:left w:w="100" w:type="dxa"/>
              <w:bottom w:w="60" w:type="dxa"/>
              <w:right w:w="100" w:type="dxa"/>
            </w:tcMar>
          </w:tcPr>
          <w:p w14:paraId="4C2232D1" w14:textId="77777777" w:rsidR="00674279" w:rsidRDefault="00000000" w:rsidP="001E0A4E">
            <w:pPr>
              <w:spacing w:before="60" w:after="60" w:line="320" w:lineRule="auto"/>
              <w:jc w:val="both"/>
            </w:pPr>
            <w:r>
              <w:rPr>
                <w:rFonts w:eastAsia="Times New Roman"/>
                <w:sz w:val="20"/>
                <w:szCs w:val="20"/>
              </w:rPr>
              <w:t>&lt;0.001</w:t>
            </w:r>
          </w:p>
        </w:tc>
        <w:tc>
          <w:tcPr>
            <w:tcW w:w="0" w:type="auto"/>
            <w:tcBorders>
              <w:top w:val="nil"/>
              <w:left w:val="nil"/>
              <w:bottom w:val="nil"/>
              <w:right w:val="nil"/>
            </w:tcBorders>
            <w:tcMar>
              <w:top w:w="60" w:type="dxa"/>
              <w:left w:w="100" w:type="dxa"/>
              <w:bottom w:w="60" w:type="dxa"/>
              <w:right w:w="100" w:type="dxa"/>
            </w:tcMar>
          </w:tcPr>
          <w:p w14:paraId="570451F1" w14:textId="77777777" w:rsidR="00674279" w:rsidRDefault="00000000" w:rsidP="001E0A4E">
            <w:pPr>
              <w:spacing w:before="60" w:after="60" w:line="320" w:lineRule="auto"/>
              <w:jc w:val="both"/>
            </w:pPr>
            <w:r>
              <w:rPr>
                <w:rFonts w:eastAsia="Times New Roman"/>
                <w:b/>
                <w:bCs/>
                <w:sz w:val="20"/>
                <w:szCs w:val="20"/>
              </w:rPr>
              <w:t>2.72</w:t>
            </w:r>
          </w:p>
        </w:tc>
        <w:tc>
          <w:tcPr>
            <w:tcW w:w="0" w:type="auto"/>
            <w:tcBorders>
              <w:top w:val="nil"/>
              <w:left w:val="nil"/>
              <w:bottom w:val="nil"/>
              <w:right w:val="nil"/>
            </w:tcBorders>
            <w:tcMar>
              <w:top w:w="60" w:type="dxa"/>
              <w:left w:w="100" w:type="dxa"/>
              <w:bottom w:w="60" w:type="dxa"/>
              <w:right w:w="100" w:type="dxa"/>
            </w:tcMar>
          </w:tcPr>
          <w:p w14:paraId="5BC87878" w14:textId="77777777" w:rsidR="00674279" w:rsidRDefault="00000000" w:rsidP="001E0A4E">
            <w:pPr>
              <w:spacing w:before="60" w:after="60" w:line="320" w:lineRule="auto"/>
              <w:jc w:val="both"/>
            </w:pPr>
            <w:r>
              <w:rPr>
                <w:rFonts w:eastAsia="Times New Roman"/>
                <w:sz w:val="20"/>
                <w:szCs w:val="20"/>
              </w:rPr>
              <w:t>+21.9</w:t>
            </w:r>
          </w:p>
        </w:tc>
        <w:tc>
          <w:tcPr>
            <w:tcW w:w="0" w:type="auto"/>
            <w:tcBorders>
              <w:top w:val="nil"/>
              <w:left w:val="nil"/>
              <w:bottom w:val="nil"/>
              <w:right w:val="nil"/>
            </w:tcBorders>
            <w:tcMar>
              <w:top w:w="60" w:type="dxa"/>
              <w:left w:w="100" w:type="dxa"/>
              <w:bottom w:w="60" w:type="dxa"/>
              <w:right w:w="100" w:type="dxa"/>
            </w:tcMar>
          </w:tcPr>
          <w:p w14:paraId="34C27F57" w14:textId="77777777" w:rsidR="00674279" w:rsidRDefault="00000000" w:rsidP="001E0A4E">
            <w:pPr>
              <w:spacing w:before="60" w:after="60" w:line="320" w:lineRule="auto"/>
              <w:jc w:val="both"/>
            </w:pPr>
            <w:r>
              <w:rPr>
                <w:rFonts w:eastAsia="Times New Roman"/>
                <w:sz w:val="20"/>
                <w:szCs w:val="20"/>
              </w:rPr>
              <w:t>−2.61</w:t>
            </w:r>
          </w:p>
        </w:tc>
        <w:tc>
          <w:tcPr>
            <w:tcW w:w="0" w:type="auto"/>
            <w:tcBorders>
              <w:top w:val="nil"/>
              <w:left w:val="nil"/>
              <w:bottom w:val="nil"/>
              <w:right w:val="nil"/>
            </w:tcBorders>
            <w:tcMar>
              <w:top w:w="60" w:type="dxa"/>
              <w:left w:w="100" w:type="dxa"/>
              <w:bottom w:w="60" w:type="dxa"/>
              <w:right w:w="100" w:type="dxa"/>
            </w:tcMar>
          </w:tcPr>
          <w:p w14:paraId="249C0E17" w14:textId="77777777" w:rsidR="00674279" w:rsidRDefault="00000000" w:rsidP="001E0A4E">
            <w:pPr>
              <w:spacing w:before="60" w:after="60" w:line="320" w:lineRule="auto"/>
              <w:jc w:val="both"/>
            </w:pPr>
            <w:r>
              <w:rPr>
                <w:rFonts w:eastAsia="Times New Roman"/>
                <w:sz w:val="20"/>
                <w:szCs w:val="20"/>
              </w:rPr>
              <w:t>0.011</w:t>
            </w:r>
          </w:p>
        </w:tc>
        <w:tc>
          <w:tcPr>
            <w:tcW w:w="0" w:type="auto"/>
            <w:tcBorders>
              <w:top w:val="nil"/>
              <w:left w:val="nil"/>
              <w:bottom w:val="nil"/>
              <w:right w:val="nil"/>
            </w:tcBorders>
            <w:tcMar>
              <w:top w:w="60" w:type="dxa"/>
              <w:left w:w="100" w:type="dxa"/>
              <w:bottom w:w="60" w:type="dxa"/>
              <w:right w:w="100" w:type="dxa"/>
            </w:tcMar>
          </w:tcPr>
          <w:p w14:paraId="11D547E6" w14:textId="77777777" w:rsidR="00674279" w:rsidRDefault="00000000" w:rsidP="001E0A4E">
            <w:pPr>
              <w:spacing w:before="60" w:after="60" w:line="320" w:lineRule="auto"/>
              <w:jc w:val="both"/>
            </w:pPr>
            <w:r>
              <w:rPr>
                <w:rFonts w:eastAsia="Times New Roman"/>
                <w:sz w:val="20"/>
                <w:szCs w:val="20"/>
              </w:rPr>
              <w:t>0.63</w:t>
            </w:r>
          </w:p>
        </w:tc>
      </w:tr>
      <w:tr w:rsidR="00674279" w14:paraId="6554A27F" w14:textId="77777777">
        <w:tc>
          <w:tcPr>
            <w:tcW w:w="0" w:type="auto"/>
            <w:tcBorders>
              <w:top w:val="single" w:sz="6" w:space="0" w:color="000000"/>
              <w:left w:val="nil"/>
              <w:bottom w:val="single" w:sz="6" w:space="0" w:color="000000"/>
              <w:right w:val="nil"/>
            </w:tcBorders>
            <w:tcMar>
              <w:top w:w="60" w:type="dxa"/>
              <w:left w:w="100" w:type="dxa"/>
              <w:bottom w:w="60" w:type="dxa"/>
              <w:right w:w="100" w:type="dxa"/>
            </w:tcMar>
          </w:tcPr>
          <w:p w14:paraId="6AA06082" w14:textId="77777777" w:rsidR="00674279" w:rsidRDefault="00000000" w:rsidP="001E0A4E">
            <w:pPr>
              <w:spacing w:before="60" w:after="60" w:line="320" w:lineRule="auto"/>
              <w:jc w:val="both"/>
            </w:pPr>
            <w:r>
              <w:rPr>
                <w:rFonts w:eastAsia="Times New Roman"/>
                <w:sz w:val="20"/>
                <w:szCs w:val="20"/>
              </w:rPr>
              <w:t>During-exercise Maximum</w:t>
            </w:r>
          </w:p>
        </w:tc>
        <w:tc>
          <w:tcPr>
            <w:tcW w:w="0" w:type="auto"/>
            <w:tcBorders>
              <w:top w:val="single" w:sz="6" w:space="0" w:color="000000"/>
              <w:left w:val="nil"/>
              <w:bottom w:val="single" w:sz="6" w:space="0" w:color="000000"/>
              <w:right w:val="nil"/>
            </w:tcBorders>
            <w:tcMar>
              <w:top w:w="60" w:type="dxa"/>
              <w:left w:w="100" w:type="dxa"/>
              <w:bottom w:w="60" w:type="dxa"/>
              <w:right w:w="100" w:type="dxa"/>
            </w:tcMar>
          </w:tcPr>
          <w:p w14:paraId="25A33F68" w14:textId="77777777" w:rsidR="00674279" w:rsidRDefault="00000000" w:rsidP="001E0A4E">
            <w:pPr>
              <w:spacing w:before="60" w:after="60" w:line="320" w:lineRule="auto"/>
              <w:jc w:val="both"/>
            </w:pPr>
            <w:r>
              <w:rPr>
                <w:rFonts w:eastAsia="Times New Roman"/>
                <w:sz w:val="20"/>
                <w:szCs w:val="20"/>
              </w:rPr>
              <w:t>+103.1</w:t>
            </w:r>
          </w:p>
        </w:tc>
        <w:tc>
          <w:tcPr>
            <w:tcW w:w="0" w:type="auto"/>
            <w:tcBorders>
              <w:top w:val="single" w:sz="6" w:space="0" w:color="000000"/>
              <w:left w:val="nil"/>
              <w:bottom w:val="single" w:sz="6" w:space="0" w:color="000000"/>
              <w:right w:val="nil"/>
            </w:tcBorders>
            <w:tcMar>
              <w:top w:w="60" w:type="dxa"/>
              <w:left w:w="100" w:type="dxa"/>
              <w:bottom w:w="60" w:type="dxa"/>
              <w:right w:w="100" w:type="dxa"/>
            </w:tcMar>
          </w:tcPr>
          <w:p w14:paraId="02C44D01" w14:textId="77777777" w:rsidR="00674279" w:rsidRDefault="00000000" w:rsidP="001E0A4E">
            <w:pPr>
              <w:spacing w:before="60" w:after="60" w:line="320" w:lineRule="auto"/>
              <w:jc w:val="both"/>
            </w:pPr>
            <w:r>
              <w:rPr>
                <w:rFonts w:eastAsia="Times New Roman"/>
                <w:sz w:val="20"/>
                <w:szCs w:val="20"/>
              </w:rPr>
              <w:t>−23.75</w:t>
            </w:r>
          </w:p>
        </w:tc>
        <w:tc>
          <w:tcPr>
            <w:tcW w:w="0" w:type="auto"/>
            <w:tcBorders>
              <w:top w:val="single" w:sz="6" w:space="0" w:color="000000"/>
              <w:left w:val="nil"/>
              <w:bottom w:val="single" w:sz="6" w:space="0" w:color="000000"/>
              <w:right w:val="nil"/>
            </w:tcBorders>
            <w:tcMar>
              <w:top w:w="60" w:type="dxa"/>
              <w:left w:w="100" w:type="dxa"/>
              <w:bottom w:w="60" w:type="dxa"/>
              <w:right w:w="100" w:type="dxa"/>
            </w:tcMar>
          </w:tcPr>
          <w:p w14:paraId="3FCAD922" w14:textId="77777777" w:rsidR="00674279" w:rsidRDefault="00000000" w:rsidP="001E0A4E">
            <w:pPr>
              <w:spacing w:before="60" w:after="60" w:line="320" w:lineRule="auto"/>
              <w:jc w:val="both"/>
            </w:pPr>
            <w:r>
              <w:rPr>
                <w:rFonts w:eastAsia="Times New Roman"/>
                <w:sz w:val="20"/>
                <w:szCs w:val="20"/>
              </w:rPr>
              <w:t>&lt;0.001</w:t>
            </w:r>
          </w:p>
        </w:tc>
        <w:tc>
          <w:tcPr>
            <w:tcW w:w="0" w:type="auto"/>
            <w:tcBorders>
              <w:top w:val="single" w:sz="6" w:space="0" w:color="000000"/>
              <w:left w:val="nil"/>
              <w:bottom w:val="single" w:sz="6" w:space="0" w:color="000000"/>
              <w:right w:val="nil"/>
            </w:tcBorders>
            <w:tcMar>
              <w:top w:w="60" w:type="dxa"/>
              <w:left w:w="100" w:type="dxa"/>
              <w:bottom w:w="60" w:type="dxa"/>
              <w:right w:w="100" w:type="dxa"/>
            </w:tcMar>
          </w:tcPr>
          <w:p w14:paraId="63F8C8EA" w14:textId="77777777" w:rsidR="00674279" w:rsidRDefault="00000000" w:rsidP="001E0A4E">
            <w:pPr>
              <w:spacing w:before="60" w:after="60" w:line="320" w:lineRule="auto"/>
              <w:jc w:val="both"/>
            </w:pPr>
            <w:r>
              <w:rPr>
                <w:rFonts w:eastAsia="Times New Roman"/>
                <w:sz w:val="20"/>
                <w:szCs w:val="20"/>
              </w:rPr>
              <w:t>2.89</w:t>
            </w:r>
          </w:p>
        </w:tc>
        <w:tc>
          <w:tcPr>
            <w:tcW w:w="0" w:type="auto"/>
            <w:tcBorders>
              <w:top w:val="single" w:sz="6" w:space="0" w:color="000000"/>
              <w:left w:val="nil"/>
              <w:bottom w:val="single" w:sz="6" w:space="0" w:color="000000"/>
              <w:right w:val="nil"/>
            </w:tcBorders>
            <w:tcMar>
              <w:top w:w="60" w:type="dxa"/>
              <w:left w:w="100" w:type="dxa"/>
              <w:bottom w:w="60" w:type="dxa"/>
              <w:right w:w="100" w:type="dxa"/>
            </w:tcMar>
          </w:tcPr>
          <w:p w14:paraId="5A40A880" w14:textId="77777777" w:rsidR="00674279" w:rsidRDefault="00000000" w:rsidP="001E0A4E">
            <w:pPr>
              <w:spacing w:before="60" w:after="60" w:line="320" w:lineRule="auto"/>
              <w:jc w:val="both"/>
            </w:pPr>
            <w:r>
              <w:rPr>
                <w:rFonts w:eastAsia="Times New Roman"/>
                <w:sz w:val="20"/>
                <w:szCs w:val="20"/>
              </w:rPr>
              <w:t>+22.4</w:t>
            </w:r>
          </w:p>
        </w:tc>
        <w:tc>
          <w:tcPr>
            <w:tcW w:w="0" w:type="auto"/>
            <w:tcBorders>
              <w:top w:val="single" w:sz="6" w:space="0" w:color="000000"/>
              <w:left w:val="nil"/>
              <w:bottom w:val="single" w:sz="6" w:space="0" w:color="000000"/>
              <w:right w:val="nil"/>
            </w:tcBorders>
            <w:tcMar>
              <w:top w:w="60" w:type="dxa"/>
              <w:left w:w="100" w:type="dxa"/>
              <w:bottom w:w="60" w:type="dxa"/>
              <w:right w:w="100" w:type="dxa"/>
            </w:tcMar>
          </w:tcPr>
          <w:p w14:paraId="7D8D1B20" w14:textId="77777777" w:rsidR="00674279" w:rsidRDefault="00000000" w:rsidP="001E0A4E">
            <w:pPr>
              <w:spacing w:before="60" w:after="60" w:line="320" w:lineRule="auto"/>
              <w:jc w:val="both"/>
            </w:pPr>
            <w:r>
              <w:rPr>
                <w:rFonts w:eastAsia="Times New Roman"/>
                <w:sz w:val="20"/>
                <w:szCs w:val="20"/>
              </w:rPr>
              <w:t>−2.22</w:t>
            </w:r>
          </w:p>
        </w:tc>
        <w:tc>
          <w:tcPr>
            <w:tcW w:w="0" w:type="auto"/>
            <w:tcBorders>
              <w:top w:val="single" w:sz="6" w:space="0" w:color="000000"/>
              <w:left w:val="nil"/>
              <w:bottom w:val="single" w:sz="6" w:space="0" w:color="000000"/>
              <w:right w:val="nil"/>
            </w:tcBorders>
            <w:tcMar>
              <w:top w:w="60" w:type="dxa"/>
              <w:left w:w="100" w:type="dxa"/>
              <w:bottom w:w="60" w:type="dxa"/>
              <w:right w:w="100" w:type="dxa"/>
            </w:tcMar>
          </w:tcPr>
          <w:p w14:paraId="295698A8" w14:textId="77777777" w:rsidR="00674279" w:rsidRDefault="00000000" w:rsidP="001E0A4E">
            <w:pPr>
              <w:spacing w:before="60" w:after="60" w:line="320" w:lineRule="auto"/>
              <w:jc w:val="both"/>
            </w:pPr>
            <w:r>
              <w:rPr>
                <w:rFonts w:eastAsia="Times New Roman"/>
                <w:sz w:val="20"/>
                <w:szCs w:val="20"/>
              </w:rPr>
              <w:t>0.029</w:t>
            </w:r>
          </w:p>
        </w:tc>
        <w:tc>
          <w:tcPr>
            <w:tcW w:w="0" w:type="auto"/>
            <w:tcBorders>
              <w:top w:val="single" w:sz="6" w:space="0" w:color="000000"/>
              <w:left w:val="nil"/>
              <w:bottom w:val="single" w:sz="6" w:space="0" w:color="000000"/>
              <w:right w:val="nil"/>
            </w:tcBorders>
            <w:tcMar>
              <w:top w:w="60" w:type="dxa"/>
              <w:left w:w="100" w:type="dxa"/>
              <w:bottom w:w="60" w:type="dxa"/>
              <w:right w:w="100" w:type="dxa"/>
            </w:tcMar>
          </w:tcPr>
          <w:p w14:paraId="7A2B2C6F" w14:textId="77777777" w:rsidR="00674279" w:rsidRDefault="00000000" w:rsidP="001E0A4E">
            <w:pPr>
              <w:spacing w:before="60" w:after="60" w:line="320" w:lineRule="auto"/>
              <w:jc w:val="both"/>
            </w:pPr>
            <w:r>
              <w:rPr>
                <w:rFonts w:eastAsia="Times New Roman"/>
                <w:sz w:val="20"/>
                <w:szCs w:val="20"/>
              </w:rPr>
              <w:t>0.53</w:t>
            </w:r>
          </w:p>
        </w:tc>
      </w:tr>
    </w:tbl>
    <w:p w14:paraId="7AEACBDB" w14:textId="77777777" w:rsidR="00674279" w:rsidRDefault="00674279" w:rsidP="001E0A4E">
      <w:pPr>
        <w:spacing w:line="480" w:lineRule="auto"/>
        <w:jc w:val="both"/>
      </w:pPr>
    </w:p>
    <w:p w14:paraId="1C9B9C14" w14:textId="77777777" w:rsidR="00674279" w:rsidRPr="00DA0E47" w:rsidRDefault="00000000" w:rsidP="001E0A4E">
      <w:pPr>
        <w:pStyle w:val="2"/>
        <w:spacing w:before="120" w:after="0"/>
        <w:jc w:val="both"/>
        <w:rPr>
          <w:i w:val="0"/>
          <w:iCs w:val="0"/>
        </w:rPr>
      </w:pPr>
      <w:r w:rsidRPr="00DA0E47">
        <w:rPr>
          <w:i w:val="0"/>
          <w:iCs w:val="0"/>
        </w:rPr>
        <w:t>TABLE 5. Glucose Change from Pre-Exercise to During-Exercise Average by Condition and Performance Outcome</w:t>
      </w:r>
    </w:p>
    <w:p w14:paraId="18BF66FC" w14:textId="77777777" w:rsidR="00674279" w:rsidRDefault="00674279" w:rsidP="001E0A4E">
      <w:pPr>
        <w:spacing w:line="48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2"/>
        <w:gridCol w:w="2493"/>
        <w:gridCol w:w="3892"/>
        <w:gridCol w:w="1743"/>
      </w:tblGrid>
      <w:tr w:rsidR="00674279" w14:paraId="12A16AE9" w14:textId="77777777">
        <w:tc>
          <w:tcPr>
            <w:tcW w:w="0" w:type="auto"/>
            <w:tcBorders>
              <w:top w:val="single" w:sz="6" w:space="0" w:color="000000"/>
              <w:left w:val="nil"/>
              <w:bottom w:val="single" w:sz="6" w:space="0" w:color="000000"/>
              <w:right w:val="nil"/>
            </w:tcBorders>
            <w:tcMar>
              <w:top w:w="60" w:type="dxa"/>
              <w:left w:w="100" w:type="dxa"/>
              <w:bottom w:w="60" w:type="dxa"/>
              <w:right w:w="100" w:type="dxa"/>
            </w:tcMar>
          </w:tcPr>
          <w:p w14:paraId="01DEA279" w14:textId="77777777" w:rsidR="00674279" w:rsidRDefault="00000000" w:rsidP="001E0A4E">
            <w:pPr>
              <w:spacing w:before="60" w:after="60" w:line="320" w:lineRule="auto"/>
              <w:jc w:val="both"/>
            </w:pPr>
            <w:r>
              <w:rPr>
                <w:rFonts w:eastAsia="Times New Roman"/>
                <w:b/>
                <w:bCs/>
                <w:sz w:val="20"/>
                <w:szCs w:val="20"/>
              </w:rPr>
              <w:t>Condition</w:t>
            </w:r>
          </w:p>
        </w:tc>
        <w:tc>
          <w:tcPr>
            <w:tcW w:w="0" w:type="auto"/>
            <w:tcBorders>
              <w:top w:val="single" w:sz="6" w:space="0" w:color="000000"/>
              <w:left w:val="nil"/>
              <w:bottom w:val="single" w:sz="6" w:space="0" w:color="000000"/>
              <w:right w:val="nil"/>
            </w:tcBorders>
            <w:tcMar>
              <w:top w:w="60" w:type="dxa"/>
              <w:left w:w="100" w:type="dxa"/>
              <w:bottom w:w="60" w:type="dxa"/>
              <w:right w:w="100" w:type="dxa"/>
            </w:tcMar>
          </w:tcPr>
          <w:p w14:paraId="550BB607" w14:textId="77777777" w:rsidR="00674279" w:rsidRDefault="00000000" w:rsidP="001E0A4E">
            <w:pPr>
              <w:spacing w:before="60" w:after="60" w:line="320" w:lineRule="auto"/>
              <w:jc w:val="both"/>
            </w:pPr>
            <w:r>
              <w:rPr>
                <w:rFonts w:eastAsia="Times New Roman"/>
                <w:b/>
                <w:bCs/>
                <w:sz w:val="20"/>
                <w:szCs w:val="20"/>
              </w:rPr>
              <w:t>Performance Outcome</w:t>
            </w:r>
          </w:p>
        </w:tc>
        <w:tc>
          <w:tcPr>
            <w:tcW w:w="0" w:type="auto"/>
            <w:tcBorders>
              <w:top w:val="single" w:sz="6" w:space="0" w:color="000000"/>
              <w:left w:val="nil"/>
              <w:bottom w:val="single" w:sz="6" w:space="0" w:color="000000"/>
              <w:right w:val="nil"/>
            </w:tcBorders>
            <w:tcMar>
              <w:top w:w="60" w:type="dxa"/>
              <w:left w:w="100" w:type="dxa"/>
              <w:bottom w:w="60" w:type="dxa"/>
              <w:right w:w="100" w:type="dxa"/>
            </w:tcMar>
          </w:tcPr>
          <w:p w14:paraId="3D52FB9E" w14:textId="77777777" w:rsidR="00674279" w:rsidRDefault="00000000" w:rsidP="001E0A4E">
            <w:pPr>
              <w:spacing w:before="60" w:after="60" w:line="320" w:lineRule="auto"/>
              <w:jc w:val="both"/>
            </w:pPr>
            <w:r>
              <w:rPr>
                <w:rFonts w:eastAsia="Times New Roman"/>
                <w:b/>
                <w:bCs/>
                <w:sz w:val="20"/>
                <w:szCs w:val="20"/>
              </w:rPr>
              <w:t>Glucose Change (mg/dL) Mean ± SD</w:t>
            </w:r>
          </w:p>
        </w:tc>
        <w:tc>
          <w:tcPr>
            <w:tcW w:w="0" w:type="auto"/>
            <w:tcBorders>
              <w:top w:val="single" w:sz="6" w:space="0" w:color="000000"/>
              <w:left w:val="nil"/>
              <w:bottom w:val="single" w:sz="6" w:space="0" w:color="000000"/>
              <w:right w:val="nil"/>
            </w:tcBorders>
            <w:tcMar>
              <w:top w:w="60" w:type="dxa"/>
              <w:left w:w="100" w:type="dxa"/>
              <w:bottom w:w="60" w:type="dxa"/>
              <w:right w:w="100" w:type="dxa"/>
            </w:tcMar>
          </w:tcPr>
          <w:p w14:paraId="338BBB69" w14:textId="77777777" w:rsidR="00674279" w:rsidRDefault="00000000" w:rsidP="001E0A4E">
            <w:pPr>
              <w:spacing w:before="60" w:after="60" w:line="320" w:lineRule="auto"/>
              <w:jc w:val="both"/>
            </w:pPr>
            <w:r>
              <w:rPr>
                <w:rFonts w:eastAsia="Times New Roman"/>
                <w:b/>
                <w:bCs/>
                <w:sz w:val="20"/>
                <w:szCs w:val="20"/>
              </w:rPr>
              <w:t>Range (mg/dL)</w:t>
            </w:r>
          </w:p>
        </w:tc>
      </w:tr>
      <w:tr w:rsidR="00674279" w14:paraId="2ED22EDD" w14:textId="77777777">
        <w:tc>
          <w:tcPr>
            <w:tcW w:w="0" w:type="auto"/>
            <w:tcBorders>
              <w:top w:val="nil"/>
              <w:left w:val="nil"/>
              <w:bottom w:val="nil"/>
              <w:right w:val="nil"/>
            </w:tcBorders>
            <w:tcMar>
              <w:top w:w="60" w:type="dxa"/>
              <w:left w:w="100" w:type="dxa"/>
              <w:bottom w:w="60" w:type="dxa"/>
              <w:right w:w="100" w:type="dxa"/>
            </w:tcMar>
          </w:tcPr>
          <w:p w14:paraId="558F3639" w14:textId="77777777" w:rsidR="00674279" w:rsidRDefault="00000000" w:rsidP="001E0A4E">
            <w:pPr>
              <w:spacing w:before="60" w:after="60" w:line="320" w:lineRule="auto"/>
              <w:jc w:val="both"/>
            </w:pPr>
            <w:r>
              <w:rPr>
                <w:rFonts w:eastAsia="Times New Roman"/>
                <w:sz w:val="20"/>
                <w:szCs w:val="20"/>
              </w:rPr>
              <w:t>Training</w:t>
            </w:r>
          </w:p>
        </w:tc>
        <w:tc>
          <w:tcPr>
            <w:tcW w:w="0" w:type="auto"/>
            <w:tcBorders>
              <w:top w:val="nil"/>
              <w:left w:val="nil"/>
              <w:bottom w:val="nil"/>
              <w:right w:val="nil"/>
            </w:tcBorders>
            <w:tcMar>
              <w:top w:w="60" w:type="dxa"/>
              <w:left w:w="100" w:type="dxa"/>
              <w:bottom w:w="60" w:type="dxa"/>
              <w:right w:w="100" w:type="dxa"/>
            </w:tcMar>
          </w:tcPr>
          <w:p w14:paraId="722010C8" w14:textId="77777777" w:rsidR="00674279" w:rsidRDefault="00000000" w:rsidP="001E0A4E">
            <w:pPr>
              <w:spacing w:before="60" w:after="60" w:line="320" w:lineRule="auto"/>
              <w:jc w:val="both"/>
            </w:pPr>
            <w:r>
              <w:rPr>
                <w:rFonts w:eastAsia="Times New Roman"/>
                <w:sz w:val="20"/>
                <w:szCs w:val="20"/>
              </w:rPr>
              <w:t>Successful</w:t>
            </w:r>
          </w:p>
        </w:tc>
        <w:tc>
          <w:tcPr>
            <w:tcW w:w="0" w:type="auto"/>
            <w:tcBorders>
              <w:top w:val="nil"/>
              <w:left w:val="nil"/>
              <w:bottom w:val="nil"/>
              <w:right w:val="nil"/>
            </w:tcBorders>
            <w:tcMar>
              <w:top w:w="60" w:type="dxa"/>
              <w:left w:w="100" w:type="dxa"/>
              <w:bottom w:w="60" w:type="dxa"/>
              <w:right w:w="100" w:type="dxa"/>
            </w:tcMar>
          </w:tcPr>
          <w:p w14:paraId="5330ADF5" w14:textId="77777777" w:rsidR="00674279" w:rsidRDefault="00000000" w:rsidP="001E0A4E">
            <w:pPr>
              <w:spacing w:before="60" w:after="60" w:line="320" w:lineRule="auto"/>
              <w:jc w:val="both"/>
            </w:pPr>
            <w:r>
              <w:rPr>
                <w:rFonts w:eastAsia="Times New Roman"/>
                <w:sz w:val="20"/>
                <w:szCs w:val="20"/>
              </w:rPr>
              <w:t>+14.0 ± 18.5</w:t>
            </w:r>
          </w:p>
        </w:tc>
        <w:tc>
          <w:tcPr>
            <w:tcW w:w="0" w:type="auto"/>
            <w:tcBorders>
              <w:top w:val="nil"/>
              <w:left w:val="nil"/>
              <w:bottom w:val="nil"/>
              <w:right w:val="nil"/>
            </w:tcBorders>
            <w:tcMar>
              <w:top w:w="60" w:type="dxa"/>
              <w:left w:w="100" w:type="dxa"/>
              <w:bottom w:w="60" w:type="dxa"/>
              <w:right w:w="100" w:type="dxa"/>
            </w:tcMar>
          </w:tcPr>
          <w:p w14:paraId="0D8E8006" w14:textId="77777777" w:rsidR="00674279" w:rsidRDefault="00000000" w:rsidP="001E0A4E">
            <w:pPr>
              <w:spacing w:before="60" w:after="60" w:line="320" w:lineRule="auto"/>
              <w:jc w:val="both"/>
            </w:pPr>
            <w:r>
              <w:rPr>
                <w:rFonts w:eastAsia="Times New Roman"/>
                <w:sz w:val="20"/>
                <w:szCs w:val="20"/>
              </w:rPr>
              <w:t>−35.6 to +67.8</w:t>
            </w:r>
          </w:p>
        </w:tc>
      </w:tr>
      <w:tr w:rsidR="00674279" w14:paraId="21F10C10" w14:textId="77777777">
        <w:tc>
          <w:tcPr>
            <w:tcW w:w="0" w:type="auto"/>
            <w:tcBorders>
              <w:top w:val="nil"/>
              <w:left w:val="nil"/>
              <w:bottom w:val="nil"/>
              <w:right w:val="nil"/>
            </w:tcBorders>
            <w:tcMar>
              <w:top w:w="60" w:type="dxa"/>
              <w:left w:w="100" w:type="dxa"/>
              <w:bottom w:w="60" w:type="dxa"/>
              <w:right w:w="100" w:type="dxa"/>
            </w:tcMar>
          </w:tcPr>
          <w:p w14:paraId="505C8F1A" w14:textId="77777777" w:rsidR="00674279" w:rsidRDefault="00674279" w:rsidP="001E0A4E">
            <w:pPr>
              <w:spacing w:before="60" w:after="60" w:line="320" w:lineRule="auto"/>
              <w:jc w:val="both"/>
            </w:pPr>
          </w:p>
        </w:tc>
        <w:tc>
          <w:tcPr>
            <w:tcW w:w="0" w:type="auto"/>
            <w:tcBorders>
              <w:top w:val="nil"/>
              <w:left w:val="nil"/>
              <w:bottom w:val="nil"/>
              <w:right w:val="nil"/>
            </w:tcBorders>
            <w:tcMar>
              <w:top w:w="60" w:type="dxa"/>
              <w:left w:w="100" w:type="dxa"/>
              <w:bottom w:w="60" w:type="dxa"/>
              <w:right w:w="100" w:type="dxa"/>
            </w:tcMar>
          </w:tcPr>
          <w:p w14:paraId="09EAC8D7" w14:textId="77777777" w:rsidR="00674279" w:rsidRDefault="00000000" w:rsidP="001E0A4E">
            <w:pPr>
              <w:spacing w:before="60" w:after="60" w:line="320" w:lineRule="auto"/>
              <w:jc w:val="both"/>
            </w:pPr>
            <w:r>
              <w:rPr>
                <w:rFonts w:eastAsia="Times New Roman"/>
                <w:sz w:val="20"/>
                <w:szCs w:val="20"/>
              </w:rPr>
              <w:t>Unsuccessful</w:t>
            </w:r>
          </w:p>
        </w:tc>
        <w:tc>
          <w:tcPr>
            <w:tcW w:w="0" w:type="auto"/>
            <w:tcBorders>
              <w:top w:val="nil"/>
              <w:left w:val="nil"/>
              <w:bottom w:val="nil"/>
              <w:right w:val="nil"/>
            </w:tcBorders>
            <w:tcMar>
              <w:top w:w="60" w:type="dxa"/>
              <w:left w:w="100" w:type="dxa"/>
              <w:bottom w:w="60" w:type="dxa"/>
              <w:right w:w="100" w:type="dxa"/>
            </w:tcMar>
          </w:tcPr>
          <w:p w14:paraId="0F27A545" w14:textId="77777777" w:rsidR="00674279" w:rsidRDefault="00000000" w:rsidP="001E0A4E">
            <w:pPr>
              <w:spacing w:before="60" w:after="60" w:line="320" w:lineRule="auto"/>
              <w:jc w:val="both"/>
            </w:pPr>
            <w:r>
              <w:rPr>
                <w:rFonts w:eastAsia="Times New Roman"/>
                <w:sz w:val="20"/>
                <w:szCs w:val="20"/>
              </w:rPr>
              <w:t>+25.0 ± 23.2</w:t>
            </w:r>
          </w:p>
        </w:tc>
        <w:tc>
          <w:tcPr>
            <w:tcW w:w="0" w:type="auto"/>
            <w:tcBorders>
              <w:top w:val="nil"/>
              <w:left w:val="nil"/>
              <w:bottom w:val="nil"/>
              <w:right w:val="nil"/>
            </w:tcBorders>
            <w:tcMar>
              <w:top w:w="60" w:type="dxa"/>
              <w:left w:w="100" w:type="dxa"/>
              <w:bottom w:w="60" w:type="dxa"/>
              <w:right w:w="100" w:type="dxa"/>
            </w:tcMar>
          </w:tcPr>
          <w:p w14:paraId="7EFBEE47" w14:textId="77777777" w:rsidR="00674279" w:rsidRDefault="00000000" w:rsidP="001E0A4E">
            <w:pPr>
              <w:spacing w:before="60" w:after="60" w:line="320" w:lineRule="auto"/>
              <w:jc w:val="both"/>
            </w:pPr>
            <w:r>
              <w:rPr>
                <w:rFonts w:eastAsia="Times New Roman"/>
                <w:sz w:val="20"/>
                <w:szCs w:val="20"/>
              </w:rPr>
              <w:t>−18.2 to +78.4</w:t>
            </w:r>
          </w:p>
        </w:tc>
      </w:tr>
      <w:tr w:rsidR="00674279" w14:paraId="2F4E84DA" w14:textId="77777777">
        <w:tc>
          <w:tcPr>
            <w:tcW w:w="0" w:type="auto"/>
            <w:tcBorders>
              <w:top w:val="nil"/>
              <w:left w:val="nil"/>
              <w:bottom w:val="nil"/>
              <w:right w:val="nil"/>
            </w:tcBorders>
            <w:tcMar>
              <w:top w:w="60" w:type="dxa"/>
              <w:left w:w="100" w:type="dxa"/>
              <w:bottom w:w="60" w:type="dxa"/>
              <w:right w:w="100" w:type="dxa"/>
            </w:tcMar>
          </w:tcPr>
          <w:p w14:paraId="37687570" w14:textId="77777777" w:rsidR="00674279" w:rsidRDefault="00000000" w:rsidP="001E0A4E">
            <w:pPr>
              <w:spacing w:before="60" w:after="60" w:line="320" w:lineRule="auto"/>
              <w:jc w:val="both"/>
            </w:pPr>
            <w:r>
              <w:rPr>
                <w:rFonts w:eastAsia="Times New Roman"/>
                <w:sz w:val="20"/>
                <w:szCs w:val="20"/>
              </w:rPr>
              <w:t>Race</w:t>
            </w:r>
          </w:p>
        </w:tc>
        <w:tc>
          <w:tcPr>
            <w:tcW w:w="0" w:type="auto"/>
            <w:tcBorders>
              <w:top w:val="nil"/>
              <w:left w:val="nil"/>
              <w:bottom w:val="nil"/>
              <w:right w:val="nil"/>
            </w:tcBorders>
            <w:tcMar>
              <w:top w:w="60" w:type="dxa"/>
              <w:left w:w="100" w:type="dxa"/>
              <w:bottom w:w="60" w:type="dxa"/>
              <w:right w:w="100" w:type="dxa"/>
            </w:tcMar>
          </w:tcPr>
          <w:p w14:paraId="3D6E294C" w14:textId="77777777" w:rsidR="00674279" w:rsidRDefault="00000000" w:rsidP="001E0A4E">
            <w:pPr>
              <w:spacing w:before="60" w:after="60" w:line="320" w:lineRule="auto"/>
              <w:jc w:val="both"/>
            </w:pPr>
            <w:r>
              <w:rPr>
                <w:rFonts w:eastAsia="Times New Roman"/>
                <w:sz w:val="20"/>
                <w:szCs w:val="20"/>
              </w:rPr>
              <w:t>Successful</w:t>
            </w:r>
          </w:p>
        </w:tc>
        <w:tc>
          <w:tcPr>
            <w:tcW w:w="0" w:type="auto"/>
            <w:tcBorders>
              <w:top w:val="nil"/>
              <w:left w:val="nil"/>
              <w:bottom w:val="nil"/>
              <w:right w:val="nil"/>
            </w:tcBorders>
            <w:tcMar>
              <w:top w:w="60" w:type="dxa"/>
              <w:left w:w="100" w:type="dxa"/>
              <w:bottom w:w="60" w:type="dxa"/>
              <w:right w:w="100" w:type="dxa"/>
            </w:tcMar>
          </w:tcPr>
          <w:p w14:paraId="463319C2" w14:textId="77777777" w:rsidR="00674279" w:rsidRDefault="00000000" w:rsidP="001E0A4E">
            <w:pPr>
              <w:spacing w:before="60" w:after="60" w:line="320" w:lineRule="auto"/>
              <w:jc w:val="both"/>
            </w:pPr>
            <w:r>
              <w:rPr>
                <w:rFonts w:eastAsia="Times New Roman"/>
                <w:b/>
                <w:bCs/>
                <w:sz w:val="20"/>
                <w:szCs w:val="20"/>
              </w:rPr>
              <w:t>+57.7 ± 27.1</w:t>
            </w:r>
          </w:p>
        </w:tc>
        <w:tc>
          <w:tcPr>
            <w:tcW w:w="0" w:type="auto"/>
            <w:tcBorders>
              <w:top w:val="nil"/>
              <w:left w:val="nil"/>
              <w:bottom w:val="nil"/>
              <w:right w:val="nil"/>
            </w:tcBorders>
            <w:tcMar>
              <w:top w:w="60" w:type="dxa"/>
              <w:left w:w="100" w:type="dxa"/>
              <w:bottom w:w="60" w:type="dxa"/>
              <w:right w:w="100" w:type="dxa"/>
            </w:tcMar>
          </w:tcPr>
          <w:p w14:paraId="316FF674" w14:textId="77777777" w:rsidR="00674279" w:rsidRDefault="00000000" w:rsidP="001E0A4E">
            <w:pPr>
              <w:spacing w:before="60" w:after="60" w:line="320" w:lineRule="auto"/>
              <w:jc w:val="both"/>
            </w:pPr>
            <w:r>
              <w:rPr>
                <w:rFonts w:eastAsia="Times New Roman"/>
                <w:sz w:val="20"/>
                <w:szCs w:val="20"/>
              </w:rPr>
              <w:t>+12.8 to +134.7</w:t>
            </w:r>
          </w:p>
        </w:tc>
      </w:tr>
      <w:tr w:rsidR="00674279" w14:paraId="736F8CA6" w14:textId="77777777">
        <w:tc>
          <w:tcPr>
            <w:tcW w:w="0" w:type="auto"/>
            <w:tcBorders>
              <w:top w:val="single" w:sz="6" w:space="0" w:color="000000"/>
              <w:left w:val="nil"/>
              <w:bottom w:val="single" w:sz="6" w:space="0" w:color="000000"/>
              <w:right w:val="nil"/>
            </w:tcBorders>
            <w:tcMar>
              <w:top w:w="60" w:type="dxa"/>
              <w:left w:w="100" w:type="dxa"/>
              <w:bottom w:w="60" w:type="dxa"/>
              <w:right w:w="100" w:type="dxa"/>
            </w:tcMar>
          </w:tcPr>
          <w:p w14:paraId="724B6853" w14:textId="77777777" w:rsidR="00674279" w:rsidRDefault="00674279" w:rsidP="001E0A4E">
            <w:pPr>
              <w:spacing w:before="60" w:after="60" w:line="320" w:lineRule="auto"/>
              <w:jc w:val="both"/>
            </w:pPr>
          </w:p>
        </w:tc>
        <w:tc>
          <w:tcPr>
            <w:tcW w:w="0" w:type="auto"/>
            <w:tcBorders>
              <w:top w:val="single" w:sz="6" w:space="0" w:color="000000"/>
              <w:left w:val="nil"/>
              <w:bottom w:val="single" w:sz="6" w:space="0" w:color="000000"/>
              <w:right w:val="nil"/>
            </w:tcBorders>
            <w:tcMar>
              <w:top w:w="60" w:type="dxa"/>
              <w:left w:w="100" w:type="dxa"/>
              <w:bottom w:w="60" w:type="dxa"/>
              <w:right w:w="100" w:type="dxa"/>
            </w:tcMar>
          </w:tcPr>
          <w:p w14:paraId="51EE1CC8" w14:textId="77777777" w:rsidR="00674279" w:rsidRDefault="00000000" w:rsidP="001E0A4E">
            <w:pPr>
              <w:spacing w:before="60" w:after="60" w:line="320" w:lineRule="auto"/>
              <w:jc w:val="both"/>
            </w:pPr>
            <w:r>
              <w:rPr>
                <w:rFonts w:eastAsia="Times New Roman"/>
                <w:sz w:val="20"/>
                <w:szCs w:val="20"/>
              </w:rPr>
              <w:t>Unsuccessful</w:t>
            </w:r>
          </w:p>
        </w:tc>
        <w:tc>
          <w:tcPr>
            <w:tcW w:w="0" w:type="auto"/>
            <w:tcBorders>
              <w:top w:val="single" w:sz="6" w:space="0" w:color="000000"/>
              <w:left w:val="nil"/>
              <w:bottom w:val="single" w:sz="6" w:space="0" w:color="000000"/>
              <w:right w:val="nil"/>
            </w:tcBorders>
            <w:tcMar>
              <w:top w:w="60" w:type="dxa"/>
              <w:left w:w="100" w:type="dxa"/>
              <w:bottom w:w="60" w:type="dxa"/>
              <w:right w:w="100" w:type="dxa"/>
            </w:tcMar>
          </w:tcPr>
          <w:p w14:paraId="36D2FC66" w14:textId="77777777" w:rsidR="00674279" w:rsidRDefault="00000000" w:rsidP="001E0A4E">
            <w:pPr>
              <w:spacing w:before="60" w:after="60" w:line="320" w:lineRule="auto"/>
              <w:jc w:val="both"/>
            </w:pPr>
            <w:r>
              <w:rPr>
                <w:rFonts w:eastAsia="Times New Roman"/>
                <w:sz w:val="20"/>
                <w:szCs w:val="20"/>
              </w:rPr>
              <w:t>+30.8 ± 28.5</w:t>
            </w:r>
          </w:p>
        </w:tc>
        <w:tc>
          <w:tcPr>
            <w:tcW w:w="0" w:type="auto"/>
            <w:tcBorders>
              <w:top w:val="single" w:sz="6" w:space="0" w:color="000000"/>
              <w:left w:val="nil"/>
              <w:bottom w:val="single" w:sz="6" w:space="0" w:color="000000"/>
              <w:right w:val="nil"/>
            </w:tcBorders>
            <w:tcMar>
              <w:top w:w="60" w:type="dxa"/>
              <w:left w:w="100" w:type="dxa"/>
              <w:bottom w:w="60" w:type="dxa"/>
              <w:right w:w="100" w:type="dxa"/>
            </w:tcMar>
          </w:tcPr>
          <w:p w14:paraId="5729A36E" w14:textId="77777777" w:rsidR="00674279" w:rsidRDefault="00000000" w:rsidP="001E0A4E">
            <w:pPr>
              <w:spacing w:before="60" w:after="60" w:line="320" w:lineRule="auto"/>
              <w:jc w:val="both"/>
            </w:pPr>
            <w:r>
              <w:rPr>
                <w:rFonts w:eastAsia="Times New Roman"/>
                <w:sz w:val="20"/>
                <w:szCs w:val="20"/>
              </w:rPr>
              <w:t>−22.4 to +97.6</w:t>
            </w:r>
          </w:p>
        </w:tc>
      </w:tr>
    </w:tbl>
    <w:p w14:paraId="1973A668" w14:textId="77777777" w:rsidR="00674279" w:rsidRDefault="00674279" w:rsidP="001E0A4E">
      <w:pPr>
        <w:spacing w:line="480" w:lineRule="auto"/>
        <w:jc w:val="both"/>
      </w:pPr>
    </w:p>
    <w:sectPr w:rsidR="00674279" w:rsidSect="001E0A4E">
      <w:headerReference w:type="default" r:id="rId7"/>
      <w:footerReference w:type="default" r:id="rId8"/>
      <w:pgSz w:w="12240" w:h="15840"/>
      <w:pgMar w:top="1440" w:right="1440" w:bottom="1440" w:left="1440" w:header="708" w:footer="708" w:gutter="0"/>
      <w:lnNumType w:countBy="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A87D4" w14:textId="77777777" w:rsidR="00771F9B" w:rsidRDefault="00771F9B">
      <w:r>
        <w:separator/>
      </w:r>
    </w:p>
  </w:endnote>
  <w:endnote w:type="continuationSeparator" w:id="0">
    <w:p w14:paraId="091C5F50" w14:textId="77777777" w:rsidR="00771F9B" w:rsidRDefault="00771F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C7EE3" w14:textId="77777777" w:rsidR="00674279" w:rsidRDefault="00000000">
    <w:pPr>
      <w:jc w:val="center"/>
    </w:pPr>
    <w:r>
      <w:fldChar w:fldCharType="begin"/>
    </w:r>
    <w:r>
      <w:rPr>
        <w:rFonts w:eastAsia="Times New Roman"/>
      </w:rPr>
      <w:instrText>PAGE</w:instrText>
    </w:r>
    <w:r>
      <w:fldChar w:fldCharType="separate"/>
    </w:r>
    <w:r w:rsidR="001E0A4E">
      <w:rPr>
        <w:rFonts w:eastAsia="Times New Roman"/>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65740" w14:textId="77777777" w:rsidR="00771F9B" w:rsidRDefault="00771F9B">
      <w:r>
        <w:separator/>
      </w:r>
    </w:p>
  </w:footnote>
  <w:footnote w:type="continuationSeparator" w:id="0">
    <w:p w14:paraId="762663D9" w14:textId="77777777" w:rsidR="00771F9B" w:rsidRDefault="00771F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F7158" w14:textId="77777777" w:rsidR="00674279" w:rsidRDefault="00000000">
    <w:pPr>
      <w:jc w:val="right"/>
    </w:pPr>
    <w:r>
      <w:rPr>
        <w:rFonts w:eastAsia="Times New Roman"/>
        <w:caps/>
        <w:sz w:val="20"/>
        <w:szCs w:val="20"/>
      </w:rPr>
      <w:t>Running Head: COMPETITION-INDUCED GLUCOSE DYNAMICS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970920"/>
    <w:multiLevelType w:val="hybridMultilevel"/>
    <w:tmpl w:val="8A9C2E9E"/>
    <w:lvl w:ilvl="0" w:tplc="CFB4B744">
      <w:start w:val="1"/>
      <w:numFmt w:val="bullet"/>
      <w:lvlText w:val="●"/>
      <w:lvlJc w:val="left"/>
      <w:pPr>
        <w:ind w:left="720" w:hanging="360"/>
      </w:pPr>
    </w:lvl>
    <w:lvl w:ilvl="1" w:tplc="54E6617E">
      <w:start w:val="1"/>
      <w:numFmt w:val="bullet"/>
      <w:lvlText w:val="○"/>
      <w:lvlJc w:val="left"/>
      <w:pPr>
        <w:ind w:left="1440" w:hanging="360"/>
      </w:pPr>
    </w:lvl>
    <w:lvl w:ilvl="2" w:tplc="888E49DE">
      <w:start w:val="1"/>
      <w:numFmt w:val="bullet"/>
      <w:lvlText w:val="■"/>
      <w:lvlJc w:val="left"/>
      <w:pPr>
        <w:ind w:left="2160" w:hanging="360"/>
      </w:pPr>
    </w:lvl>
    <w:lvl w:ilvl="3" w:tplc="57FCE658">
      <w:start w:val="1"/>
      <w:numFmt w:val="bullet"/>
      <w:lvlText w:val="●"/>
      <w:lvlJc w:val="left"/>
      <w:pPr>
        <w:ind w:left="2880" w:hanging="360"/>
      </w:pPr>
    </w:lvl>
    <w:lvl w:ilvl="4" w:tplc="5E3CAF8E">
      <w:start w:val="1"/>
      <w:numFmt w:val="bullet"/>
      <w:lvlText w:val="○"/>
      <w:lvlJc w:val="left"/>
      <w:pPr>
        <w:ind w:left="3600" w:hanging="360"/>
      </w:pPr>
    </w:lvl>
    <w:lvl w:ilvl="5" w:tplc="54A6C266">
      <w:start w:val="1"/>
      <w:numFmt w:val="bullet"/>
      <w:lvlText w:val="■"/>
      <w:lvlJc w:val="left"/>
      <w:pPr>
        <w:ind w:left="4320" w:hanging="360"/>
      </w:pPr>
    </w:lvl>
    <w:lvl w:ilvl="6" w:tplc="51C0C8BA">
      <w:start w:val="1"/>
      <w:numFmt w:val="bullet"/>
      <w:lvlText w:val="●"/>
      <w:lvlJc w:val="left"/>
      <w:pPr>
        <w:ind w:left="5040" w:hanging="360"/>
      </w:pPr>
    </w:lvl>
    <w:lvl w:ilvl="7" w:tplc="20F49D96">
      <w:start w:val="1"/>
      <w:numFmt w:val="bullet"/>
      <w:lvlText w:val="●"/>
      <w:lvlJc w:val="left"/>
      <w:pPr>
        <w:ind w:left="5760" w:hanging="360"/>
      </w:pPr>
    </w:lvl>
    <w:lvl w:ilvl="8" w:tplc="F7644C36">
      <w:start w:val="1"/>
      <w:numFmt w:val="bullet"/>
      <w:lvlText w:val="●"/>
      <w:lvlJc w:val="left"/>
      <w:pPr>
        <w:ind w:left="6480" w:hanging="360"/>
      </w:pPr>
    </w:lvl>
  </w:abstractNum>
  <w:num w:numId="1" w16cid:durableId="20204986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bordersDoNotSurroundHeader/>
  <w:bordersDoNotSurroundFooter/>
  <w:proofState w:spelling="clean" w:grammar="clean"/>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4279"/>
    <w:rsid w:val="00037E8E"/>
    <w:rsid w:val="00084A62"/>
    <w:rsid w:val="001E0A4E"/>
    <w:rsid w:val="00227467"/>
    <w:rsid w:val="002A1107"/>
    <w:rsid w:val="002B3E31"/>
    <w:rsid w:val="00316B9C"/>
    <w:rsid w:val="004069B2"/>
    <w:rsid w:val="00621516"/>
    <w:rsid w:val="006344EA"/>
    <w:rsid w:val="00674279"/>
    <w:rsid w:val="006E60CF"/>
    <w:rsid w:val="00771F9B"/>
    <w:rsid w:val="008947D7"/>
    <w:rsid w:val="00903623"/>
    <w:rsid w:val="009C40B5"/>
    <w:rsid w:val="009D32B8"/>
    <w:rsid w:val="009F4679"/>
    <w:rsid w:val="00AF39DD"/>
    <w:rsid w:val="00B560D8"/>
    <w:rsid w:val="00BE01C0"/>
    <w:rsid w:val="00D01F24"/>
    <w:rsid w:val="00DA0E47"/>
    <w:rsid w:val="00F640E0"/>
    <w:rsid w:val="00F77DF2"/>
    <w:rsid w:val="00F9097F"/>
    <w:rsid w:val="00FB26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B9784BD"/>
  <w15:docId w15:val="{C6AC1CE3-166C-B744-A178-38C33AFE9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240" w:after="120" w:line="480" w:lineRule="auto"/>
      <w:outlineLvl w:val="0"/>
    </w:pPr>
    <w:rPr>
      <w:rFonts w:eastAsia="Times New Roman"/>
      <w:b/>
      <w:bCs/>
    </w:rPr>
  </w:style>
  <w:style w:type="paragraph" w:styleId="2">
    <w:name w:val="heading 2"/>
    <w:uiPriority w:val="9"/>
    <w:unhideWhenUsed/>
    <w:qFormat/>
    <w:pPr>
      <w:spacing w:before="200" w:after="80" w:line="480" w:lineRule="auto"/>
      <w:outlineLvl w:val="1"/>
    </w:pPr>
    <w:rPr>
      <w:rFonts w:eastAsia="Times New Roman"/>
      <w:b/>
      <w:bCs/>
      <w:i/>
      <w:iCs/>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line number"/>
    <w:basedOn w:val="a0"/>
    <w:uiPriority w:val="99"/>
    <w:semiHidden/>
    <w:unhideWhenUsed/>
    <w:rsid w:val="001E0A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307</TotalTime>
  <Pages>25</Pages>
  <Words>5609</Words>
  <Characters>31974</Characters>
  <Application>Microsoft Office Word</Application>
  <DocSecurity>0</DocSecurity>
  <Lines>266</Lines>
  <Paragraphs>75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37508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Taira Kajisa</cp:lastModifiedBy>
  <cp:revision>9</cp:revision>
  <dcterms:created xsi:type="dcterms:W3CDTF">2026-02-19T06:57:00Z</dcterms:created>
  <dcterms:modified xsi:type="dcterms:W3CDTF">2026-03-08T08:12:00Z</dcterms:modified>
</cp:coreProperties>
</file>