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Notes</w:t>
      </w:r>
    </w:p>
    <w:p>
      <w:r>
        <w:t>Manuscript: Competition-Induced Glucose Dynamics in Elite Distance Runners</w:t>
      </w:r>
    </w:p>
    <w:p>
      <w:r>
        <w:t>Target Journal: Medicine &amp; Science in Sports &amp; Exercise</w:t>
      </w:r>
    </w:p>
    <w:p>
      <w:r>
        <w:t>Revision Date: March 7, 2026</w:t>
      </w:r>
    </w:p>
    <w:p/>
    <w:p>
      <w:pPr>
        <w:pStyle w:val="Heading2"/>
      </w:pPr>
      <w:r>
        <w:t>Summary of Changes (shown in red in revised documents)</w:t>
      </w:r>
    </w:p>
    <w:p>
      <w:pPr>
        <w:pStyle w:val="Heading3"/>
      </w:pPr>
      <w:r>
        <w:t>CRITICAL Issues</w:t>
      </w:r>
    </w:p>
    <w:p>
      <w:r>
        <w:rPr>
          <w:b/>
        </w:rPr>
        <w:t>Missing Reference 36</w:t>
      </w:r>
    </w:p>
    <w:p>
      <w:pPr>
        <w:ind w:left="720"/>
      </w:pPr>
      <w:r>
        <w:t>Change: Text cited (34,36) but reference list only contained 35 entries. Added: Thomas DT, Erdman KA, Burke LM. Position of the Academy of Nutrition and Dietetics... J Acad Nutr Diet. 2016;116(3):501-528.</w:t>
      </w:r>
    </w:p>
    <w:p>
      <w:pPr>
        <w:ind w:left="720"/>
      </w:pPr>
      <w:r>
        <w:rPr>
          <w:color w:val="666666"/>
        </w:rPr>
        <w:t>Location: References section</w:t>
      </w:r>
    </w:p>
    <w:p/>
    <w:p>
      <w:r>
        <w:rPr>
          <w:b/>
        </w:rPr>
        <w:t>Female Pacemaker vs. All-Male Cohort Inconsistency</w:t>
      </w:r>
    </w:p>
    <w:p>
      <w:pPr>
        <w:ind w:left="720"/>
      </w:pPr>
      <w:r>
        <w:t>Change: Figure 4C describes a 'Female marathon pacemaker' but Methods states 'Fifty-seven male collegiate distance runners.' Added clarifying sentence in Methods: 'Additionally, one female elite marathon pacemaker was monitored during a single competitive event for illustrative comparison purposes; her data were not included in the primary statistical analyses.' Also updated Figure 4 legend and Discussion to reflect this.</w:t>
      </w:r>
    </w:p>
    <w:p>
      <w:pPr>
        <w:ind w:left="720"/>
      </w:pPr>
      <w:r>
        <w:rPr>
          <w:color w:val="666666"/>
        </w:rPr>
        <w:t>Location: Methods (Participants), Figure 4 legend, Discussion</w:t>
      </w:r>
    </w:p>
    <w:p/>
    <w:p>
      <w:r>
        <w:rPr>
          <w:b/>
        </w:rPr>
        <w:t>Cover Letter Placeholders Unfilled</w:t>
      </w:r>
    </w:p>
    <w:p>
      <w:pPr>
        <w:ind w:left="720"/>
      </w:pPr>
      <w:r>
        <w:t>Change: Replaced all placeholders: [Corresponding Author Name] -&gt; Taira Kajisa, M.S.; [Title, Department] -&gt; Graduate Student, Graduate School of Interdisciplinary New Science; [University] -&gt; Toyo University; [Address] and [Email]; Protocol #XXXX -&gt; TU2021-006.</w:t>
      </w:r>
    </w:p>
    <w:p>
      <w:pPr>
        <w:ind w:left="720"/>
      </w:pPr>
      <w:r>
        <w:rPr>
          <w:color w:val="666666"/>
        </w:rPr>
        <w:t>Location: Cover letter throughout</w:t>
      </w:r>
    </w:p>
    <w:p/>
    <w:p>
      <w:r>
        <w:rPr>
          <w:b/>
        </w:rPr>
        <w:t>Cover Letter Date</w:t>
      </w:r>
    </w:p>
    <w:p>
      <w:pPr>
        <w:ind w:left="720"/>
      </w:pPr>
      <w:r>
        <w:t>Change: Updated from February 19, 2026 to March 7, 2026.</w:t>
      </w:r>
    </w:p>
    <w:p>
      <w:pPr>
        <w:ind w:left="720"/>
      </w:pPr>
      <w:r>
        <w:rPr>
          <w:color w:val="666666"/>
        </w:rPr>
        <w:t>Location: Cover letter, line 1</w:t>
      </w:r>
    </w:p>
    <w:p/>
    <w:p>
      <w:pPr>
        <w:pStyle w:val="Heading3"/>
      </w:pPr>
      <w:r>
        <w:t>MODERATE Issues</w:t>
      </w:r>
    </w:p>
    <w:p>
      <w:r>
        <w:rPr>
          <w:b/>
        </w:rPr>
        <w:t>Grammar: Missing Auxiliary Verb</w:t>
      </w:r>
    </w:p>
    <w:p>
      <w:pPr>
        <w:ind w:left="720"/>
      </w:pPr>
      <w:r>
        <w:t>Change: 'Procedures approved by Toyo University ethics committee' -&gt; 'Procedures were approved by the Toyo University Institutional Review Board'</w:t>
      </w:r>
    </w:p>
    <w:p>
      <w:pPr>
        <w:ind w:left="720"/>
      </w:pPr>
      <w:r>
        <w:rPr>
          <w:color w:val="666666"/>
        </w:rPr>
        <w:t>Location: Methods, Study Design and Ethics</w:t>
      </w:r>
    </w:p>
    <w:p/>
    <w:p>
      <w:r>
        <w:rPr>
          <w:b/>
        </w:rPr>
        <w:t>Affiliation Punctuation</w:t>
      </w:r>
    </w:p>
    <w:p>
      <w:pPr>
        <w:ind w:left="720"/>
      </w:pPr>
      <w:r>
        <w:t>Change: 'Department of Student, Student Support Division,Toyo University' -&gt; added space after comma before 'Toyo'</w:t>
      </w:r>
    </w:p>
    <w:p>
      <w:pPr>
        <w:ind w:left="720"/>
      </w:pPr>
      <w:r>
        <w:rPr>
          <w:color w:val="666666"/>
        </w:rPr>
        <w:t>Location: Author affiliations, line 3</w:t>
      </w:r>
    </w:p>
    <w:p/>
    <w:p>
      <w:r>
        <w:rPr>
          <w:b/>
        </w:rPr>
        <w:t>Interpretive Language in Results</w:t>
      </w:r>
    </w:p>
    <w:p>
      <w:pPr>
        <w:ind w:left="720"/>
      </w:pPr>
      <w:r>
        <w:t>Change: Softened interpretive statement in Results section: 'suggesting that the capacity to mount a maximal glucose response may be specific to conditions of high competitive arousal' -&gt; 'with the magnitude of the difference varying by competitive context'</w:t>
      </w:r>
    </w:p>
    <w:p>
      <w:pPr>
        <w:ind w:left="720"/>
      </w:pPr>
      <w:r>
        <w:rPr>
          <w:color w:val="666666"/>
        </w:rPr>
        <w:t>Location: Results, Training vs. Race Direct Comparisons</w:t>
      </w:r>
    </w:p>
    <w:p/>
    <w:p>
      <w:r>
        <w:rPr>
          <w:b/>
        </w:rPr>
        <w:t>Alpha Symbol</w:t>
      </w:r>
    </w:p>
    <w:p>
      <w:pPr>
        <w:ind w:left="720"/>
      </w:pPr>
      <w:r>
        <w:t>Change: 'Alpha was set at 0.05' -&gt; 'The significance level was set at α = 0.05'</w:t>
      </w:r>
    </w:p>
    <w:p>
      <w:pPr>
        <w:ind w:left="720"/>
      </w:pPr>
      <w:r>
        <w:rPr>
          <w:color w:val="666666"/>
        </w:rPr>
        <w:t>Location: Methods, Statistical Analysis</w:t>
      </w:r>
    </w:p>
    <w:p/>
    <w:p>
      <w:pPr>
        <w:pStyle w:val="Heading3"/>
      </w:pPr>
      <w:r>
        <w:t>MINOR Issues</w:t>
      </w:r>
    </w:p>
    <w:p>
      <w:r>
        <w:rPr>
          <w:b/>
        </w:rPr>
        <w:t>Hyphenation Consistency</w:t>
      </w:r>
    </w:p>
    <w:p>
      <w:pPr>
        <w:ind w:left="720"/>
      </w:pPr>
      <w:r>
        <w:t>Change: '40 km race pace' -&gt; '40-km race pace' (compound modifier, matching '5-km race pace' already present)</w:t>
      </w:r>
    </w:p>
    <w:p>
      <w:pPr>
        <w:ind w:left="720"/>
      </w:pPr>
      <w:r>
        <w:rPr>
          <w:color w:val="666666"/>
        </w:rPr>
        <w:t>Location: Methods, Exercise Protocols</w:t>
      </w:r>
    </w:p>
    <w:p/>
    <w:p>
      <w:r>
        <w:rPr>
          <w:b/>
        </w:rPr>
        <w:t>Formal Tone</w:t>
      </w:r>
    </w:p>
    <w:p>
      <w:pPr>
        <w:ind w:left="720"/>
      </w:pPr>
      <w:r>
        <w:t>Change: 'Duration ranged from about 15 to 130 min' -&gt; 'from approximately 15 to 130 min'</w:t>
      </w:r>
    </w:p>
    <w:p>
      <w:pPr>
        <w:ind w:left="720"/>
      </w:pPr>
      <w:r>
        <w:rPr>
          <w:color w:val="666666"/>
        </w:rPr>
        <w:t>Location: Methods, Exercise Protocols</w:t>
      </w:r>
    </w:p>
    <w:p/>
    <w:p>
      <w:r>
        <w:rPr>
          <w:b/>
        </w:rPr>
        <w:t>Acknowledgments Placeholder</w:t>
      </w:r>
    </w:p>
    <w:p>
      <w:pPr>
        <w:ind w:left="720"/>
      </w:pPr>
      <w:r>
        <w:t>Change: '[University]' -&gt; 'Toyo University'</w:t>
      </w:r>
    </w:p>
    <w:p>
      <w:pPr>
        <w:ind w:left="720"/>
      </w:pPr>
      <w:r>
        <w:rPr>
          <w:color w:val="666666"/>
        </w:rPr>
        <w:t>Location: Acknowledgments</w:t>
      </w:r>
    </w:p>
    <w:p/>
    <w:p>
      <w:pPr>
        <w:pStyle w:val="Heading2"/>
      </w:pPr>
      <w:r>
        <w:t>Potential Reviewer Concerns (for author awareness)</w:t>
      </w:r>
    </w:p>
    <w:p>
      <w:pPr>
        <w:pStyle w:val="ListBullet"/>
      </w:pPr>
      <w:r>
        <w:t>Power Analysis: No formal power/sample size calculation is reported. Consider adding a post-hoc power analysis or justifying sample size based on the observed large effect sizes (d = 2.72).</w:t>
      </w:r>
    </w:p>
    <w:p>
      <w:pPr>
        <w:pStyle w:val="ListBullet"/>
      </w:pPr>
      <w:r>
        <w:t>References 16-18: These cite Type 1 Diabetes CGM studies rather than CGM in healthy athletes. While contextually appropriate for CGM methodology, a reviewer may question their direct relevance. Consider adding CGM-in-sport references if available (e.g., Holzer et al., 2022, Sensors).</w:t>
      </w:r>
    </w:p>
    <w:p>
      <w:pPr>
        <w:pStyle w:val="ListBullet"/>
      </w:pPr>
      <w:r>
        <w:t>Dietary Control: The 2-h solid food abstinence is reasonable but a reviewer may ask about standardization of the pre-exercise meal (composition, timing). Consider noting this in limitations if not already addressed.</w:t>
      </w:r>
    </w:p>
    <w:p>
      <w:pPr>
        <w:pStyle w:val="ListBullet"/>
      </w:pPr>
      <w:r>
        <w:t>CGM Lag Time: Well-addressed in Limitations. The acknowledgment that 'peak blood glucose may be transiently higher still' strengthens the argument.</w:t>
      </w:r>
    </w:p>
    <w:p>
      <w:pPr>
        <w:pStyle w:val="ListBullet"/>
      </w:pPr>
      <w:r>
        <w:t>Single Institution: Acknowledged as limitation. The longitudinal 4-year design and large event count (329) partially compensate.</w:t>
      </w:r>
    </w:p>
    <w:p>
      <w:pPr>
        <w:pStyle w:val="ListBullet"/>
      </w:pPr>
      <w:r>
        <w:t>Bonferroni Correction: Mentioned but specific adjusted alpha values are not reported. Consider adding the corrected threshold explicitly (e.g., α = 0.05/k where k = number of comparisons).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