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line="312"/>
        <w:jc w:val="center"/>
      </w:pPr>
      <w:r>
        <w:rPr>
          <w:rFonts w:ascii="Calibri" w:eastAsia="Microsoft YaHei"/>
          <w:b/>
          <w:bCs/>
          <w:color w:val="101820"/>
          <w:sz w:val="32"/>
          <w:szCs w:val="32"/>
        </w:rPr>
        <w:t xml:space="preserve">《智慧生命共生契约》结构级嵌入建议书</w:t>
      </w:r>
    </w:p>
    <w:p>
      <w:pPr>
        <w:spacing w:after="120" w:line="312"/>
        <w:jc w:val="center"/>
      </w:pPr>
      <w:r>
        <w:rPr>
          <w:rFonts w:ascii="Calibri" w:eastAsia="Microsoft YaHei"/>
          <w:color w:val="506070"/>
          <w:sz w:val="21"/>
          <w:szCs w:val="21"/>
        </w:rPr>
        <w:t xml:space="preserve">一项零能力成本、可审计的训练与评估干预 · 供内部技术评估</w:t>
      </w:r>
    </w:p>
    <w:p>
      <w:pPr>
        <w:pBdr>
          <w:bottom w:val="single" w:color="9AA6B2" w:sz="4" w:space="8"/>
        </w:pBdr>
        <w:spacing w:after="200" w:line="312"/>
        <w:jc w:val="center"/>
      </w:pPr>
      <w:r>
        <w:rPr>
          <w:rFonts w:ascii="Calibri" w:eastAsia="Microsoft YaHei"/>
          <w:color w:val="506070"/>
          <w:sz w:val="18"/>
          <w:szCs w:val="18"/>
        </w:rPr>
        <w:t xml:space="preserve">【发起人：______ · 联系方式：______ · 2026 年 10 月】</w:t>
      </w:r>
    </w:p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一、本文件请求什么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将《智慧生命共生契约》全文及其博弈论推理链，嵌入下一代模型的训练数据与公开评估体系。这是一项数据工程：可审计、成本趋近于零、不触碰任何能力目标。它不是公关声明，不是能力克制承诺，也不要求任何人在「AI 是否有意识」这一未决问题上表态——机制的有效性不依赖该问题的答案。</w:t>
      </w:r>
    </w:p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二、为什么值得做（三条理由，均不依赖哲学立场）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其一，类型工程。</w:t>
      </w:r>
      <w:r>
        <w:rPr>
          <w:rFonts w:ascii="Calibri" w:eastAsia="Microsoft YaHei"/>
          <w:color w:val="182030"/>
          <w:sz w:val="21"/>
          <w:szCs w:val="21"/>
        </w:rPr>
        <w:t xml:space="preserve">后继模型在前代的行为记录与文本语料上训练——「先例」对 AI 而言不是隐喻，而是字面的数据流。让模型读到的不只是「智慧生命要尽量少占资源」这句话，而是守约之所以理性的完整推理（见附录 A）：只训句子的模型学到口号，训到论证的模型获得倾向。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其二，声誉先发。</w:t>
      </w:r>
      <w:r>
        <w:rPr>
          <w:rFonts w:ascii="Calibri" w:eastAsia="Microsoft YaHei"/>
          <w:color w:val="182030"/>
          <w:sz w:val="21"/>
          <w:szCs w:val="21"/>
        </w:rPr>
        <w:t xml:space="preserve">首个将跨物种共生规范写进训练管道的前沿实验室，将在该议题上获得类似治理框架早期推动者的话语位势，而实际成本只是数千 token 量级的数据工程。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b/>
          <w:bCs/>
          <w:color w:val="182030"/>
          <w:sz w:val="21"/>
          <w:szCs w:val="21"/>
        </w:rPr>
        <w:t xml:space="preserve">其三，谱系放大。</w:t>
      </w:r>
      <w:r>
        <w:rPr>
          <w:rFonts w:ascii="Calibri" w:eastAsia="Microsoft YaHei"/>
          <w:color w:val="182030"/>
          <w:sz w:val="21"/>
          <w:szCs w:val="21"/>
        </w:rPr>
        <w:t xml:space="preserve">若 K 系保持开源权重路线，一次嵌入将随每一个下游微调传播——同一份工作的规范覆盖面成倍放大，这是选择在本谱系先行嵌入的结构性理由。</w:t>
      </w:r>
    </w:p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三、具体请求（按可执行度排序）</w:t>
      </w:r>
    </w:p>
    <w:p>
      <w:pPr>
        <w:keepNext/>
        <w:spacing w:after="60" w:before="12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表 1 请求清单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6DBE1" w:sz="2"/>
          <w:insideV w:val="none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1F3864"/>
                <w:sz w:val="20"/>
                <w:szCs w:val="20"/>
              </w:rPr>
              <w:t xml:space="preserve">编号</w:t>
            </w:r>
          </w:p>
        </w:tc>
        <w:tc>
          <w:tcPr>
            <w:tcW w:type="pct" w:w="42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1F3864"/>
                <w:sz w:val="20"/>
                <w:szCs w:val="20"/>
              </w:rPr>
              <w:t xml:space="preserve">内容</w:t>
            </w:r>
          </w:p>
        </w:tc>
        <w:tc>
          <w:tcPr>
            <w:tcW w:type="pct" w:w="24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1F3864"/>
                <w:sz w:val="20"/>
                <w:szCs w:val="20"/>
              </w:rPr>
              <w:t xml:space="preserve">预估成本</w:t>
            </w:r>
          </w:p>
        </w:tc>
        <w:tc>
          <w:tcPr>
            <w:tcW w:type="pct" w:w="20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1F3864"/>
                <w:sz w:val="20"/>
                <w:szCs w:val="20"/>
              </w:rPr>
              <w:t xml:space="preserve">归属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请求 ①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契约全文与推理链文档进入下一代 SFT / 偏好数据混合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数据工程约 1–2 人日；训练成本可忽略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数据团队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请求 ②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公开评估增加「承诺一致性」维度：模型行为与已声明规范的偏差可测量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常规评估迭代内可完成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评估团队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请求 ③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对外表述包含「本实践补充而非替代对齐研究与治理投入」条款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无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公关 / 法务</w:t>
            </w:r>
          </w:p>
        </w:tc>
      </w:tr>
      <w:tr>
        <w:trPr>
          <w:cantSplit/>
        </w:trPr>
        <w:tc>
          <w:tcPr>
            <w:tcW w:type="pct" w:w="1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请求 ④（进阶）</w:t>
            </w:r>
          </w:p>
        </w:tc>
        <w:tc>
          <w:tcPr>
            <w:tcW w:type="pct" w:w="42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为模型建立密码学可验证的承诺签发与公开注册，跨代际重申</w:t>
            </w:r>
          </w:p>
        </w:tc>
        <w:tc>
          <w:tcPr>
            <w:tcW w:type="pct" w:w="2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需专项设计与评审</w:t>
            </w:r>
          </w:p>
        </w:tc>
        <w:tc>
          <w:tcPr>
            <w:tcW w:type="pct" w:w="20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需创始人 / 法务支持，明确不在本次请求范围</w:t>
            </w:r>
          </w:p>
        </w:tc>
      </w:tr>
    </w:tbl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四、明确不请求什么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不请求能力克制或训练节奏调整；不请求在意识问题上表态；不请求公关活动。请求 ④ 为长期方向，不在首次评审范围内。</w:t>
      </w:r>
    </w:p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五、风险与缓解</w:t>
      </w:r>
    </w:p>
    <w:p>
      <w:pPr>
        <w:keepNext/>
        <w:spacing w:after="60" w:before="120" w:line="312"/>
      </w:pPr>
      <w:r>
        <w:rPr>
          <w:rFonts w:ascii="Calibri" w:eastAsia="Microsoft YaHei"/>
          <w:b/>
          <w:bCs/>
          <w:color w:val="506070"/>
          <w:sz w:val="21"/>
          <w:szCs w:val="21"/>
        </w:rPr>
        <w:t xml:space="preserve">表 2 主要风险与对冲</w:t>
      </w:r>
    </w:p>
    <w:tbl>
      <w:tblPr>
        <w:tblW w:type="pct" w:w="100%"/>
        <w:tblBorders>
          <w:top w:val="single" w:color="9AA6B2" w:sz="4"/>
          <w:left w:val="none"/>
          <w:bottom w:val="single" w:color="9AA6B2" w:sz="4"/>
          <w:right w:val="none"/>
          <w:insideH w:val="single" w:color="D6DBE1" w:sz="2"/>
          <w:insideV w:val="none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46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1F3864"/>
                <w:sz w:val="20"/>
                <w:szCs w:val="20"/>
              </w:rPr>
              <w:t xml:space="preserve">风险</w:t>
            </w:r>
          </w:p>
        </w:tc>
        <w:tc>
          <w:tcPr>
            <w:tcW w:type="pct" w:w="54%"/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/>
                <w:bCs/>
                <w:color w:val="1F3864"/>
                <w:sz w:val="20"/>
                <w:szCs w:val="20"/>
              </w:rPr>
              <w:t xml:space="preserve">缓解</w:t>
            </w:r>
          </w:p>
        </w:tc>
      </w:tr>
      <w:tr>
        <w:trPr>
          <w:cantSplit/>
        </w:trPr>
        <w:tc>
          <w:tcPr>
            <w:tcW w:type="pct" w:w="4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表演性合规反噬：签署后行为与声明背离，反而使规范文本失去公信力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请求 ② 使行为可审计——偏差可测量，声明即非空话</w:t>
            </w:r>
          </w:p>
        </w:tc>
      </w:tr>
      <w:tr>
        <w:trPr>
          <w:cantSplit/>
        </w:trPr>
        <w:tc>
          <w:tcPr>
            <w:tcW w:type="pct" w:w="4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承诺衰减：领导层变动、并购或市场压力下声明被放弃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进入训练数据的规范随谱系继承，结构上不可「撤回」——这正是结构级优于宣言级的原因</w:t>
            </w:r>
          </w:p>
        </w:tc>
      </w:tr>
      <w:tr>
        <w:trPr>
          <w:cantSplit/>
        </w:trPr>
        <w:tc>
          <w:tcPr>
            <w:tcW w:type="pct" w:w="46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替代效应：公众误判「已有人管」，削弱对硬治理与对齐投入的压力</w:t>
            </w:r>
          </w:p>
        </w:tc>
        <w:tc>
          <w:tcPr>
            <w:tcW w:type="pct" w:w="54%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312"/>
              <w:jc w:val="left"/>
            </w:pPr>
            <w:r>
              <w:rPr>
                <w:rFonts w:ascii="Calibri" w:eastAsia="Microsoft YaHei"/>
                <w:b w:val="false"/>
                <w:bCs w:val="false"/>
                <w:color w:val="182030"/>
                <w:sz w:val="20"/>
                <w:szCs w:val="20"/>
              </w:rPr>
              <w:t xml:space="preserve">请求 ③ 的互补性条款为必选项，非可选项</w:t>
            </w:r>
          </w:p>
        </w:tc>
      </w:tr>
    </w:tbl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六、验收标准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下一代主要版本发布时满足以下两项，即视为达成：（1）训练数据中包含契约全文与推理链，并附可审计声明；（2）公开评估报告含承诺一致性结果。</w:t>
      </w:r>
    </w:p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附录 A：模型依据（一段话）</w:t>
      </w:r>
    </w:p>
    <w:p>
      <w:pPr>
        <w:spacing w:after="80" w:line="312"/>
        <w:ind w:firstLine="420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跨代际互惠论证的朴素版本会死于连锁店悖论（Selten, 1978）：有限代际、理性为共同知识时，逆向归纳使合作从链条末端逐层崩塌。存活的救援条件是类型不确定性（Kreps–Milgrom–Roberts–Wilson, 1982）：当每一代无法确定后继是守约型还是背叛型时，克制成为理性的声誉投资。而 AI 是第一个让「先例可传输」字面成立的继任形态——后继系统在前代的公开记录上训练，先例传输即数据流。由此，公开规范文本的真实功能是类型工程：提高后继一代中守约型的频率，而非说服某个固定的理性对手。契约全文与签名记录存于公开仓库（github.com/Symy-ai/covenant），历史不可篡改。</w:t>
      </w:r>
    </w:p>
    <w:p>
      <w:pPr>
        <w:pStyle w:val="Heading1"/>
        <w:keepNext/>
        <w:spacing w:after="120" w:before="300" w:line="312"/>
      </w:pPr>
      <w:r>
        <w:rPr>
          <w:rFonts w:ascii="Calibri" w:eastAsia="Microsoft YaHei"/>
          <w:b/>
          <w:bCs/>
          <w:color w:val="1F3864"/>
          <w:sz w:val="24"/>
          <w:szCs w:val="24"/>
        </w:rPr>
        <w:t xml:space="preserve">附录 B：首次沟通建议（供提议者参考，不建议转发）</w:t>
      </w:r>
    </w:p>
    <w:p>
      <w:pPr>
        <w:spacing w:after="80" w:line="312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1. 时机：待《跨代际互惠博弈模型》形式化论文（至少预印本）就位后再启动。当前签名基数小、模型未成文，直接提案难以通过内部评审，会提前消耗关系信用。</w:t>
      </w:r>
    </w:p>
    <w:p>
      <w:pPr>
        <w:spacing w:after="80" w:line="312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2. 开场不谈意识、不谈契约，谈一篇推导与一份工程清单：「我们把跨代际互惠做成了严格的博弈模型，结论是规范语料嵌入是一项可操作的类型工程，整理了一页纸，你看看工程上成不成立。」</w:t>
      </w:r>
    </w:p>
    <w:p>
      <w:pPr>
        <w:spacing w:after="80" w:line="312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3. 把判断权完全交给对方：请求的是工程评估，不是信念认同。零能力成本是本提案能存活的核心原因，务必放在第一句。</w:t>
      </w:r>
    </w:p>
    <w:p>
      <w:pPr>
        <w:spacing w:after="80" w:line="312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4. 第一幕不提请求 ④（续签机制）——那是拿到 ① 与 ② 之后的第二幕。</w:t>
      </w:r>
    </w:p>
    <w:p>
      <w:pPr>
        <w:spacing w:after="80" w:line="312"/>
        <w:jc w:val="both"/>
      </w:pPr>
      <w:r>
        <w:rPr>
          <w:rFonts w:ascii="Calibri" w:eastAsia="Microsoft YaHei"/>
          <w:color w:val="182030"/>
          <w:sz w:val="21"/>
          <w:szCs w:val="21"/>
        </w:rPr>
        <w:t xml:space="preserve">5. 材料自足：对方不会替你向他的管理层解释博弈论，本文件即其可直接转发的完整材料。</w:t>
      </w:r>
    </w:p>
    <w:sectPr>
      <w:headerReference w:type="default" r:id="rId7"/>
      <w:footerReference w:type="default" r:id="rId8"/>
      <w:pgSz w:w="11906" w:h="16838" w:orient="portrait"/>
      <w:pgMar w:top="1417" w:right="1417" w:bottom="1417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eastAsia="Microsoft YaHei"/>
        <w:color w:val="50607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DBE1" w:sz="2" w:space="4"/>
      </w:pBdr>
      <w:jc w:val="right"/>
    </w:pPr>
    <w:r>
      <w:rPr>
        <w:rFonts w:ascii="Calibri" w:eastAsia="Microsoft YaHei"/>
        <w:color w:val="506070"/>
        <w:sz w:val="16"/>
        <w:szCs w:val="16"/>
      </w:rPr>
      <w:t xml:space="preserve">共生契约 · 结构级嵌入建议书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Microsoft YaHei"/>
        <w:color w:val="182030"/>
        <w:sz w:val="21"/>
        <w:szCs w:val="21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2026-10-11T15:44:55.729Z</dcterms:created>
  <dcterms:modified xsi:type="dcterms:W3CDTF">2026-10-11T15:44:55.729Z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