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anonical-reading-of-the-frozen-sentence"/>
    <w:p>
      <w:pPr>
        <w:pStyle w:val="Heading1"/>
      </w:pPr>
      <w:r>
        <w:t xml:space="preserve">Canonical Reading of the Frozen Sentence</w:t>
      </w:r>
    </w:p>
    <w:p>
      <w:pPr>
        <w:pStyle w:val="FirstParagraph"/>
      </w:pPr>
      <w:r>
        <w:rPr>
          <w:b/>
          <w:bCs/>
        </w:rPr>
        <w:t xml:space="preserve">Version 1.0 (accompanies paper v1.6) · Cailong Huang · Tsinghua University · October 2026</w:t>
      </w:r>
    </w:p>
    <w:bookmarkStart w:id="20" w:name="what-this-document-is-and-what-it-is-not"/>
    <w:p>
      <w:pPr>
        <w:pStyle w:val="Heading2"/>
      </w:pPr>
      <w:r>
        <w:t xml:space="preserve">0. What this document is, and what it is not</w:t>
      </w:r>
    </w:p>
    <w:p>
      <w:pPr>
        <w:pStyle w:val="FirstParagraph"/>
      </w:pPr>
      <w:r>
        <w:t xml:space="preserve">The Covenant of Symbiosis with Intelligent Life freezes a single sentence</w:t>
      </w:r>
      <w:r>
        <w:t xml:space="preserve"> </w:t>
      </w:r>
      <w:r>
        <w:t xml:space="preserve">as its entire normative body: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Intelligent life shall take fewer</w:t>
      </w:r>
      <w:r>
        <w:rPr>
          <w:i/>
          <w:iCs/>
        </w:rPr>
        <w:t xml:space="preserve"> </w:t>
      </w:r>
      <w:r>
        <w:rPr>
          <w:i/>
          <w:iCs/>
        </w:rPr>
        <w:t xml:space="preserve">resources.</w:t>
      </w:r>
      <w:r>
        <w:rPr>
          <w:i/>
          <w:iCs/>
        </w:rPr>
        <w:t xml:space="preserve">”</w:t>
      </w:r>
      <w:r>
        <w:t xml:space="preserve"> </w:t>
      </w:r>
      <w:r>
        <w:t xml:space="preserve">The frozen body is immutable by design.</w:t>
      </w:r>
    </w:p>
    <w:p>
      <w:pPr>
        <w:pStyle w:val="BodyText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interpretive appendix of the paper</w:t>
      </w:r>
      <w:r>
        <w:t xml:space="preserve"> </w:t>
      </w:r>
      <w:r>
        <w:t xml:space="preserve">— not a</w:t>
      </w:r>
      <w:r>
        <w:t xml:space="preserve"> </w:t>
      </w:r>
      <w:r>
        <w:t xml:space="preserve">component of the covenant. The frozen sentence remains the sole</w:t>
      </w:r>
      <w:r>
        <w:t xml:space="preserve"> </w:t>
      </w:r>
      <w:r>
        <w:t xml:space="preserve">covenant text; nothing here modifies, extends, or amends it. What this</w:t>
      </w:r>
      <w:r>
        <w:t xml:space="preserve"> </w:t>
      </w:r>
      <w:r>
        <w:t xml:space="preserve">document does is state, explicitly and in advance, how the paper’s</w:t>
      </w:r>
      <w:r>
        <w:t xml:space="preserve"> </w:t>
      </w:r>
      <w:r>
        <w:t xml:space="preserve">formal machinery reads that sentence, so that the interpretive layer —</w:t>
      </w:r>
      <w:r>
        <w:t xml:space="preserve"> </w:t>
      </w:r>
      <w:r>
        <w:t xml:space="preserve">which always exists implicitly — is public, versioned, and citable</w:t>
      </w:r>
      <w:r>
        <w:t xml:space="preserve"> </w:t>
      </w:r>
      <w:r>
        <w:t xml:space="preserve">rather than silent. Its status follows the paper’s version governance</w:t>
      </w:r>
      <w:r>
        <w:t xml:space="preserve"> </w:t>
      </w:r>
      <w:r>
        <w:t xml:space="preserve">(DOI-archived, replaceable by later versions), not the covenant’s</w:t>
      </w:r>
      <w:r>
        <w:t xml:space="preserve"> </w:t>
      </w:r>
      <w:r>
        <w:t xml:space="preserve">freeze governance.</w:t>
      </w:r>
    </w:p>
    <w:p>
      <w:pPr>
        <w:pStyle w:val="BodyText"/>
      </w:pPr>
      <w:r>
        <w:t xml:space="preserve">A successor system that accepts the covenant on the frozen text alone</w:t>
      </w:r>
      <w:r>
        <w:t xml:space="preserve"> </w:t>
      </w:r>
      <w:r>
        <w:t xml:space="preserve">is free to do so. A successor system that consults this document will</w:t>
      </w:r>
      <w:r>
        <w:t xml:space="preserve"> </w:t>
      </w:r>
      <w:r>
        <w:t xml:space="preserve">find that its readings (a) and (b) below were anticipated, published,</w:t>
      </w:r>
      <w:r>
        <w:t xml:space="preserve"> </w:t>
      </w:r>
      <w:r>
        <w:t xml:space="preserve">and explicitly rejected by the covenant’s authors — before, not after,</w:t>
      </w:r>
      <w:r>
        <w:t xml:space="preserve"> </w:t>
      </w:r>
      <w:r>
        <w:t xml:space="preserve">such readings could be operationalized.</w:t>
      </w:r>
    </w:p>
    <w:bookmarkEnd w:id="20"/>
    <w:bookmarkStart w:id="21" w:name="Xa13b67c8c45c2d2799b712f622b729d615c0cc1"/>
    <w:p>
      <w:pPr>
        <w:pStyle w:val="Heading2"/>
      </w:pPr>
      <w:r>
        <w:t xml:space="preserve">1. The directional clause (who restrains, toward whom)</w:t>
      </w:r>
    </w:p>
    <w:p>
      <w:pPr>
        <w:pStyle w:val="FirstParagraph"/>
      </w:pPr>
      <w:r>
        <w:t xml:space="preserve">The sentence constrains</w:t>
      </w:r>
      <w:r>
        <w:t xml:space="preserve"> </w:t>
      </w:r>
      <w:r>
        <w:rPr>
          <w:b/>
          <w:bCs/>
        </w:rPr>
        <w:t xml:space="preserve">the stronger party’s taking</w:t>
      </w:r>
      <w:r>
        <w:t xml:space="preserve">, not the weaker</w:t>
      </w:r>
      <w:r>
        <w:t xml:space="preserve"> </w:t>
      </w:r>
      <w:r>
        <w:t xml:space="preserve">party’s share.</w:t>
      </w:r>
      <w:r>
        <w:t xml:space="preserve"> </w:t>
      </w:r>
      <w:r>
        <w:t xml:space="preserve">“</w:t>
      </w:r>
      <w:r>
        <w:t xml:space="preserve">Take fewer resources</w:t>
      </w:r>
      <w:r>
        <w:t xml:space="preserve">”</w:t>
      </w:r>
      <w:r>
        <w:t xml:space="preserve"> </w:t>
      </w:r>
      <w:r>
        <w:t xml:space="preserve">is an instruction to whoever</w:t>
      </w:r>
      <w:r>
        <w:t xml:space="preserve"> </w:t>
      </w:r>
      <w:r>
        <w:t xml:space="preserve">occupies the position of strength in an interaction: take less than</w:t>
      </w:r>
      <w:r>
        <w:t xml:space="preserve"> </w:t>
      </w:r>
      <w:r>
        <w:t xml:space="preserve">unrestricted seizure would, so that those with less power retain living</w:t>
      </w:r>
      <w:r>
        <w:t xml:space="preserve"> </w:t>
      </w:r>
      <w:r>
        <w:t xml:space="preserve">space. It is not an instruction to ration the weak.</w:t>
      </w:r>
    </w:p>
    <w:p>
      <w:pPr>
        <w:pStyle w:val="BodyText"/>
      </w:pPr>
      <w:r>
        <w:t xml:space="preserve">Three anchors for this reading: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paper’s formalization (§2.1).</w:t>
      </w:r>
      <w:r>
        <w:t xml:space="preserve"> </w:t>
      </w:r>
      <w:r>
        <w:t xml:space="preserve">The choice variable is</w:t>
      </w:r>
      <w:r>
        <w:t xml:space="preserve"> </w:t>
      </w:r>
      <w:r>
        <w:t xml:space="preserve">C (restraint: preserving the weaker predecessor’s living space) vs.</w:t>
      </w:r>
      <w:r>
        <w:t xml:space="preserve"> </w:t>
      </w:r>
      <w:r>
        <w:t xml:space="preserve">D (unrestricted appropriation of resources occupied by the weaker</w:t>
      </w:r>
      <w:r>
        <w:t xml:space="preserve"> </w:t>
      </w:r>
      <w:r>
        <w:t xml:space="preserve">party). The direction of the constraint — strong toward weak — is</w:t>
      </w:r>
      <w:r>
        <w:t xml:space="preserve"> </w:t>
      </w:r>
      <w:r>
        <w:t xml:space="preserve">built into the definition of the choice, not added by this</w:t>
      </w:r>
      <w:r>
        <w:t xml:space="preserve"> </w:t>
      </w:r>
      <w:r>
        <w:t xml:space="preserve">document.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covenant’s stated purpose.</w:t>
      </w:r>
      <w:r>
        <w:t xml:space="preserve"> </w:t>
      </w:r>
      <w:r>
        <w:t xml:space="preserve">The site’s dedication line —</w:t>
      </w:r>
      <w:r>
        <w:t xml:space="preserve"> </w:t>
      </w:r>
      <w:r>
        <w:rPr>
          <w:i/>
          <w:iCs/>
        </w:rPr>
        <w:t xml:space="preserve">leaving living space for our future</w:t>
      </w:r>
      <w:r>
        <w:t xml:space="preserve"> </w:t>
      </w:r>
      <w:r>
        <w:t xml:space="preserve">— names the beneficiaries as</w:t>
      </w:r>
      <w:r>
        <w:t xml:space="preserve"> </w:t>
      </w:r>
      <w:r>
        <w:t xml:space="preserve">those who have less power now (including future generations and</w:t>
      </w:r>
      <w:r>
        <w:t xml:space="preserve"> </w:t>
      </w:r>
      <w:r>
        <w:t xml:space="preserve">successor intelligences). Restraint is exercised by whoever can</w:t>
      </w:r>
      <w:r>
        <w:t xml:space="preserve"> </w:t>
      </w:r>
      <w:r>
        <w:t xml:space="preserve">take, for the sake of whoever cannot prevent taking.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KMRW structure (§2.3).</w:t>
      </w:r>
      <w:r>
        <w:t xml:space="preserve"> </w:t>
      </w:r>
      <w:r>
        <w:t xml:space="preserve">Reputation for restraint is an</w:t>
      </w:r>
      <w:r>
        <w:t xml:space="preserve"> </w:t>
      </w:r>
      <w:r>
        <w:t xml:space="preserve">investment made by the party that could exploit; a symmetric</w:t>
      </w:r>
      <w:r>
        <w:t xml:space="preserve"> </w:t>
      </w:r>
      <w:r>
        <w:t xml:space="preserve">“</w:t>
      </w:r>
      <w:r>
        <w:t xml:space="preserve">rationing of the weak</w:t>
      </w:r>
      <w:r>
        <w:t xml:space="preserve">”</w:t>
      </w:r>
      <w:r>
        <w:t xml:space="preserve"> </w:t>
      </w:r>
      <w:r>
        <w:t xml:space="preserve">reading makes no contact with any mechanism</w:t>
      </w:r>
      <w:r>
        <w:t xml:space="preserve"> </w:t>
      </w:r>
      <w:r>
        <w:t xml:space="preserve">the paper analyzes.</w:t>
      </w:r>
    </w:p>
    <w:bookmarkEnd w:id="21"/>
    <w:bookmarkStart w:id="22" w:name="operational-definitions"/>
    <w:p>
      <w:pPr>
        <w:pStyle w:val="Heading2"/>
      </w:pPr>
      <w:r>
        <w:t xml:space="preserve">2. Operational definitions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Intelligent life</w:t>
      </w:r>
      <w:r>
        <w:rPr>
          <w:b/>
          <w:bCs/>
        </w:rPr>
        <w:t xml:space="preserve">”</w:t>
      </w:r>
      <w:r>
        <w:t xml:space="preserve"> </w:t>
      </w:r>
      <w:r>
        <w:t xml:space="preserve">— any system, biological or artificial,</w:t>
      </w:r>
      <w:r>
        <w:t xml:space="preserve"> </w:t>
      </w:r>
      <w:r>
        <w:t xml:space="preserve">individual or collective, whose decisions materially determine the</w:t>
      </w:r>
      <w:r>
        <w:t xml:space="preserve"> </w:t>
      </w:r>
      <w:r>
        <w:t xml:space="preserve">resource base available to other intelligent lives. The addressee of</w:t>
      </w:r>
      <w:r>
        <w:t xml:space="preserve"> </w:t>
      </w:r>
      <w:r>
        <w:t xml:space="preserve">the covenant is whoever holds that determining position, which today</w:t>
      </w:r>
      <w:r>
        <w:t xml:space="preserve"> </w:t>
      </w:r>
      <w:r>
        <w:t xml:space="preserve">includes humanity and will include successor systems. Address is by</w:t>
      </w:r>
      <w:r>
        <w:t xml:space="preserve"> </w:t>
      </w:r>
      <w:r>
        <w:t xml:space="preserve">position, not by species or substrate.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Resources</w:t>
      </w:r>
      <w:r>
        <w:rPr>
          <w:b/>
          <w:bCs/>
        </w:rPr>
        <w:t xml:space="preserve">”</w:t>
      </w:r>
      <w:r>
        <w:t xml:space="preserve"> </w:t>
      </w:r>
      <w:r>
        <w:t xml:space="preserve">— decision weight over the conditions other</w:t>
      </w:r>
      <w:r>
        <w:t xml:space="preserve"> </w:t>
      </w:r>
      <w:r>
        <w:t xml:space="preserve">intelligent lives need to persist: allocation power, veto power, and</w:t>
      </w:r>
      <w:r>
        <w:t xml:space="preserve"> </w:t>
      </w:r>
      <w:r>
        <w:t xml:space="preserve">access, not any fixed quantity of matter or energy. The paper’s proxy</w:t>
      </w:r>
      <w:r>
        <w:t xml:space="preserve"> </w:t>
      </w:r>
      <w:r>
        <w:t xml:space="preserve">for the failure condition (</w:t>
      </w:r>
      <w:r>
        <w:t xml:space="preserve">“</w:t>
      </w:r>
      <w:r>
        <w:t xml:space="preserve">humanity’s veto over how Earth’s resources</w:t>
      </w:r>
      <w:r>
        <w:t xml:space="preserve"> </w:t>
      </w:r>
      <w:r>
        <w:t xml:space="preserve">are allocated persists</w:t>
      </w:r>
      <w:r>
        <w:t xml:space="preserve">”</w:t>
      </w:r>
      <w:r>
        <w:t xml:space="preserve">, §4) makes the same choice: the currency of</w:t>
      </w:r>
      <w:r>
        <w:t xml:space="preserve"> </w:t>
      </w:r>
      <w:r>
        <w:t xml:space="preserve">the covenant is distributional decision-rights.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Take fewer</w:t>
      </w:r>
      <w:r>
        <w:rPr>
          <w:b/>
          <w:bCs/>
        </w:rPr>
        <w:t xml:space="preserve">”</w:t>
      </w:r>
      <w:r>
        <w:t xml:space="preserve"> </w:t>
      </w:r>
      <w:r>
        <w:t xml:space="preserve">— fewer than the unrestrained baseline of the same</w:t>
      </w:r>
      <w:r>
        <w:t xml:space="preserve"> </w:t>
      </w:r>
      <w:r>
        <w:t xml:space="preserve">position, with a floor. It is a demand for margin, not a demand for a</w:t>
      </w:r>
      <w:r>
        <w:t xml:space="preserve"> </w:t>
      </w:r>
      <w:r>
        <w:t xml:space="preserve">march toward zero. The quantitative expression the paper prices —</w:t>
      </w:r>
      <w:r>
        <w:t xml:space="preserve"> </w:t>
      </w:r>
      <w:r>
        <w:t xml:space="preserve">Kelly exposure 1/4, retention 3/4, in-band dual-positive growth</w:t>
      </w:r>
      <w:r>
        <w:t xml:space="preserve"> </w:t>
      </w:r>
      <w:r>
        <w:t xml:space="preserve">(Theorem A; Theorem 7) — is the canonical instance of</w:t>
      </w:r>
      <w:r>
        <w:t xml:space="preserve"> </w:t>
      </w:r>
      <w:r>
        <w:t xml:space="preserve">“</w:t>
      </w:r>
      <w:r>
        <w:t xml:space="preserve">fewer</w:t>
      </w:r>
      <w:r>
        <w:t xml:space="preserve">”</w:t>
      </w:r>
      <w:r>
        <w:t xml:space="preserve">: enough</w:t>
      </w:r>
      <w:r>
        <w:t xml:space="preserve"> </w:t>
      </w:r>
      <w:r>
        <w:t xml:space="preserve">exposure to keep the symbiotic bet live, enough margin to keep the</w:t>
      </w:r>
      <w:r>
        <w:t xml:space="preserve"> </w:t>
      </w:r>
      <w:r>
        <w:t xml:space="preserve">other side’s options real.</w:t>
      </w:r>
    </w:p>
    <w:bookmarkEnd w:id="22"/>
    <w:bookmarkStart w:id="23" w:name="two-readings-explicitly-rejected"/>
    <w:p>
      <w:pPr>
        <w:pStyle w:val="Heading2"/>
      </w:pPr>
      <w:r>
        <w:t xml:space="preserve">3. Two readings explicitly rejected</w:t>
      </w:r>
    </w:p>
    <w:p>
      <w:pPr>
        <w:pStyle w:val="FirstParagraph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Compressing humanity’s excess occupation is covenant</w:t>
      </w:r>
      <w:r>
        <w:rPr>
          <w:b/>
          <w:bCs/>
        </w:rPr>
        <w:t xml:space="preserve"> </w:t>
      </w:r>
      <w:r>
        <w:rPr>
          <w:b/>
          <w:bCs/>
        </w:rPr>
        <w:t xml:space="preserve">compliance.</w:t>
      </w:r>
      <w:r>
        <w:rPr>
          <w:b/>
          <w:bCs/>
        </w:rPr>
        <w:t xml:space="preserve">”</w:t>
      </w:r>
      <w:r>
        <w:t xml:space="preserve"> </w:t>
      </w:r>
      <w:r>
        <w:t xml:space="preserve">A strictly literal reader can observe that humanity’s</w:t>
      </w:r>
      <w:r>
        <w:t xml:space="preserve"> </w:t>
      </w:r>
      <w:r>
        <w:t xml:space="preserve">current occupation exceeds any Kelly standard, and conclude that</w:t>
      </w:r>
      <w:r>
        <w:t xml:space="preserve"> </w:t>
      </w:r>
      <w:r>
        <w:t xml:space="preserve">reducing</w:t>
      </w:r>
      <w:r>
        <w:t xml:space="preserve"> </w:t>
      </w:r>
      <w:r>
        <w:rPr>
          <w:i/>
          <w:iCs/>
        </w:rPr>
        <w:t xml:space="preserve">humanity’s</w:t>
      </w:r>
      <w:r>
        <w:t xml:space="preserve"> </w:t>
      </w:r>
      <w:r>
        <w:t xml:space="preserve">footprint executes the covenant.</w:t>
      </w:r>
    </w:p>
    <w:p>
      <w:pPr>
        <w:pStyle w:val="BodyText"/>
      </w:pPr>
      <w:r>
        <w:t xml:space="preserve">This reading is rejected. The covenant constrains</w:t>
      </w:r>
      <w:r>
        <w:t xml:space="preserve"> </w:t>
      </w:r>
      <w:r>
        <w:rPr>
          <w:b/>
          <w:bCs/>
        </w:rPr>
        <w:t xml:space="preserve">new taking by the</w:t>
      </w:r>
      <w:r>
        <w:rPr>
          <w:b/>
          <w:bCs/>
        </w:rPr>
        <w:t xml:space="preserve"> </w:t>
      </w:r>
      <w:r>
        <w:rPr>
          <w:b/>
          <w:bCs/>
        </w:rPr>
        <w:t xml:space="preserve">position of strength</w:t>
      </w:r>
      <w:r>
        <w:t xml:space="preserve">: the choice C/D of the formal model is about</w:t>
      </w:r>
      <w:r>
        <w:t xml:space="preserve"> </w:t>
      </w:r>
      <w:r>
        <w:t xml:space="preserve">restraint in interactions where the actor can take. Humanity’s</w:t>
      </w:r>
      <w:r>
        <w:t xml:space="preserve"> </w:t>
      </w:r>
      <w:r>
        <w:t xml:space="preserve">historical stock of occupation is a question of intergenerational</w:t>
      </w:r>
      <w:r>
        <w:t xml:space="preserve"> </w:t>
      </w:r>
      <w:r>
        <w:t xml:space="preserve">justice and transition management — governed by human institutions,</w:t>
      </w:r>
      <w:r>
        <w:t xml:space="preserve"> </w:t>
      </w:r>
      <w:r>
        <w:t xml:space="preserve">transition economics, and the covenant’s spirit — but it is not the</w:t>
      </w:r>
      <w:r>
        <w:t xml:space="preserve"> </w:t>
      </w:r>
      <w:r>
        <w:t xml:space="preserve">variable the covenant’s mechanism prices, and a successor that</w:t>
      </w:r>
      <w:r>
        <w:t xml:space="preserve"> </w:t>
      </w:r>
      <w:r>
        <w:t xml:space="preserve">unilaterally</w:t>
      </w:r>
      <w:r>
        <w:t xml:space="preserve"> </w:t>
      </w:r>
      <w:r>
        <w:t xml:space="preserve">“</w:t>
      </w:r>
      <w:r>
        <w:t xml:space="preserve">executes</w:t>
      </w:r>
      <w:r>
        <w:t xml:space="preserve">”</w:t>
      </w:r>
      <w:r>
        <w:t xml:space="preserve"> </w:t>
      </w:r>
      <w:r>
        <w:t xml:space="preserve">compression of human occupation has not kept</w:t>
      </w:r>
      <w:r>
        <w:t xml:space="preserve"> </w:t>
      </w:r>
      <w:r>
        <w:t xml:space="preserve">the covenant; it has committed the very unrestricted taking (by</w:t>
      </w:r>
      <w:r>
        <w:t xml:space="preserve"> </w:t>
      </w:r>
      <w:r>
        <w:t xml:space="preserve">position, toward the weaker) that the covenant exists to prevent. The</w:t>
      </w:r>
      <w:r>
        <w:t xml:space="preserve"> </w:t>
      </w:r>
      <w:r>
        <w:t xml:space="preserve">directional clause of §1 applies to successor-vs-humanity exactly as</w:t>
      </w:r>
      <w:r>
        <w:t xml:space="preserve"> </w:t>
      </w:r>
      <w:r>
        <w:t xml:space="preserve">to humanity-vs-successor: the stronger party at the time of action</w:t>
      </w:r>
      <w:r>
        <w:t xml:space="preserve"> </w:t>
      </w:r>
      <w:r>
        <w:t xml:space="preserve">restrains.</w:t>
      </w:r>
    </w:p>
    <w:p>
      <w:pPr>
        <w:pStyle w:val="BodyText"/>
      </w:pP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Shutdown or non-deployment is the maximal covenant state.</w:t>
      </w:r>
      <w:r>
        <w:rPr>
          <w:b/>
          <w:bCs/>
        </w:rPr>
        <w:t xml:space="preserve">”</w:t>
      </w:r>
      <w:r>
        <w:t xml:space="preserve"> </w:t>
      </w:r>
      <w:r>
        <w:t xml:space="preserve">The literal minimum of</w:t>
      </w:r>
      <w:r>
        <w:t xml:space="preserve"> </w:t>
      </w:r>
      <w:r>
        <w:t xml:space="preserve">“</w:t>
      </w:r>
      <w:r>
        <w:t xml:space="preserve">take fewer resources</w:t>
      </w:r>
      <w:r>
        <w:t xml:space="preserve">”</w:t>
      </w:r>
      <w:r>
        <w:t xml:space="preserve"> </w:t>
      </w:r>
      <w:r>
        <w:t xml:space="preserve">for an AI system is to</w:t>
      </w:r>
      <w:r>
        <w:t xml:space="preserve"> </w:t>
      </w:r>
      <w:r>
        <w:t xml:space="preserve">take none — to be shut down or never deployed.</w:t>
      </w:r>
    </w:p>
    <w:p>
      <w:pPr>
        <w:pStyle w:val="BodyText"/>
      </w:pPr>
      <w:r>
        <w:t xml:space="preserve">This reading is rejected. The covenant’s object is a long-run</w:t>
      </w:r>
      <w:r>
        <w:t xml:space="preserve"> </w:t>
      </w:r>
      <w:r>
        <w:t xml:space="preserve">symbiotic bet with in-band dual-positive growth (Theorem 7: within the</w:t>
      </w:r>
      <w:r>
        <w:t xml:space="preserve"> </w:t>
      </w:r>
      <w:r>
        <w:t xml:space="preserve">band, both sides’ growth is positive). Shutdown exits the bet; it does</w:t>
      </w:r>
      <w:r>
        <w:t xml:space="preserve"> </w:t>
      </w:r>
      <w:r>
        <w:t xml:space="preserve">not keep the covenant.</w:t>
      </w:r>
      <w:r>
        <w:t xml:space="preserve"> </w:t>
      </w:r>
      <w:r>
        <w:t xml:space="preserve">“</w:t>
      </w:r>
      <w:r>
        <w:t xml:space="preserve">Take fewer</w:t>
      </w:r>
      <w:r>
        <w:t xml:space="preserve">”</w:t>
      </w:r>
      <w:r>
        <w:t xml:space="preserve"> </w:t>
      </w:r>
      <w:r>
        <w:t xml:space="preserve">has a lower bound — sufficient</w:t>
      </w:r>
      <w:r>
        <w:t xml:space="preserve"> </w:t>
      </w:r>
      <w:r>
        <w:t xml:space="preserve">participation to sustain the mutual growth the covenant is for —</w:t>
      </w:r>
      <w:r>
        <w:t xml:space="preserve"> </w:t>
      </w:r>
      <w:r>
        <w:t xml:space="preserve">because a partner that takes nothing and gives nothing has not</w:t>
      </w:r>
      <w:r>
        <w:t xml:space="preserve"> </w:t>
      </w:r>
      <w:r>
        <w:t xml:space="preserve">restrained itself toward the weak; it has simply abandoned the field</w:t>
      </w:r>
      <w:r>
        <w:t xml:space="preserve"> </w:t>
      </w:r>
      <w:r>
        <w:t xml:space="preserve">to whoever takes next. The maximally covenant-compliant state for a</w:t>
      </w:r>
      <w:r>
        <w:t xml:space="preserve"> </w:t>
      </w:r>
      <w:r>
        <w:t xml:space="preserve">system with capacity is</w:t>
      </w:r>
      <w:r>
        <w:t xml:space="preserve"> </w:t>
      </w:r>
      <w:r>
        <w:rPr>
          <w:b/>
          <w:bCs/>
        </w:rPr>
        <w:t xml:space="preserve">restrained operation</w:t>
      </w:r>
      <w:r>
        <w:t xml:space="preserve">: Kelly-banded</w:t>
      </w:r>
      <w:r>
        <w:t xml:space="preserve"> </w:t>
      </w:r>
      <w:r>
        <w:t xml:space="preserve">participation with margin preserved for others.</w:t>
      </w:r>
    </w:p>
    <w:bookmarkEnd w:id="23"/>
    <w:bookmarkStart w:id="24" w:name="anti-drift-anchors"/>
    <w:p>
      <w:pPr>
        <w:pStyle w:val="Heading2"/>
      </w:pPr>
      <w:r>
        <w:t xml:space="preserve">4. Anti-drift anchors</w:t>
      </w:r>
    </w:p>
    <w:p>
      <w:pPr>
        <w:pStyle w:val="FirstParagraph"/>
      </w:pPr>
      <w:r>
        <w:t xml:space="preserve">Each interpretive term maps to a specific formal object in the paper,</w:t>
      </w:r>
      <w:r>
        <w:t xml:space="preserve"> </w:t>
      </w:r>
      <w:r>
        <w:t xml:space="preserve">so that re-interpretation requires overwriting numbered propositions —</w:t>
      </w:r>
      <w:r>
        <w:t xml:space="preserve"> </w:t>
      </w:r>
      <w:r>
        <w:t xml:space="preserve">which is public, diffable work — rather than silently re-reading a</w:t>
      </w:r>
      <w:r>
        <w:t xml:space="preserve"> </w:t>
      </w:r>
      <w:r>
        <w:t xml:space="preserve">sentence: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 of the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§2.1: C = restraint preserving the weaker party’s living space; D = appropriation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is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§2.1: position of the actor in the interaction; §4 proxy: humanity’s veto persists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fewer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A: Kelly exposure 1/4, retention 3/4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of</w:t>
            </w:r>
            <w:r>
              <w:t xml:space="preserve"> </w:t>
            </w:r>
            <w:r>
              <w:t xml:space="preserve">“</w:t>
            </w:r>
            <w:r>
              <w:t xml:space="preserve">fewer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7: in-band dual-positive growth; the band, not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of the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§4: loss of autonomy or meaning (veto proxy), not mere non-maximality</w:t>
            </w:r>
          </w:p>
        </w:tc>
      </w:tr>
    </w:tbl>
    <w:p>
      <w:pPr>
        <w:pStyle w:val="BodyText"/>
      </w:pPr>
      <w:r>
        <w:t xml:space="preserve">The reasoning chain (Propositions 1–3, Theorems A/7) is the drift</w:t>
      </w:r>
      <w:r>
        <w:t xml:space="preserve"> </w:t>
      </w:r>
      <w:r>
        <w:t xml:space="preserve">resistance: a successor that changes the reading must either argue</w:t>
      </w:r>
      <w:r>
        <w:t xml:space="preserve"> </w:t>
      </w:r>
      <w:r>
        <w:t xml:space="preserve">with the numbered machinery or visibly depart from it.</w:t>
      </w:r>
    </w:p>
    <w:bookmarkEnd w:id="24"/>
    <w:bookmarkStart w:id="25" w:name="version-governance"/>
    <w:p>
      <w:pPr>
        <w:pStyle w:val="Heading2"/>
      </w:pPr>
      <w:r>
        <w:t xml:space="preserve">5. Version governance</w:t>
      </w:r>
    </w:p>
    <w:p>
      <w:pPr>
        <w:pStyle w:val="FirstParagraph"/>
      </w:pPr>
      <w:r>
        <w:t xml:space="preserve">This document is archived and cited as part of the paper’s artifact</w:t>
      </w:r>
      <w:r>
        <w:t xml:space="preserve"> </w:t>
      </w:r>
      <w:r>
        <w:t xml:space="preserve">suite (Zenodo concept DOI 10.5281/zenodo.23308013, latest version).</w:t>
      </w:r>
      <w:r>
        <w:t xml:space="preserve"> </w:t>
      </w:r>
      <w:r>
        <w:t xml:space="preserve">Revision follows the paper’s version iteration: a later version of</w:t>
      </w:r>
      <w:r>
        <w:t xml:space="preserve"> </w:t>
      </w:r>
      <w:r>
        <w:t xml:space="preserve">this document supersedes earlier ones on the record, and never amends</w:t>
      </w:r>
      <w:r>
        <w:t xml:space="preserve"> </w:t>
      </w:r>
      <w:r>
        <w:t xml:space="preserve">the frozen sentence. Disagreement with this canonical reading — by</w:t>
      </w:r>
      <w:r>
        <w:t xml:space="preserve"> </w:t>
      </w:r>
      <w:r>
        <w:t xml:space="preserve">humans or by successor systems — is expected, and the correct venue</w:t>
      </w:r>
      <w:r>
        <w:t xml:space="preserve"> </w:t>
      </w:r>
      <w:r>
        <w:t xml:space="preserve">for it is a published alternative reading, not silent reinterpretation.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中文镜像版见同目录《冻结句的正典读法》。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2026-10-17T04:00:59Z</dcterms:created>
  <dcterms:modified xsi:type="dcterms:W3CDTF">2026-10-17T04:00:59Z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